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936" w:beforeLines="300" w:after="936" w:afterLines="300"/>
        <w:jc w:val="center"/>
        <w:rPr>
          <w:rFonts w:ascii="宋体" w:hAnsi="宋体" w:eastAsia="宋体"/>
          <w:sz w:val="36"/>
        </w:rPr>
      </w:pPr>
      <w:r>
        <w:rPr>
          <w:rFonts w:hint="eastAsia" w:ascii="宋体" w:hAnsi="宋体" w:eastAsia="宋体"/>
          <w:sz w:val="36"/>
        </w:rPr>
        <w:t>《宁晋县北部新区控制性详细规划》规划公示</w:t>
      </w:r>
    </w:p>
    <w:p>
      <w:pPr>
        <w:pStyle w:val="3"/>
      </w:pPr>
      <w:r>
        <w:rPr>
          <w:rFonts w:hint="eastAsia"/>
        </w:rPr>
        <w:t>按照《中华人民共和国城乡规划法》(2019年</w:t>
      </w:r>
      <w:r>
        <w:t>修正</w:t>
      </w:r>
      <w:r>
        <w:rPr>
          <w:rFonts w:hint="eastAsia"/>
        </w:rPr>
        <w:t>)和《河北省城乡规划条例》（2016）等有关要求，现对河北宁晋县北部新区控制性详细规划进行社会公示，征求广大公众建议。</w:t>
      </w:r>
    </w:p>
    <w:p>
      <w:pPr>
        <w:pStyle w:val="2"/>
      </w:pPr>
      <w:r>
        <w:t>规划范围</w:t>
      </w:r>
    </w:p>
    <w:p>
      <w:pPr>
        <w:pStyle w:val="3"/>
      </w:pPr>
      <w:r>
        <w:rPr>
          <w:rFonts w:hint="eastAsia"/>
        </w:rPr>
        <w:t>本规划区位于宁晋县中心城区的北部，北至北环路、纬五街，东至平安路、希望路、滨河东路，南至和平大街，西至西环路、滨河西路、汪洋沟，规划范围</w:t>
      </w:r>
      <w:r>
        <w:t>9.62平方公里。</w:t>
      </w:r>
      <w:r>
        <w:rPr>
          <w:rFonts w:hint="eastAsia"/>
        </w:rPr>
        <w:t>（具体用地界线以用地规划图为准）。</w:t>
      </w:r>
    </w:p>
    <w:p>
      <w:pPr>
        <w:pStyle w:val="2"/>
      </w:pPr>
      <w:r>
        <w:rPr>
          <w:rFonts w:hint="eastAsia"/>
        </w:rPr>
        <w:t>规划依据</w:t>
      </w:r>
    </w:p>
    <w:p>
      <w:pPr>
        <w:pStyle w:val="3"/>
        <w:numPr>
          <w:ilvl w:val="0"/>
          <w:numId w:val="2"/>
        </w:numPr>
        <w:ind w:firstLineChars="0"/>
      </w:pPr>
      <w:r>
        <w:t>《中华人民共和国城乡规划法》（2019</w:t>
      </w:r>
      <w:r>
        <w:rPr>
          <w:rFonts w:hint="eastAsia"/>
        </w:rPr>
        <w:t>年修正</w:t>
      </w:r>
      <w:r>
        <w:t>）；</w:t>
      </w:r>
    </w:p>
    <w:p>
      <w:pPr>
        <w:pStyle w:val="3"/>
        <w:numPr>
          <w:ilvl w:val="0"/>
          <w:numId w:val="2"/>
        </w:numPr>
        <w:ind w:firstLineChars="0"/>
      </w:pPr>
      <w:r>
        <w:t>《城市规划编制办法》（2006）；</w:t>
      </w:r>
    </w:p>
    <w:p>
      <w:pPr>
        <w:pStyle w:val="3"/>
        <w:numPr>
          <w:ilvl w:val="0"/>
          <w:numId w:val="2"/>
        </w:numPr>
        <w:ind w:firstLineChars="0"/>
      </w:pPr>
      <w:r>
        <w:t>《城市规划强制性内容暂行规定》(2002)；</w:t>
      </w:r>
    </w:p>
    <w:p>
      <w:pPr>
        <w:pStyle w:val="3"/>
        <w:numPr>
          <w:ilvl w:val="0"/>
          <w:numId w:val="2"/>
        </w:numPr>
        <w:ind w:firstLineChars="0"/>
      </w:pPr>
      <w:r>
        <w:t>《城市用地分类与规划建设用地标准》（GB50137-2011）；</w:t>
      </w:r>
    </w:p>
    <w:p>
      <w:pPr>
        <w:pStyle w:val="3"/>
        <w:numPr>
          <w:ilvl w:val="0"/>
          <w:numId w:val="2"/>
        </w:numPr>
        <w:ind w:firstLineChars="0"/>
      </w:pPr>
      <w:r>
        <w:t>《城市居住区规划设计标准》（GB50180-2018）；</w:t>
      </w:r>
    </w:p>
    <w:p>
      <w:pPr>
        <w:pStyle w:val="3"/>
        <w:numPr>
          <w:ilvl w:val="0"/>
          <w:numId w:val="2"/>
        </w:numPr>
        <w:ind w:firstLineChars="0"/>
      </w:pPr>
      <w:r>
        <w:t>《城市公共设施规划规范》（GB50442-2008）；</w:t>
      </w:r>
    </w:p>
    <w:p>
      <w:pPr>
        <w:pStyle w:val="3"/>
        <w:numPr>
          <w:ilvl w:val="0"/>
          <w:numId w:val="2"/>
        </w:numPr>
        <w:ind w:firstLineChars="0"/>
      </w:pPr>
      <w:r>
        <w:rPr>
          <w:rFonts w:hint="eastAsia"/>
        </w:rPr>
        <w:t>《城市综合交通体系规划标准》（</w:t>
      </w:r>
      <w:r>
        <w:t>GB/T51328-2018）</w:t>
      </w:r>
    </w:p>
    <w:p>
      <w:pPr>
        <w:pStyle w:val="3"/>
        <w:numPr>
          <w:ilvl w:val="0"/>
          <w:numId w:val="2"/>
        </w:numPr>
        <w:ind w:firstLineChars="0"/>
      </w:pPr>
      <w:r>
        <w:t>《城市道路交通</w:t>
      </w:r>
      <w:r>
        <w:rPr>
          <w:rFonts w:hint="eastAsia"/>
        </w:rPr>
        <w:t>组织设计</w:t>
      </w:r>
      <w:r>
        <w:t>规范》（GB/T36670-2018）；</w:t>
      </w:r>
    </w:p>
    <w:p>
      <w:pPr>
        <w:pStyle w:val="3"/>
        <w:numPr>
          <w:ilvl w:val="0"/>
          <w:numId w:val="2"/>
        </w:numPr>
        <w:ind w:firstLineChars="0"/>
      </w:pPr>
      <w:r>
        <w:t>《</w:t>
      </w:r>
      <w:r>
        <w:rPr>
          <w:rFonts w:hint="eastAsia"/>
        </w:rPr>
        <w:t>城乡建设</w:t>
      </w:r>
      <w:r>
        <w:t>用地竖向规划规范》（CJJ83-2016）；</w:t>
      </w:r>
    </w:p>
    <w:p>
      <w:pPr>
        <w:pStyle w:val="3"/>
        <w:numPr>
          <w:ilvl w:val="0"/>
          <w:numId w:val="2"/>
        </w:numPr>
        <w:ind w:firstLineChars="0"/>
      </w:pPr>
      <w:r>
        <w:rPr>
          <w:rFonts w:hint="eastAsia"/>
        </w:rPr>
        <w:t>《河北省城乡规划条例》（2016）；</w:t>
      </w:r>
    </w:p>
    <w:p>
      <w:pPr>
        <w:pStyle w:val="3"/>
        <w:numPr>
          <w:ilvl w:val="0"/>
          <w:numId w:val="2"/>
        </w:numPr>
        <w:ind w:firstLineChars="0"/>
      </w:pPr>
      <w:r>
        <w:rPr>
          <w:rFonts w:hint="eastAsia"/>
        </w:rPr>
        <w:t>《</w:t>
      </w:r>
      <w:r>
        <w:t>河北省城市控制性详细规划管理办法</w:t>
      </w:r>
      <w:r>
        <w:rPr>
          <w:rFonts w:hint="eastAsia"/>
        </w:rPr>
        <w:t>（试行）》</w:t>
      </w:r>
      <w:r>
        <w:t>（2009）</w:t>
      </w:r>
      <w:r>
        <w:rPr>
          <w:rFonts w:hint="eastAsia"/>
        </w:rPr>
        <w:t>；</w:t>
      </w:r>
    </w:p>
    <w:p>
      <w:pPr>
        <w:pStyle w:val="3"/>
        <w:numPr>
          <w:ilvl w:val="0"/>
          <w:numId w:val="2"/>
        </w:numPr>
        <w:ind w:firstLineChars="0"/>
      </w:pPr>
      <w:r>
        <w:rPr>
          <w:rFonts w:hint="eastAsia"/>
        </w:rPr>
        <w:t>《城乡公共服务设施配置和建设标准》（</w:t>
      </w:r>
      <w:r>
        <w:t>DB13(J)/T282-2018）</w:t>
      </w:r>
      <w:r>
        <w:rPr>
          <w:rFonts w:hint="eastAsia"/>
        </w:rPr>
        <w:t>；</w:t>
      </w:r>
    </w:p>
    <w:p>
      <w:pPr>
        <w:pStyle w:val="3"/>
        <w:numPr>
          <w:ilvl w:val="0"/>
          <w:numId w:val="2"/>
        </w:numPr>
        <w:ind w:firstLineChars="0"/>
      </w:pPr>
      <w:r>
        <w:rPr>
          <w:rFonts w:hint="eastAsia"/>
        </w:rPr>
        <w:t>《</w:t>
      </w:r>
      <w:r>
        <w:t>河北省城市控制性详细规划编制导则</w:t>
      </w:r>
      <w:r>
        <w:rPr>
          <w:rFonts w:hint="eastAsia"/>
        </w:rPr>
        <w:t>》</w:t>
      </w:r>
      <w:r>
        <w:t>（2012）；</w:t>
      </w:r>
    </w:p>
    <w:p>
      <w:pPr>
        <w:pStyle w:val="3"/>
        <w:numPr>
          <w:ilvl w:val="0"/>
          <w:numId w:val="2"/>
        </w:numPr>
        <w:ind w:firstLineChars="0"/>
      </w:pPr>
      <w:r>
        <w:t>《宁晋县城乡总体规划（2013-2030年）》</w:t>
      </w:r>
      <w:r>
        <w:rPr>
          <w:rFonts w:hint="eastAsia"/>
        </w:rPr>
        <w:t>（2019年</w:t>
      </w:r>
      <w:r>
        <w:t>修改</w:t>
      </w:r>
      <w:r>
        <w:rPr>
          <w:rFonts w:hint="eastAsia"/>
        </w:rPr>
        <w:t>版）</w:t>
      </w:r>
      <w:r>
        <w:t>；</w:t>
      </w:r>
    </w:p>
    <w:p>
      <w:pPr>
        <w:pStyle w:val="3"/>
        <w:numPr>
          <w:ilvl w:val="0"/>
          <w:numId w:val="2"/>
        </w:numPr>
        <w:ind w:firstLineChars="0"/>
      </w:pPr>
      <w:r>
        <w:t>《邢台市城市规划管理技术</w:t>
      </w:r>
      <w:r>
        <w:rPr>
          <w:rFonts w:hint="eastAsia"/>
        </w:rPr>
        <w:t>暂行</w:t>
      </w:r>
      <w:r>
        <w:t>规定》（2018</w:t>
      </w:r>
      <w:r>
        <w:rPr>
          <w:rFonts w:hint="eastAsia"/>
        </w:rPr>
        <w:t>）</w:t>
      </w:r>
      <w:r>
        <w:t>；</w:t>
      </w:r>
    </w:p>
    <w:p>
      <w:pPr>
        <w:pStyle w:val="3"/>
        <w:numPr>
          <w:ilvl w:val="0"/>
          <w:numId w:val="2"/>
        </w:numPr>
        <w:ind w:firstLineChars="0"/>
      </w:pPr>
      <w:r>
        <w:t>国家相关规范、河北省和邢台市人民政府有关部门相关规定及要求。</w:t>
      </w:r>
    </w:p>
    <w:p>
      <w:pPr>
        <w:pStyle w:val="2"/>
      </w:pPr>
      <w:r>
        <w:rPr>
          <w:rFonts w:hint="eastAsia"/>
        </w:rPr>
        <w:t>控制单元</w:t>
      </w:r>
    </w:p>
    <w:p>
      <w:pPr>
        <w:pStyle w:val="3"/>
      </w:pPr>
      <w:r>
        <w:rPr>
          <w:rFonts w:hint="eastAsia"/>
        </w:rPr>
        <w:t>根据规划布局及功能分区，规划区共划分6个控制单元。各控制单元的四至边界及用地规模等详见下表。</w:t>
      </w:r>
    </w:p>
    <w:p>
      <w:pPr>
        <w:pStyle w:val="13"/>
      </w:pPr>
      <w:r>
        <w:rPr>
          <w:rFonts w:hint="eastAsia"/>
        </w:rPr>
        <w:t>表1</w:t>
      </w:r>
      <w:r>
        <w:t>.</w:t>
      </w:r>
      <w:r>
        <w:rPr>
          <w:rFonts w:hint="eastAsia"/>
        </w:rPr>
        <w:t>控制单元划分</w:t>
      </w:r>
    </w:p>
    <w:tbl>
      <w:tblPr>
        <w:tblStyle w:val="8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3"/>
        <w:gridCol w:w="6553"/>
        <w:gridCol w:w="12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424" w:type="pct"/>
            <w:shd w:val="clear" w:color="auto" w:fill="BEBEBE" w:themeFill="background1" w:themeFillShade="BF"/>
            <w:vAlign w:val="center"/>
          </w:tcPr>
          <w:p>
            <w:pPr>
              <w:pStyle w:val="13"/>
              <w:rPr>
                <w:b/>
              </w:rPr>
            </w:pPr>
            <w:r>
              <w:rPr>
                <w:rFonts w:hint="eastAsia" w:ascii="Times New Roman" w:hAnsi="Times New Roman"/>
                <w:b/>
              </w:rPr>
              <w:t>单元编号</w:t>
            </w:r>
          </w:p>
        </w:tc>
        <w:tc>
          <w:tcPr>
            <w:tcW w:w="3845" w:type="pct"/>
            <w:shd w:val="clear" w:color="auto" w:fill="BEBEBE" w:themeFill="background1" w:themeFillShade="BF"/>
            <w:vAlign w:val="center"/>
          </w:tcPr>
          <w:p>
            <w:pPr>
              <w:pStyle w:val="13"/>
              <w:rPr>
                <w:b/>
              </w:rPr>
            </w:pPr>
            <w:r>
              <w:rPr>
                <w:rFonts w:hint="eastAsia" w:ascii="Times New Roman" w:hAnsi="Times New Roman"/>
                <w:b/>
              </w:rPr>
              <w:t>四至边界</w:t>
            </w:r>
          </w:p>
        </w:tc>
        <w:tc>
          <w:tcPr>
            <w:tcW w:w="731" w:type="pct"/>
            <w:shd w:val="clear" w:color="auto" w:fill="BEBEBE" w:themeFill="background1" w:themeFillShade="BF"/>
            <w:vAlign w:val="center"/>
          </w:tcPr>
          <w:p>
            <w:pPr>
              <w:pStyle w:val="13"/>
              <w:rPr>
                <w:b/>
              </w:rPr>
            </w:pPr>
            <w:r>
              <w:rPr>
                <w:rFonts w:hint="eastAsia" w:ascii="Times New Roman" w:hAnsi="Times New Roman"/>
                <w:b/>
              </w:rPr>
              <w:t>用地规模（</w:t>
            </w:r>
            <w:r>
              <w:rPr>
                <w:rFonts w:ascii="Times New Roman" w:hAnsi="Times New Roman"/>
                <w:b/>
              </w:rPr>
              <w:t>km</w:t>
            </w:r>
            <w:r>
              <w:rPr>
                <w:rFonts w:ascii="Times New Roman" w:hAnsi="Times New Roman"/>
                <w:b/>
                <w:vertAlign w:val="superscript"/>
              </w:rPr>
              <w:t>2</w:t>
            </w:r>
            <w:r>
              <w:rPr>
                <w:rFonts w:hint="eastAsia" w:ascii="Times New Roman" w:hAnsi="Times New Roman"/>
                <w:b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424" w:type="pct"/>
            <w:vAlign w:val="center"/>
          </w:tcPr>
          <w:p>
            <w:pPr>
              <w:pStyle w:val="13"/>
            </w:pPr>
            <w:r>
              <w:rPr>
                <w:rFonts w:ascii="Times New Roman" w:hAnsi="Times New Roman"/>
              </w:rPr>
              <w:t>02</w:t>
            </w:r>
          </w:p>
        </w:tc>
        <w:tc>
          <w:tcPr>
            <w:tcW w:w="3845" w:type="pct"/>
            <w:vAlign w:val="center"/>
          </w:tcPr>
          <w:p>
            <w:pPr>
              <w:pStyle w:val="13"/>
            </w:pPr>
            <w:r>
              <w:rPr>
                <w:rFonts w:hint="eastAsia" w:ascii="Times New Roman" w:hAnsi="Times New Roman"/>
              </w:rPr>
              <w:t>西至汪洋沟，东至滨河东路，北至北环路，南至和平大街</w:t>
            </w:r>
          </w:p>
        </w:tc>
        <w:tc>
          <w:tcPr>
            <w:tcW w:w="731" w:type="pct"/>
            <w:vAlign w:val="center"/>
          </w:tcPr>
          <w:p>
            <w:pPr>
              <w:pStyle w:val="13"/>
              <w:rPr>
                <w:kern w:val="0"/>
              </w:rPr>
            </w:pPr>
            <w:r>
              <w:rPr>
                <w:rFonts w:ascii="Times New Roman" w:hAnsi="Times New Roman"/>
                <w:kern w:val="0"/>
              </w:rPr>
              <w:t>1.36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424" w:type="pct"/>
            <w:vAlign w:val="center"/>
          </w:tcPr>
          <w:p>
            <w:pPr>
              <w:pStyle w:val="1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03</w:t>
            </w:r>
          </w:p>
        </w:tc>
        <w:tc>
          <w:tcPr>
            <w:tcW w:w="3845" w:type="pct"/>
            <w:vAlign w:val="center"/>
          </w:tcPr>
          <w:p>
            <w:pPr>
              <w:pStyle w:val="13"/>
              <w:rPr>
                <w:rFonts w:ascii="Times New Roman" w:hAnsi="Times New Roman"/>
              </w:rPr>
            </w:pPr>
            <w:r>
              <w:rPr>
                <w:rFonts w:hint="eastAsia" w:ascii="Times New Roman" w:hAnsi="Times New Roman"/>
              </w:rPr>
              <w:t>西至汪洋沟、西环路，东至滨河东路，北至纬五街，南至北环路</w:t>
            </w:r>
          </w:p>
        </w:tc>
        <w:tc>
          <w:tcPr>
            <w:tcW w:w="731" w:type="pct"/>
            <w:vAlign w:val="center"/>
          </w:tcPr>
          <w:p>
            <w:pPr>
              <w:pStyle w:val="13"/>
              <w:rPr>
                <w:rFonts w:ascii="Times New Roman" w:hAnsi="Times New Roman"/>
                <w:kern w:val="0"/>
              </w:rPr>
            </w:pPr>
            <w:r>
              <w:rPr>
                <w:rFonts w:hint="eastAsia" w:ascii="Times New Roman" w:hAnsi="Times New Roman"/>
                <w:kern w:val="0"/>
              </w:rPr>
              <w:t>1</w:t>
            </w:r>
            <w:r>
              <w:rPr>
                <w:rFonts w:ascii="Times New Roman" w:hAnsi="Times New Roman"/>
                <w:kern w:val="0"/>
              </w:rPr>
              <w:t>.72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424" w:type="pct"/>
            <w:vAlign w:val="center"/>
          </w:tcPr>
          <w:p>
            <w:pPr>
              <w:pStyle w:val="13"/>
              <w:rPr>
                <w:lang w:val="zh-CN"/>
              </w:rPr>
            </w:pPr>
            <w:r>
              <w:rPr>
                <w:rFonts w:ascii="Times New Roman" w:hAnsi="Times New Roman"/>
              </w:rPr>
              <w:t>04</w:t>
            </w:r>
          </w:p>
        </w:tc>
        <w:tc>
          <w:tcPr>
            <w:tcW w:w="3845" w:type="pct"/>
            <w:vAlign w:val="center"/>
          </w:tcPr>
          <w:p>
            <w:pPr>
              <w:pStyle w:val="13"/>
              <w:rPr>
                <w:lang w:val="zh-CN"/>
              </w:rPr>
            </w:pPr>
            <w:r>
              <w:rPr>
                <w:rFonts w:hint="eastAsia" w:ascii="Times New Roman" w:hAnsi="Times New Roman"/>
              </w:rPr>
              <w:t>西至滨河东路，东至凤凰路，北至北环路，南至和平大街</w:t>
            </w:r>
          </w:p>
        </w:tc>
        <w:tc>
          <w:tcPr>
            <w:tcW w:w="731" w:type="pct"/>
            <w:vAlign w:val="center"/>
          </w:tcPr>
          <w:p>
            <w:pPr>
              <w:pStyle w:val="13"/>
              <w:rPr>
                <w:kern w:val="0"/>
              </w:rPr>
            </w:pPr>
            <w:r>
              <w:rPr>
                <w:rFonts w:ascii="Times New Roman" w:hAnsi="Times New Roman"/>
                <w:kern w:val="0"/>
              </w:rPr>
              <w:t>2.44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424" w:type="pct"/>
            <w:vAlign w:val="center"/>
          </w:tcPr>
          <w:p>
            <w:pPr>
              <w:pStyle w:val="13"/>
            </w:pPr>
            <w:r>
              <w:rPr>
                <w:rFonts w:hint="eastAsia"/>
              </w:rPr>
              <w:t>0</w:t>
            </w:r>
            <w:r>
              <w:t>5</w:t>
            </w:r>
          </w:p>
        </w:tc>
        <w:tc>
          <w:tcPr>
            <w:tcW w:w="3845" w:type="pct"/>
            <w:vAlign w:val="center"/>
          </w:tcPr>
          <w:p>
            <w:pPr>
              <w:pStyle w:val="13"/>
              <w:rPr>
                <w:lang w:val="zh-CN"/>
              </w:rPr>
            </w:pPr>
            <w:r>
              <w:rPr>
                <w:rFonts w:hint="eastAsia" w:ascii="Times New Roman" w:hAnsi="Times New Roman"/>
              </w:rPr>
              <w:t>西至凤凰路，东至月城路、平安路，北至北环路、康宁大街，南至和平大街</w:t>
            </w:r>
          </w:p>
        </w:tc>
        <w:tc>
          <w:tcPr>
            <w:tcW w:w="731" w:type="pct"/>
            <w:vAlign w:val="center"/>
          </w:tcPr>
          <w:p>
            <w:pPr>
              <w:pStyle w:val="13"/>
              <w:rPr>
                <w:kern w:val="0"/>
              </w:rPr>
            </w:pPr>
            <w:r>
              <w:rPr>
                <w:rFonts w:ascii="Times New Roman" w:hAnsi="Times New Roman"/>
                <w:kern w:val="0"/>
              </w:rPr>
              <w:t>2.13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424" w:type="pct"/>
            <w:vAlign w:val="center"/>
          </w:tcPr>
          <w:p>
            <w:pPr>
              <w:pStyle w:val="13"/>
            </w:pPr>
            <w:r>
              <w:rPr>
                <w:rFonts w:ascii="Times New Roman" w:hAnsi="Times New Roman"/>
              </w:rPr>
              <w:t>06</w:t>
            </w:r>
          </w:p>
        </w:tc>
        <w:tc>
          <w:tcPr>
            <w:tcW w:w="3845" w:type="pct"/>
            <w:vAlign w:val="center"/>
          </w:tcPr>
          <w:p>
            <w:pPr>
              <w:pStyle w:val="13"/>
              <w:rPr>
                <w:lang w:val="zh-CN"/>
              </w:rPr>
            </w:pPr>
            <w:r>
              <w:rPr>
                <w:rFonts w:hint="eastAsia" w:ascii="Times New Roman" w:hAnsi="Times New Roman"/>
              </w:rPr>
              <w:t>西至月城路，东至平安路，北至北环路，南至康宁大街</w:t>
            </w:r>
          </w:p>
        </w:tc>
        <w:tc>
          <w:tcPr>
            <w:tcW w:w="731" w:type="pct"/>
            <w:vAlign w:val="center"/>
          </w:tcPr>
          <w:p>
            <w:pPr>
              <w:pStyle w:val="13"/>
              <w:rPr>
                <w:kern w:val="0"/>
              </w:rPr>
            </w:pPr>
            <w:r>
              <w:rPr>
                <w:rFonts w:ascii="Times New Roman" w:hAnsi="Times New Roman"/>
                <w:kern w:val="0"/>
              </w:rPr>
              <w:t>1.15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424" w:type="pct"/>
            <w:vAlign w:val="center"/>
          </w:tcPr>
          <w:p>
            <w:pPr>
              <w:pStyle w:val="13"/>
              <w:rPr>
                <w:rFonts w:ascii="Times New Roman" w:hAnsi="Times New Roman"/>
              </w:rPr>
            </w:pPr>
            <w:r>
              <w:rPr>
                <w:rFonts w:hint="eastAsia" w:ascii="Times New Roman" w:hAnsi="Times New Roman"/>
              </w:rPr>
              <w:t>3</w:t>
            </w: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3845" w:type="pct"/>
            <w:vAlign w:val="center"/>
          </w:tcPr>
          <w:p>
            <w:pPr>
              <w:pStyle w:val="13"/>
              <w:rPr>
                <w:rFonts w:ascii="Times New Roman" w:hAnsi="Times New Roman"/>
              </w:rPr>
            </w:pPr>
            <w:r>
              <w:rPr>
                <w:rFonts w:hint="eastAsia" w:ascii="Times New Roman" w:hAnsi="Times New Roman"/>
              </w:rPr>
              <w:t>西至滨河东路，东至希望路，北至纬五街，南至纬八街</w:t>
            </w:r>
          </w:p>
        </w:tc>
        <w:tc>
          <w:tcPr>
            <w:tcW w:w="731" w:type="pct"/>
            <w:vAlign w:val="center"/>
          </w:tcPr>
          <w:p>
            <w:pPr>
              <w:pStyle w:val="13"/>
              <w:rPr>
                <w:rFonts w:ascii="Times New Roman" w:hAnsi="Times New Roman"/>
                <w:kern w:val="0"/>
              </w:rPr>
            </w:pPr>
            <w:r>
              <w:rPr>
                <w:rFonts w:hint="eastAsia" w:ascii="Times New Roman" w:hAnsi="Times New Roman"/>
                <w:kern w:val="0"/>
              </w:rPr>
              <w:t>0</w:t>
            </w:r>
            <w:r>
              <w:rPr>
                <w:rFonts w:ascii="Times New Roman" w:hAnsi="Times New Roman"/>
                <w:kern w:val="0"/>
              </w:rPr>
              <w:t>.82</w:t>
            </w:r>
          </w:p>
        </w:tc>
      </w:tr>
    </w:tbl>
    <w:p>
      <w:r>
        <w:drawing>
          <wp:inline distT="0" distB="0" distL="0" distR="0">
            <wp:extent cx="5274310" cy="3726180"/>
            <wp:effectExtent l="0" t="0" r="2540" b="7620"/>
            <wp:docPr id="1" name="图片 1" descr="C:\Users\Administrator\Desktop\01.李庄总规修改公示\jpg\07-街坊编号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Administrator\Desktop\01.李庄总规修改公示\jpg\07-街坊编号图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hint="eastAsia"/>
        </w:rPr>
        <w:t>功能定位</w:t>
      </w:r>
    </w:p>
    <w:p>
      <w:pPr>
        <w:pStyle w:val="3"/>
      </w:pPr>
      <w:r>
        <w:rPr>
          <w:rFonts w:hint="eastAsia"/>
        </w:rPr>
        <w:t>宁晋跨越式发展引擎区、中心城区北部发展的核心区域；承载宁晋印象的名片；集公共服务、商务办公、高等教育、生态居住等多种功能为一体的综合性城市片区。</w:t>
      </w:r>
    </w:p>
    <w:p>
      <w:pPr>
        <w:pStyle w:val="2"/>
      </w:pPr>
      <w:r>
        <w:rPr>
          <w:rFonts w:hint="eastAsia"/>
        </w:rPr>
        <w:t>主要规划指标</w:t>
      </w:r>
    </w:p>
    <w:p>
      <w:pPr>
        <w:pStyle w:val="3"/>
      </w:pPr>
      <w:r>
        <w:rPr>
          <w:rFonts w:hint="eastAsia"/>
        </w:rPr>
        <w:t>用地规模：规划总用地面积</w:t>
      </w:r>
      <w:r>
        <w:t>962.39公顷，其中城市建设用地面积885.85公顷，</w:t>
      </w:r>
      <w:r>
        <w:rPr>
          <w:rFonts w:hint="eastAsia"/>
        </w:rPr>
        <w:t>水域</w:t>
      </w:r>
      <w:r>
        <w:t>面积</w:t>
      </w:r>
      <w:r>
        <w:rPr>
          <w:rFonts w:hint="eastAsia"/>
        </w:rPr>
        <w:t>53.8</w:t>
      </w:r>
      <w:r>
        <w:t>3公顷</w:t>
      </w:r>
      <w:r>
        <w:rPr>
          <w:rFonts w:hint="eastAsia"/>
        </w:rPr>
        <w:t>，生态保育绿地面积2</w:t>
      </w:r>
      <w:r>
        <w:t>1.45</w:t>
      </w:r>
      <w:r>
        <w:rPr>
          <w:rFonts w:hint="eastAsia"/>
        </w:rPr>
        <w:t>公顷</w:t>
      </w:r>
      <w:r>
        <w:t>。</w:t>
      </w:r>
    </w:p>
    <w:p>
      <w:pPr>
        <w:pStyle w:val="3"/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960" cy="3721735"/>
            <wp:effectExtent l="0" t="0" r="8890" b="12065"/>
            <wp:docPr id="3" name="图片 3" descr="01-土地利用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1-土地利用规划图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hint="eastAsia"/>
        </w:rPr>
        <w:t>规划结构</w:t>
      </w:r>
    </w:p>
    <w:p>
      <w:pPr>
        <w:pStyle w:val="3"/>
      </w:pPr>
      <w:r>
        <w:rPr>
          <w:rFonts w:hint="eastAsia"/>
        </w:rPr>
        <w:t>规划形成“多核引领、轴线驱动、组团放射、蓝绿交融”的规划发展格局。</w:t>
      </w:r>
    </w:p>
    <w:p>
      <w:pPr>
        <w:pStyle w:val="3"/>
      </w:pPr>
      <w:r>
        <w:rPr>
          <w:rFonts w:hint="eastAsia"/>
        </w:rPr>
        <w:t>多核引领：由公共服务核心及教育医养核心引领规划区打造城市高品质的“城市会客厅”。</w:t>
      </w:r>
    </w:p>
    <w:p>
      <w:pPr>
        <w:pStyle w:val="3"/>
      </w:pPr>
      <w:r>
        <w:rPr>
          <w:rFonts w:hint="eastAsia"/>
        </w:rPr>
        <w:t>轴线驱动：城市功能发展轴，强化产城对接，沿线布局城市文化休闲及商务办公等功能。</w:t>
      </w:r>
    </w:p>
    <w:p>
      <w:pPr>
        <w:pStyle w:val="3"/>
      </w:pPr>
      <w:r>
        <w:rPr>
          <w:rFonts w:hint="eastAsia"/>
        </w:rPr>
        <w:t>组团放射：通过3个居住单元、1个滨河公园及1个教育园区辐射带动规划区发展。</w:t>
      </w:r>
    </w:p>
    <w:p>
      <w:pPr>
        <w:pStyle w:val="3"/>
      </w:pPr>
      <w:r>
        <w:rPr>
          <w:rFonts w:hint="eastAsia"/>
        </w:rPr>
        <w:t>蓝绿交融：沿汪洋沟及凤璇沟打造滨河生态景观带，与城市功能融为一体。</w:t>
      </w:r>
    </w:p>
    <w:p>
      <w:pPr>
        <w:pStyle w:val="3"/>
        <w:ind w:firstLine="0" w:firstLineChars="0"/>
      </w:pPr>
      <w:r>
        <w:pict>
          <v:shape id="_x0000_i1026" o:spt="75" type="#_x0000_t75" style="height:292.85pt;width:414.8pt;" filled="f" o:preferrelative="t" stroked="f" coordsize="21600,21600">
            <v:path/>
            <v:fill on="f" focussize="0,0"/>
            <v:stroke on="f" joinstyle="miter"/>
            <v:imagedata r:id="rId6" o:title="02-规划结构图"/>
            <o:lock v:ext="edit" aspectratio="t"/>
            <w10:wrap type="none"/>
            <w10:anchorlock/>
          </v:shape>
        </w:pict>
      </w:r>
    </w:p>
    <w:p/>
    <w:p>
      <w:pPr>
        <w:pStyle w:val="2"/>
      </w:pPr>
      <w:r>
        <w:rPr>
          <w:rFonts w:hint="eastAsia"/>
        </w:rPr>
        <w:t>居住用地规划</w:t>
      </w:r>
    </w:p>
    <w:p>
      <w:pPr>
        <w:pStyle w:val="3"/>
      </w:pPr>
      <w:r>
        <w:rPr>
          <w:rFonts w:hint="eastAsia"/>
        </w:rPr>
        <w:t>规划居住用地面积</w:t>
      </w:r>
      <w:r>
        <w:t>307.94公顷，占城市建设用地比例34.71%。</w:t>
      </w:r>
    </w:p>
    <w:p>
      <w:pPr>
        <w:pStyle w:val="3"/>
      </w:pPr>
      <w:r>
        <w:rPr>
          <w:rFonts w:hint="eastAsia"/>
        </w:rPr>
        <w:t>本次规划按照人口对公共配套服务设施进行分解配置，分别构建十五</w:t>
      </w:r>
      <w:r>
        <w:t>分钟生活圈、</w:t>
      </w:r>
      <w:r>
        <w:rPr>
          <w:rFonts w:hint="eastAsia"/>
        </w:rPr>
        <w:t>十</w:t>
      </w:r>
      <w:r>
        <w:t>分钟生活圈以及</w:t>
      </w:r>
      <w:r>
        <w:rPr>
          <w:rFonts w:hint="eastAsia"/>
        </w:rPr>
        <w:t>五分钟生活圈。</w:t>
      </w:r>
    </w:p>
    <w:p>
      <w:pPr>
        <w:pStyle w:val="3"/>
      </w:pPr>
      <w:r>
        <w:rPr>
          <w:rFonts w:hint="eastAsia"/>
        </w:rPr>
        <w:t>（一）</w:t>
      </w:r>
      <w:r>
        <w:t>凤翔社区</w:t>
      </w:r>
    </w:p>
    <w:p>
      <w:pPr>
        <w:pStyle w:val="3"/>
      </w:pPr>
      <w:r>
        <w:rPr>
          <w:rFonts w:hint="eastAsia"/>
        </w:rPr>
        <w:t>该社区位于本规划区中部区域，总面积约</w:t>
      </w:r>
      <w:r>
        <w:t>2.90平方公里，其中二类居住用地面积</w:t>
      </w:r>
      <w:r>
        <w:rPr>
          <w:rFonts w:hint="eastAsia"/>
        </w:rPr>
        <w:t>1</w:t>
      </w:r>
      <w:r>
        <w:t>54.82公顷，可容纳5.7万人。本社区包括1个</w:t>
      </w:r>
      <w:r>
        <w:rPr>
          <w:rFonts w:hint="eastAsia"/>
        </w:rPr>
        <w:t>十五分钟生活圈</w:t>
      </w:r>
      <w:r>
        <w:t>、5个</w:t>
      </w:r>
      <w:r>
        <w:rPr>
          <w:rFonts w:hint="eastAsia"/>
        </w:rPr>
        <w:t>五分钟</w:t>
      </w:r>
      <w:r>
        <w:t>生活圈，</w:t>
      </w:r>
      <w:r>
        <w:rPr>
          <w:rFonts w:hint="eastAsia"/>
        </w:rPr>
        <w:t>十五分钟生活圈居住区配套设施位于希望路与纬二街交叉口处。</w:t>
      </w:r>
    </w:p>
    <w:p>
      <w:pPr>
        <w:pStyle w:val="3"/>
      </w:pPr>
      <w:r>
        <w:rPr>
          <w:rFonts w:hint="eastAsia"/>
        </w:rPr>
        <w:t>（二）</w:t>
      </w:r>
      <w:r>
        <w:t>凤璇社区</w:t>
      </w:r>
    </w:p>
    <w:p>
      <w:pPr>
        <w:pStyle w:val="3"/>
      </w:pPr>
      <w:r>
        <w:rPr>
          <w:rFonts w:hint="eastAsia"/>
        </w:rPr>
        <w:t>该社区位于本规划区东部区域，总面积约</w:t>
      </w:r>
      <w:r>
        <w:t>1.95平方公里，其中二类居住用地面积106.75公顷，可容纳2.8万人。本社区包括1个</w:t>
      </w:r>
      <w:r>
        <w:rPr>
          <w:rFonts w:hint="eastAsia"/>
        </w:rPr>
        <w:t>十五分钟生活圈</w:t>
      </w:r>
      <w:r>
        <w:t>、3个</w:t>
      </w:r>
      <w:r>
        <w:rPr>
          <w:rFonts w:hint="eastAsia"/>
        </w:rPr>
        <w:t>五分钟生活圈</w:t>
      </w:r>
      <w:r>
        <w:t>。</w:t>
      </w:r>
      <w:r>
        <w:rPr>
          <w:rFonts w:hint="eastAsia"/>
        </w:rPr>
        <w:t>十五分钟生活圈居住区配套设施位于月城路与康宁大街交叉口处。</w:t>
      </w:r>
    </w:p>
    <w:p>
      <w:pPr>
        <w:pStyle w:val="3"/>
      </w:pPr>
      <w:r>
        <w:rPr>
          <w:rFonts w:hint="eastAsia"/>
        </w:rPr>
        <w:t>（三）</w:t>
      </w:r>
      <w:r>
        <w:t>凤舞社区</w:t>
      </w:r>
    </w:p>
    <w:p>
      <w:pPr>
        <w:pStyle w:val="3"/>
      </w:pPr>
      <w:r>
        <w:rPr>
          <w:rFonts w:hint="eastAsia"/>
        </w:rPr>
        <w:t>该社区位于本规划区北部区域，总面积约</w:t>
      </w:r>
      <w:r>
        <w:t>0.73平方公里，其中二类居住用地面积46.37公顷，可容纳1.5万人。本社区包括1个</w:t>
      </w:r>
      <w:r>
        <w:rPr>
          <w:rFonts w:hint="eastAsia"/>
        </w:rPr>
        <w:t>十分钟</w:t>
      </w:r>
      <w:r>
        <w:t>生活圈、2个</w:t>
      </w:r>
      <w:r>
        <w:rPr>
          <w:rFonts w:hint="eastAsia"/>
        </w:rPr>
        <w:t>五分钟</w:t>
      </w:r>
      <w:r>
        <w:t>生活圈，</w:t>
      </w:r>
      <w:r>
        <w:rPr>
          <w:rFonts w:hint="eastAsia"/>
        </w:rPr>
        <w:t>十分钟</w:t>
      </w:r>
      <w:r>
        <w:t>生活圈居住区配套设施</w:t>
      </w:r>
      <w:r>
        <w:rPr>
          <w:rFonts w:hint="eastAsia"/>
        </w:rPr>
        <w:t>位于经四路与纬七街交叉口处。</w:t>
      </w:r>
    </w:p>
    <w:p>
      <w:pPr>
        <w:pStyle w:val="3"/>
        <w:ind w:firstLine="0" w:firstLineChars="0"/>
      </w:pPr>
      <w:r>
        <w:pict>
          <v:shape id="_x0000_i1027" o:spt="75" type="#_x0000_t75" style="height:292.85pt;width:414.8pt;" filled="f" o:preferrelative="t" stroked="f" coordsize="21600,21600">
            <v:path/>
            <v:fill on="f" focussize="0,0"/>
            <v:stroke on="f" joinstyle="miter"/>
            <v:imagedata r:id="rId7" o:title="03-居住社区规划图"/>
            <o:lock v:ext="edit" aspectratio="t"/>
            <w10:wrap type="none"/>
            <w10:anchorlock/>
          </v:shape>
        </w:pict>
      </w:r>
    </w:p>
    <w:p>
      <w:pPr>
        <w:pStyle w:val="2"/>
      </w:pPr>
      <w:r>
        <w:rPr>
          <w:rFonts w:hint="eastAsia"/>
        </w:rPr>
        <w:t>公共服务设施规划</w:t>
      </w:r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公共服务设施包括行政办公、教育、文化、体育、医疗、社会福利等设施。按照城市级、十五分钟生活圈、十分钟生活圈、</w:t>
      </w:r>
      <w:r>
        <w:rPr>
          <w:rFonts w:cs="宋体"/>
          <w:kern w:val="0"/>
          <w:szCs w:val="24"/>
        </w:rPr>
        <w:t>五分钟生活圈</w:t>
      </w:r>
      <w:r>
        <w:rPr>
          <w:rFonts w:hint="eastAsia" w:cs="宋体"/>
          <w:kern w:val="0"/>
          <w:szCs w:val="24"/>
        </w:rPr>
        <w:t>进行分级设置。</w:t>
      </w:r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十五分钟、十分钟生活圈居住区配套设施包括：中小学、社区综合服务中心、街道办事处、公安派出所、社区医疗服务中心、社区文化活动中心、社区养老院、老年人活动中心、社区体育运动场、社区商业服务中心、菜市场、邮政所、分区共同配送中心等；</w:t>
      </w:r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五分钟生活圈居住区配套设施包括：社区卫生服务站、社区文化活动站、居民活动场、托老所、社区服务站、居委会、社区商业服务网点、社区终端共同配送站、幼儿园等。</w:t>
      </w:r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公共服务设施依据《城乡公共服务设施配置和建设标准》（</w:t>
      </w:r>
      <w:r>
        <w:rPr>
          <w:rFonts w:cs="宋体"/>
          <w:kern w:val="0"/>
          <w:szCs w:val="24"/>
        </w:rPr>
        <w:t>DB13(J)/T282-2018）</w:t>
      </w:r>
      <w:r>
        <w:rPr>
          <w:rFonts w:hint="eastAsia" w:cs="宋体"/>
          <w:kern w:val="0"/>
          <w:szCs w:val="24"/>
        </w:rPr>
        <w:t>、《城市居住区规划设计标准》（</w:t>
      </w:r>
      <w:r>
        <w:rPr>
          <w:rFonts w:cs="宋体"/>
          <w:kern w:val="0"/>
          <w:szCs w:val="24"/>
        </w:rPr>
        <w:t>GB50180-2018）</w:t>
      </w:r>
      <w:r>
        <w:rPr>
          <w:rFonts w:hint="eastAsia" w:cs="宋体"/>
          <w:kern w:val="0"/>
          <w:szCs w:val="24"/>
        </w:rPr>
        <w:t>进行配置。</w:t>
      </w:r>
    </w:p>
    <w:p>
      <w:pPr>
        <w:pStyle w:val="3"/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960" cy="3721735"/>
            <wp:effectExtent l="0" t="0" r="8890" b="12065"/>
            <wp:docPr id="4" name="图片 4" descr="04-公共服务设施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4-公共服务设施规划图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hint="eastAsia"/>
        </w:rPr>
        <w:t>主要指标控制</w:t>
      </w:r>
    </w:p>
    <w:p>
      <w:pPr>
        <w:pStyle w:val="3"/>
      </w:pPr>
      <w:r>
        <w:rPr>
          <w:rFonts w:hint="eastAsia"/>
        </w:rPr>
        <w:t>（一）容积率控制</w:t>
      </w:r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居住用地：凤鸣湖周边及月城路东侧居住用地容积率控制在1</w:t>
      </w:r>
      <w:r>
        <w:rPr>
          <w:rFonts w:cs="宋体"/>
          <w:kern w:val="0"/>
          <w:szCs w:val="24"/>
        </w:rPr>
        <w:t>.5</w:t>
      </w:r>
      <w:r>
        <w:rPr>
          <w:rFonts w:hint="eastAsia" w:cs="宋体"/>
          <w:kern w:val="0"/>
          <w:szCs w:val="24"/>
        </w:rPr>
        <w:t>以内，其余居住用地容积率控制在1</w:t>
      </w:r>
      <w:r>
        <w:rPr>
          <w:rFonts w:cs="宋体"/>
          <w:kern w:val="0"/>
          <w:szCs w:val="24"/>
        </w:rPr>
        <w:t>.8-2.0</w:t>
      </w:r>
      <w:r>
        <w:rPr>
          <w:rFonts w:hint="eastAsia" w:cs="宋体"/>
          <w:kern w:val="0"/>
          <w:szCs w:val="24"/>
        </w:rPr>
        <w:t>以内。</w:t>
      </w:r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公共管理与公共服务设施用地：中小学用地容积率控制在0</w:t>
      </w:r>
      <w:r>
        <w:rPr>
          <w:rFonts w:cs="宋体"/>
          <w:kern w:val="0"/>
          <w:szCs w:val="24"/>
        </w:rPr>
        <w:t>.9</w:t>
      </w:r>
      <w:r>
        <w:rPr>
          <w:rFonts w:hint="eastAsia" w:cs="宋体"/>
          <w:kern w:val="0"/>
          <w:szCs w:val="24"/>
        </w:rPr>
        <w:t>以内，高等院校用地容积率控制在1</w:t>
      </w:r>
      <w:r>
        <w:rPr>
          <w:rFonts w:cs="宋体"/>
          <w:kern w:val="0"/>
          <w:szCs w:val="24"/>
        </w:rPr>
        <w:t>.5-1.8</w:t>
      </w:r>
      <w:r>
        <w:rPr>
          <w:rFonts w:hint="eastAsia" w:cs="宋体"/>
          <w:kern w:val="0"/>
          <w:szCs w:val="24"/>
        </w:rPr>
        <w:t>以内，文化艺术中心容积率控制在1</w:t>
      </w:r>
      <w:r>
        <w:rPr>
          <w:rFonts w:cs="宋体"/>
          <w:kern w:val="0"/>
          <w:szCs w:val="24"/>
        </w:rPr>
        <w:t>.2</w:t>
      </w:r>
      <w:r>
        <w:rPr>
          <w:rFonts w:hint="eastAsia" w:cs="宋体"/>
          <w:kern w:val="0"/>
          <w:szCs w:val="24"/>
        </w:rPr>
        <w:t>以内，其余公共服务设施容积率控制在1</w:t>
      </w:r>
      <w:r>
        <w:rPr>
          <w:rFonts w:cs="宋体"/>
          <w:kern w:val="0"/>
          <w:szCs w:val="24"/>
        </w:rPr>
        <w:t>.0</w:t>
      </w:r>
      <w:r>
        <w:rPr>
          <w:rFonts w:hint="eastAsia" w:cs="宋体"/>
          <w:kern w:val="0"/>
          <w:szCs w:val="24"/>
        </w:rPr>
        <w:t>以内。</w:t>
      </w:r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商业服务业设施用地：商务用地容积率控制在</w:t>
      </w:r>
      <w:r>
        <w:rPr>
          <w:rFonts w:cs="宋体"/>
          <w:kern w:val="0"/>
          <w:szCs w:val="24"/>
        </w:rPr>
        <w:t>3.0</w:t>
      </w:r>
      <w:r>
        <w:rPr>
          <w:rFonts w:hint="eastAsia" w:cs="宋体"/>
          <w:kern w:val="0"/>
          <w:szCs w:val="24"/>
        </w:rPr>
        <w:t>以内，纬一街北侧商业容积率控制在2</w:t>
      </w:r>
      <w:r>
        <w:rPr>
          <w:rFonts w:cs="宋体"/>
          <w:kern w:val="0"/>
          <w:szCs w:val="24"/>
        </w:rPr>
        <w:t>.5</w:t>
      </w:r>
      <w:r>
        <w:rPr>
          <w:rFonts w:hint="eastAsia" w:cs="宋体"/>
          <w:kern w:val="0"/>
          <w:szCs w:val="24"/>
        </w:rPr>
        <w:t>以内，加油加气站用地容积率控制在0</w:t>
      </w:r>
      <w:r>
        <w:rPr>
          <w:rFonts w:cs="宋体"/>
          <w:kern w:val="0"/>
          <w:szCs w:val="24"/>
        </w:rPr>
        <w:t>.6</w:t>
      </w:r>
      <w:r>
        <w:rPr>
          <w:rFonts w:hint="eastAsia" w:cs="宋体"/>
          <w:kern w:val="0"/>
          <w:szCs w:val="24"/>
        </w:rPr>
        <w:t>以内，其余商业用地容积率控制在1</w:t>
      </w:r>
      <w:r>
        <w:rPr>
          <w:rFonts w:cs="宋体"/>
          <w:kern w:val="0"/>
          <w:szCs w:val="24"/>
        </w:rPr>
        <w:t>.5-2.0</w:t>
      </w:r>
      <w:r>
        <w:rPr>
          <w:rFonts w:hint="eastAsia" w:cs="宋体"/>
          <w:kern w:val="0"/>
          <w:szCs w:val="24"/>
        </w:rPr>
        <w:t>以内。</w:t>
      </w:r>
    </w:p>
    <w:p>
      <w:pPr>
        <w:pStyle w:val="3"/>
        <w:ind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7960" cy="3721735"/>
            <wp:effectExtent l="0" t="0" r="8890" b="12065"/>
            <wp:docPr id="5" name="图片 5" descr="微信图片_20191101102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1911011023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firstLine="0" w:firstLineChars="0"/>
      </w:pPr>
      <w:r>
        <w:rPr>
          <w:rFonts w:hint="eastAsia"/>
        </w:rPr>
        <w:t>（二）建筑高度控制</w:t>
      </w:r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居住用地：</w:t>
      </w:r>
      <w:r>
        <w:rPr>
          <w:rFonts w:hint="eastAsia"/>
        </w:rPr>
        <w:t>村庄安置用地、安宁大街北侧居住、凤凰路两侧居住用地</w:t>
      </w:r>
      <w:r>
        <w:rPr>
          <w:rFonts w:hint="eastAsia" w:cs="宋体"/>
          <w:kern w:val="0"/>
          <w:szCs w:val="24"/>
        </w:rPr>
        <w:t>建筑高度控制在</w:t>
      </w:r>
      <w:r>
        <w:rPr>
          <w:rFonts w:cs="宋体"/>
          <w:kern w:val="0"/>
          <w:szCs w:val="24"/>
        </w:rPr>
        <w:t>54</w:t>
      </w:r>
      <w:r>
        <w:rPr>
          <w:rFonts w:hint="eastAsia" w:cs="宋体"/>
          <w:kern w:val="0"/>
          <w:szCs w:val="24"/>
        </w:rPr>
        <w:t>米以内，凤鸣湖周边及月城路东侧居住用地建筑高度控制在</w:t>
      </w:r>
      <w:r>
        <w:rPr>
          <w:rFonts w:cs="宋体"/>
          <w:kern w:val="0"/>
          <w:szCs w:val="24"/>
        </w:rPr>
        <w:t>27</w:t>
      </w:r>
      <w:r>
        <w:rPr>
          <w:rFonts w:hint="eastAsia" w:cs="宋体"/>
          <w:kern w:val="0"/>
          <w:szCs w:val="24"/>
        </w:rPr>
        <w:t>米，其余居住用地建筑高度控制在</w:t>
      </w:r>
      <w:r>
        <w:rPr>
          <w:rFonts w:cs="宋体"/>
          <w:kern w:val="0"/>
          <w:szCs w:val="24"/>
        </w:rPr>
        <w:t>36</w:t>
      </w:r>
      <w:r>
        <w:rPr>
          <w:rFonts w:hint="eastAsia" w:cs="宋体"/>
          <w:kern w:val="0"/>
          <w:szCs w:val="24"/>
        </w:rPr>
        <w:t>米以内。</w:t>
      </w:r>
      <w:bookmarkStart w:id="0" w:name="_GoBack"/>
      <w:bookmarkEnd w:id="0"/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公共管理与公共服务设施用地：永安路两侧高等院校用地建筑高度控制在4</w:t>
      </w:r>
      <w:r>
        <w:rPr>
          <w:rFonts w:cs="宋体"/>
          <w:kern w:val="0"/>
          <w:szCs w:val="24"/>
        </w:rPr>
        <w:t>5</w:t>
      </w:r>
      <w:r>
        <w:rPr>
          <w:rFonts w:hint="eastAsia" w:cs="宋体"/>
          <w:kern w:val="0"/>
          <w:szCs w:val="24"/>
        </w:rPr>
        <w:t>米以内，文化艺术中心及滨河西路西侧高等院校用地建筑高度控制在3</w:t>
      </w:r>
      <w:r>
        <w:rPr>
          <w:rFonts w:cs="宋体"/>
          <w:kern w:val="0"/>
          <w:szCs w:val="24"/>
        </w:rPr>
        <w:t>6</w:t>
      </w:r>
      <w:r>
        <w:rPr>
          <w:rFonts w:hint="eastAsia" w:cs="宋体"/>
          <w:kern w:val="0"/>
          <w:szCs w:val="24"/>
        </w:rPr>
        <w:t>米以内，其余公共服务设施建筑高度控制在</w:t>
      </w:r>
      <w:r>
        <w:rPr>
          <w:rFonts w:cs="宋体"/>
          <w:kern w:val="0"/>
          <w:szCs w:val="24"/>
        </w:rPr>
        <w:t>24</w:t>
      </w:r>
      <w:r>
        <w:rPr>
          <w:rFonts w:hint="eastAsia" w:cs="宋体"/>
          <w:kern w:val="0"/>
          <w:szCs w:val="24"/>
        </w:rPr>
        <w:t>米以内。</w:t>
      </w:r>
    </w:p>
    <w:p>
      <w:pPr>
        <w:pStyle w:val="3"/>
        <w:rPr>
          <w:rFonts w:cs="宋体"/>
          <w:kern w:val="0"/>
          <w:szCs w:val="24"/>
        </w:rPr>
      </w:pPr>
      <w:r>
        <w:rPr>
          <w:rFonts w:hint="eastAsia" w:cs="宋体"/>
          <w:kern w:val="0"/>
          <w:szCs w:val="24"/>
        </w:rPr>
        <w:t>商业服务业设施用地：商务用地建筑高度控制在</w:t>
      </w:r>
      <w:r>
        <w:rPr>
          <w:rFonts w:cs="宋体"/>
          <w:kern w:val="0"/>
          <w:szCs w:val="24"/>
        </w:rPr>
        <w:t>100</w:t>
      </w:r>
      <w:r>
        <w:rPr>
          <w:rFonts w:hint="eastAsia" w:cs="宋体"/>
          <w:kern w:val="0"/>
          <w:szCs w:val="24"/>
        </w:rPr>
        <w:t>米以内，纬一街北侧商业建筑高度控制在8</w:t>
      </w:r>
      <w:r>
        <w:rPr>
          <w:rFonts w:cs="宋体"/>
          <w:kern w:val="0"/>
          <w:szCs w:val="24"/>
        </w:rPr>
        <w:t>0</w:t>
      </w:r>
      <w:r>
        <w:rPr>
          <w:rFonts w:hint="eastAsia" w:cs="宋体"/>
          <w:kern w:val="0"/>
          <w:szCs w:val="24"/>
        </w:rPr>
        <w:t>米以内，北环路西段以北沿线商业建筑高度控制在4</w:t>
      </w:r>
      <w:r>
        <w:rPr>
          <w:rFonts w:cs="宋体"/>
          <w:kern w:val="0"/>
          <w:szCs w:val="24"/>
        </w:rPr>
        <w:t>5</w:t>
      </w:r>
      <w:r>
        <w:rPr>
          <w:rFonts w:hint="eastAsia" w:cs="宋体"/>
          <w:kern w:val="0"/>
          <w:szCs w:val="24"/>
        </w:rPr>
        <w:t>米以内，滨河西路沿线及凤璇湖周边商业建筑高度控制在3</w:t>
      </w:r>
      <w:r>
        <w:rPr>
          <w:rFonts w:cs="宋体"/>
          <w:kern w:val="0"/>
          <w:szCs w:val="24"/>
        </w:rPr>
        <w:t>6</w:t>
      </w:r>
      <w:r>
        <w:rPr>
          <w:rFonts w:hint="eastAsia" w:cs="宋体"/>
          <w:kern w:val="0"/>
          <w:szCs w:val="24"/>
        </w:rPr>
        <w:t>米以内，加油加气站用地建筑高度控制在</w:t>
      </w:r>
      <w:r>
        <w:rPr>
          <w:rFonts w:cs="宋体"/>
          <w:kern w:val="0"/>
          <w:szCs w:val="24"/>
        </w:rPr>
        <w:t>12</w:t>
      </w:r>
      <w:r>
        <w:rPr>
          <w:rFonts w:hint="eastAsia" w:cs="宋体"/>
          <w:kern w:val="0"/>
          <w:szCs w:val="24"/>
        </w:rPr>
        <w:t>米以内，其余商业建筑高度控制在2</w:t>
      </w:r>
      <w:r>
        <w:rPr>
          <w:rFonts w:cs="宋体"/>
          <w:kern w:val="0"/>
          <w:szCs w:val="24"/>
        </w:rPr>
        <w:t>4</w:t>
      </w:r>
      <w:r>
        <w:rPr>
          <w:rFonts w:hint="eastAsia" w:cs="宋体"/>
          <w:kern w:val="0"/>
          <w:szCs w:val="24"/>
        </w:rPr>
        <w:t>米以内。</w:t>
      </w:r>
    </w:p>
    <w:p>
      <w:pPr>
        <w:pStyle w:val="3"/>
        <w:ind w:firstLine="0" w:firstLineChars="0"/>
      </w:pPr>
      <w:r>
        <w:drawing>
          <wp:inline distT="0" distB="0" distL="0" distR="0">
            <wp:extent cx="5274310" cy="3727450"/>
            <wp:effectExtent l="0" t="0" r="2540" b="6350"/>
            <wp:docPr id="7" name="图片 7" descr="D:\张垚\07-宁晋\04-宁晋控规公示\jpg\06-建筑高度控制规划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\张垚\07-宁晋\04-宁晋控规公示\jpg\06-建筑高度控制规划图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DB6D49"/>
    <w:multiLevelType w:val="multilevel"/>
    <w:tmpl w:val="22DB6D49"/>
    <w:lvl w:ilvl="0" w:tentative="0">
      <w:start w:val="1"/>
      <w:numFmt w:val="decimal"/>
      <w:suff w:val="nothing"/>
      <w:lvlText w:val="%1."/>
      <w:lvlJc w:val="left"/>
      <w:pPr>
        <w:ind w:left="902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">
    <w:nsid w:val="7CDF4331"/>
    <w:multiLevelType w:val="multilevel"/>
    <w:tmpl w:val="7CDF4331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902" w:hanging="420"/>
      </w:pPr>
      <w:rPr>
        <w:rFonts w:hint="eastAsia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lowerLetter"/>
      <w:lvlText w:val="%2)"/>
      <w:lvlJc w:val="left"/>
      <w:pPr>
        <w:ind w:left="1322" w:hanging="420"/>
      </w:pPr>
    </w:lvl>
    <w:lvl w:ilvl="2" w:tentative="0">
      <w:start w:val="1"/>
      <w:numFmt w:val="lowerRoman"/>
      <w:lvlText w:val="%3."/>
      <w:lvlJc w:val="right"/>
      <w:pPr>
        <w:ind w:left="1742" w:hanging="420"/>
      </w:pPr>
    </w:lvl>
    <w:lvl w:ilvl="3" w:tentative="0">
      <w:start w:val="1"/>
      <w:numFmt w:val="decimal"/>
      <w:lvlText w:val="%4."/>
      <w:lvlJc w:val="left"/>
      <w:pPr>
        <w:ind w:left="2162" w:hanging="420"/>
      </w:pPr>
    </w:lvl>
    <w:lvl w:ilvl="4" w:tentative="0">
      <w:start w:val="1"/>
      <w:numFmt w:val="lowerLetter"/>
      <w:lvlText w:val="%5)"/>
      <w:lvlJc w:val="left"/>
      <w:pPr>
        <w:ind w:left="2582" w:hanging="420"/>
      </w:pPr>
    </w:lvl>
    <w:lvl w:ilvl="5" w:tentative="0">
      <w:start w:val="1"/>
      <w:numFmt w:val="lowerRoman"/>
      <w:lvlText w:val="%6."/>
      <w:lvlJc w:val="right"/>
      <w:pPr>
        <w:ind w:left="3002" w:hanging="420"/>
      </w:pPr>
    </w:lvl>
    <w:lvl w:ilvl="6" w:tentative="0">
      <w:start w:val="1"/>
      <w:numFmt w:val="decimal"/>
      <w:lvlText w:val="%7."/>
      <w:lvlJc w:val="left"/>
      <w:pPr>
        <w:ind w:left="3422" w:hanging="420"/>
      </w:pPr>
    </w:lvl>
    <w:lvl w:ilvl="7" w:tentative="0">
      <w:start w:val="1"/>
      <w:numFmt w:val="lowerLetter"/>
      <w:lvlText w:val="%8)"/>
      <w:lvlJc w:val="left"/>
      <w:pPr>
        <w:ind w:left="3842" w:hanging="420"/>
      </w:pPr>
    </w:lvl>
    <w:lvl w:ilvl="8" w:tentative="0">
      <w:start w:val="1"/>
      <w:numFmt w:val="lowerRoman"/>
      <w:lvlText w:val="%9."/>
      <w:lvlJc w:val="right"/>
      <w:pPr>
        <w:ind w:left="4262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08CA"/>
    <w:rsid w:val="00013D7E"/>
    <w:rsid w:val="00090904"/>
    <w:rsid w:val="00095BC8"/>
    <w:rsid w:val="000F1245"/>
    <w:rsid w:val="001045C1"/>
    <w:rsid w:val="00196225"/>
    <w:rsid w:val="002124C6"/>
    <w:rsid w:val="002C2FFE"/>
    <w:rsid w:val="002F0D71"/>
    <w:rsid w:val="003237E3"/>
    <w:rsid w:val="003A68AF"/>
    <w:rsid w:val="004100F4"/>
    <w:rsid w:val="00420F88"/>
    <w:rsid w:val="004D4835"/>
    <w:rsid w:val="00515C33"/>
    <w:rsid w:val="006301A8"/>
    <w:rsid w:val="00644E90"/>
    <w:rsid w:val="006B64E1"/>
    <w:rsid w:val="006C26E2"/>
    <w:rsid w:val="007111D5"/>
    <w:rsid w:val="00735DE7"/>
    <w:rsid w:val="00741694"/>
    <w:rsid w:val="007C2DFE"/>
    <w:rsid w:val="007D6576"/>
    <w:rsid w:val="007F0368"/>
    <w:rsid w:val="00804A09"/>
    <w:rsid w:val="008D5223"/>
    <w:rsid w:val="0095223B"/>
    <w:rsid w:val="00973CA6"/>
    <w:rsid w:val="00985B12"/>
    <w:rsid w:val="00992D7E"/>
    <w:rsid w:val="009D548D"/>
    <w:rsid w:val="00A17E51"/>
    <w:rsid w:val="00A63E60"/>
    <w:rsid w:val="00A661F2"/>
    <w:rsid w:val="00A75752"/>
    <w:rsid w:val="00AD5FD9"/>
    <w:rsid w:val="00B63441"/>
    <w:rsid w:val="00B77086"/>
    <w:rsid w:val="00BE4033"/>
    <w:rsid w:val="00C42B52"/>
    <w:rsid w:val="00C563E2"/>
    <w:rsid w:val="00C85230"/>
    <w:rsid w:val="00CE738B"/>
    <w:rsid w:val="00D34A71"/>
    <w:rsid w:val="00D403FD"/>
    <w:rsid w:val="00D7091D"/>
    <w:rsid w:val="00DA0B39"/>
    <w:rsid w:val="00E008CA"/>
    <w:rsid w:val="00E036E9"/>
    <w:rsid w:val="00E76979"/>
    <w:rsid w:val="00EB50A8"/>
    <w:rsid w:val="00EE5752"/>
    <w:rsid w:val="00EF18F6"/>
    <w:rsid w:val="00F04CC0"/>
    <w:rsid w:val="00F07607"/>
    <w:rsid w:val="00F82141"/>
    <w:rsid w:val="00FF3407"/>
    <w:rsid w:val="317B2A86"/>
    <w:rsid w:val="4BDC058A"/>
    <w:rsid w:val="5FF20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3"/>
    <w:next w:val="3"/>
    <w:link w:val="15"/>
    <w:qFormat/>
    <w:uiPriority w:val="9"/>
    <w:pPr>
      <w:numPr>
        <w:ilvl w:val="0"/>
        <w:numId w:val="1"/>
      </w:numPr>
      <w:ind w:left="0" w:firstLine="0" w:firstLineChars="0"/>
      <w:outlineLvl w:val="0"/>
    </w:pPr>
    <w:rPr>
      <w:b/>
    </w:rPr>
  </w:style>
  <w:style w:type="paragraph" w:styleId="4">
    <w:name w:val="heading 5"/>
    <w:basedOn w:val="1"/>
    <w:next w:val="1"/>
    <w:link w:val="16"/>
    <w:semiHidden/>
    <w:unhideWhenUsed/>
    <w:qFormat/>
    <w:uiPriority w:val="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9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样式1"/>
    <w:basedOn w:val="1"/>
    <w:link w:val="12"/>
    <w:qFormat/>
    <w:uiPriority w:val="0"/>
    <w:pPr>
      <w:spacing w:line="360" w:lineRule="auto"/>
      <w:ind w:firstLine="480" w:firstLineChars="200"/>
    </w:pPr>
    <w:rPr>
      <w:rFonts w:ascii="宋体" w:hAnsi="宋体" w:eastAsia="宋体"/>
      <w:sz w:val="24"/>
    </w:rPr>
  </w:style>
  <w:style w:type="paragraph" w:styleId="5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8">
    <w:name w:val="Table Grid"/>
    <w:basedOn w:val="7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字符"/>
    <w:basedOn w:val="9"/>
    <w:link w:val="6"/>
    <w:qFormat/>
    <w:uiPriority w:val="99"/>
    <w:rPr>
      <w:sz w:val="18"/>
      <w:szCs w:val="18"/>
    </w:rPr>
  </w:style>
  <w:style w:type="character" w:customStyle="1" w:styleId="11">
    <w:name w:val="页脚 字符"/>
    <w:basedOn w:val="9"/>
    <w:link w:val="5"/>
    <w:qFormat/>
    <w:uiPriority w:val="99"/>
    <w:rPr>
      <w:sz w:val="18"/>
      <w:szCs w:val="18"/>
    </w:rPr>
  </w:style>
  <w:style w:type="character" w:customStyle="1" w:styleId="12">
    <w:name w:val="样式1 字符"/>
    <w:basedOn w:val="9"/>
    <w:link w:val="3"/>
    <w:qFormat/>
    <w:uiPriority w:val="0"/>
    <w:rPr>
      <w:rFonts w:ascii="宋体" w:hAnsi="宋体" w:eastAsia="宋体"/>
      <w:sz w:val="24"/>
    </w:rPr>
  </w:style>
  <w:style w:type="paragraph" w:customStyle="1" w:styleId="13">
    <w:name w:val="表内容"/>
    <w:basedOn w:val="1"/>
    <w:link w:val="14"/>
    <w:qFormat/>
    <w:uiPriority w:val="0"/>
    <w:pPr>
      <w:jc w:val="center"/>
    </w:pPr>
    <w:rPr>
      <w:rFonts w:ascii="宋体" w:hAnsi="宋体" w:eastAsia="宋体" w:cs="Times New Roman"/>
      <w:sz w:val="22"/>
      <w:szCs w:val="24"/>
    </w:rPr>
  </w:style>
  <w:style w:type="character" w:customStyle="1" w:styleId="14">
    <w:name w:val="表内容 Char"/>
    <w:basedOn w:val="9"/>
    <w:link w:val="13"/>
    <w:qFormat/>
    <w:uiPriority w:val="0"/>
    <w:rPr>
      <w:rFonts w:ascii="宋体" w:hAnsi="宋体" w:eastAsia="宋体" w:cs="Times New Roman"/>
      <w:sz w:val="22"/>
      <w:szCs w:val="24"/>
    </w:rPr>
  </w:style>
  <w:style w:type="character" w:customStyle="1" w:styleId="15">
    <w:name w:val="标题 1 字符"/>
    <w:basedOn w:val="9"/>
    <w:link w:val="2"/>
    <w:qFormat/>
    <w:uiPriority w:val="9"/>
    <w:rPr>
      <w:rFonts w:ascii="宋体" w:hAnsi="宋体" w:eastAsia="宋体"/>
      <w:b/>
      <w:sz w:val="24"/>
    </w:rPr>
  </w:style>
  <w:style w:type="character" w:customStyle="1" w:styleId="16">
    <w:name w:val="标题 5 字符"/>
    <w:basedOn w:val="9"/>
    <w:link w:val="4"/>
    <w:semiHidden/>
    <w:qFormat/>
    <w:uiPriority w:val="9"/>
    <w:rPr>
      <w:b/>
      <w:bCs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8</Pages>
  <Words>403</Words>
  <Characters>2302</Characters>
  <Lines>19</Lines>
  <Paragraphs>5</Paragraphs>
  <TotalTime>9</TotalTime>
  <ScaleCrop>false</ScaleCrop>
  <LinksUpToDate>false</LinksUpToDate>
  <CharactersWithSpaces>2700</CharactersWithSpaces>
  <Application>WPS Office_11.1.0.9175_F1E327BC-269C-435d-A152-05C5408002CA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2019-10-31T07:47:00Z</dcterms:created>
  <dc:creator>jg</dc:creator>
  <cp:lastModifiedBy>我是一只鱼~</cp:lastModifiedBy>
  <cp:lastPrinted>2019-11-01T01:28:31Z</cp:lastPrinted>
  <dcterms:modified xsi:type="dcterms:W3CDTF">2019-11-01T02:26:09Z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2052-11.1.0.9175</vt:lpwstr>
  </property>
</Properties>
</file>