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/>
        <w:tabs>
          <w:tab w:val="center" w:pos="6979"/>
        </w:tabs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Lines/>
        <w:tabs>
          <w:tab w:val="center" w:pos="6979"/>
        </w:tabs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纳入县政府部门审批程序的技术性服务事项目录（共8项）</w:t>
      </w:r>
    </w:p>
    <w:p>
      <w:pPr>
        <w:keepLines/>
        <w:spacing w:line="52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（此类事项不再要求申请人提供技术性服务要件，改由审批部门依法委托有关机构开展）</w:t>
      </w:r>
    </w:p>
    <w:tbl>
      <w:tblPr>
        <w:tblStyle w:val="5"/>
        <w:tblW w:w="142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1"/>
        <w:gridCol w:w="1228"/>
        <w:gridCol w:w="2200"/>
        <w:gridCol w:w="930"/>
        <w:gridCol w:w="1217"/>
        <w:gridCol w:w="3913"/>
        <w:gridCol w:w="1650"/>
        <w:gridCol w:w="1710"/>
        <w:gridCol w:w="11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Header/>
        </w:trPr>
        <w:tc>
          <w:tcPr>
            <w:tcW w:w="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序号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纳入行政许可事项编码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纳入行政许可事项名称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审批部门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技术性服务事项名称</w:t>
            </w:r>
          </w:p>
        </w:tc>
        <w:tc>
          <w:tcPr>
            <w:tcW w:w="39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技术性服务事项设定依据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技术性服务提供的要件名称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备注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调整意见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6" w:hRule="atLeast"/>
        </w:trPr>
        <w:tc>
          <w:tcPr>
            <w:tcW w:w="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02003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固定资产投资项目节能评估和审查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发改局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节能评估文件评审</w:t>
            </w:r>
          </w:p>
        </w:tc>
        <w:tc>
          <w:tcPr>
            <w:tcW w:w="39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《固定资产投资项目节能评估和审查暂行办法》（2010年9月17日国家发改委令第6号）第十一条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节能评估文件评审意见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黑体" w:hAnsi="宋体" w:eastAsia="黑体" w:cs="黑体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邢政办发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〔201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7" w:hRule="atLeast"/>
        </w:trPr>
        <w:tc>
          <w:tcPr>
            <w:tcW w:w="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2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02001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固定资产投资项目核准、备案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发改局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项目申请报告评审</w:t>
            </w:r>
          </w:p>
        </w:tc>
        <w:tc>
          <w:tcPr>
            <w:tcW w:w="39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《政府核准投资项目管理办法》（2014年5月14日国家发改委令第11号）第四条、第十六条</w:t>
            </w:r>
          </w:p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《河北省人民政府关于印发河北省政府核准投资项目实施办法的通知》（冀政〔2014〕120号）第十六条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项目评审意见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核准制项目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邢政办发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〔201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4" w:hRule="atLeast"/>
        </w:trPr>
        <w:tc>
          <w:tcPr>
            <w:tcW w:w="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3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02001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限额以下外商直接投资项目核准及备案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发改局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编写项目申请报告</w:t>
            </w:r>
          </w:p>
        </w:tc>
        <w:tc>
          <w:tcPr>
            <w:tcW w:w="39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《外商投资项目核准和备案管理办法》（2014年5月17日国家发改委令第12号）第八条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《河北省发展和改革委员会关于发布&lt;河北省外商投资项目核准和备案管理办法&gt;的通知》（冀发改外资〔2014〕1066号）第九条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项目申请报告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核准制项目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邢政办发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〔201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4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08001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社会团体成立、变更、注销登记（含异地商会登记管理）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民政局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注销登记财产清算</w:t>
            </w:r>
          </w:p>
        </w:tc>
        <w:tc>
          <w:tcPr>
            <w:tcW w:w="39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《社会团体登记管理条例》（1998年10月25日国务院令第250号）第二十二条、第二十三条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《河北省社会团体登记管理办法》（河北省人民政府令〔2010〕第1号）第二十七条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财产清算报告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不再要求申请人提供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财产清算报告</w:t>
            </w:r>
            <w:r>
              <w:rPr>
                <w:rFonts w:hint="eastAsia" w:ascii="仿宋_GB2312" w:hAnsi="宋体" w:eastAsia="仿宋_GB2312" w:cs="仿宋_GB2312"/>
                <w:szCs w:val="21"/>
              </w:rPr>
              <w:t>，改由审批部门委托有关机构开展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注销登记财产清算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邢政办发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〔201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7号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</w:trPr>
        <w:tc>
          <w:tcPr>
            <w:tcW w:w="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5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08002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民办非企业单位成立、变更、注销登记审批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民政局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注销登记清算</w:t>
            </w:r>
          </w:p>
        </w:tc>
        <w:tc>
          <w:tcPr>
            <w:tcW w:w="39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《民办非企业单位登记管理暂行条例》（1998年10月25日国务院令第251号）第十六条、第十七条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《民办非企业单位登记暂行办法》（1999年12月28日民政部令第18号）第十八条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清算报告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不再要求申请人提供清算报告，改由审批部门委托有关机构开展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注销登记清算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邢政办发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〔201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7号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6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24006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建设项目环境影响评价文件（含辐射类）的审批；建设项目发生重大变化环境影响评价文件重新审批（含评价文件经审批后超过五年的重新审核）；建设项目（含辐射类）竣工环境保护验收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环保局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2.建设项目环境保护验收监测（含辐射类）</w:t>
            </w:r>
          </w:p>
        </w:tc>
        <w:tc>
          <w:tcPr>
            <w:tcW w:w="39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《建设项目竣工环境保护验收管理办法》（2002年2月1日国家环境保护总局令第13号）第三条、第十一条、第十三条</w:t>
            </w:r>
          </w:p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《中华人民共和国放射性污染防治法》（2003年10月公布）第三十条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建设项目环境保护验收监测报告（表）或调查报告(表)（含辐射类）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黑体" w:hAnsi="宋体" w:eastAsia="黑体" w:cs="黑体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邢政办发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〔201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7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04001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建设工程抗震设防要求确定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工信局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地震安全性评价</w:t>
            </w:r>
          </w:p>
        </w:tc>
        <w:tc>
          <w:tcPr>
            <w:tcW w:w="39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《中华人民共和国防震减灾法》（2009年5月1日修订）第三十五条</w:t>
            </w:r>
          </w:p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《地震安全性评价资质管理办法》（2002年2月27日中国地震局令第8号）第三条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地震安全性评价报告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黑体" w:hAnsi="宋体" w:eastAsia="黑体" w:cs="黑体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邢政办发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〔201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2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8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</w:p>
        </w:tc>
        <w:tc>
          <w:tcPr>
            <w:tcW w:w="22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防雷装置设计审核和竣工验收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气象局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防雷装置设计技术评价</w:t>
            </w:r>
          </w:p>
        </w:tc>
        <w:tc>
          <w:tcPr>
            <w:tcW w:w="39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《防雷装置设计审核和竣工验收规定》（2011年9月1日中国气象局令第21号）第九条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防雷装置设计技术评价报告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邢政办发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〔201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〕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号</w:t>
            </w:r>
          </w:p>
        </w:tc>
      </w:tr>
    </w:tbl>
    <w:p>
      <w:pPr>
        <w:spacing w:afterLines="50" w:line="54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afterLines="50" w:line="54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afterLines="50" w:line="54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afterLines="50" w:line="54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afterLines="50" w:line="54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afterLines="50" w:line="54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afterLines="50" w:line="54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afterLines="50" w:line="54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afterLines="50" w:line="54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afterLines="50" w:line="54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75814C8"/>
    <w:rsid w:val="00331703"/>
    <w:rsid w:val="004A4935"/>
    <w:rsid w:val="0085006A"/>
    <w:rsid w:val="00B12094"/>
    <w:rsid w:val="00CC4819"/>
    <w:rsid w:val="00D54417"/>
    <w:rsid w:val="04EB4C2C"/>
    <w:rsid w:val="053923A3"/>
    <w:rsid w:val="07E80348"/>
    <w:rsid w:val="0B463546"/>
    <w:rsid w:val="0D3857CF"/>
    <w:rsid w:val="113A3AE9"/>
    <w:rsid w:val="23832FE1"/>
    <w:rsid w:val="240E3F2D"/>
    <w:rsid w:val="28413DBF"/>
    <w:rsid w:val="375814C8"/>
    <w:rsid w:val="37806DF3"/>
    <w:rsid w:val="37B1085E"/>
    <w:rsid w:val="38D021F2"/>
    <w:rsid w:val="3FD1207E"/>
    <w:rsid w:val="44A67057"/>
    <w:rsid w:val="49AB60BB"/>
    <w:rsid w:val="4DE55915"/>
    <w:rsid w:val="505308CC"/>
    <w:rsid w:val="51863650"/>
    <w:rsid w:val="52731514"/>
    <w:rsid w:val="56D465C1"/>
    <w:rsid w:val="581267D6"/>
    <w:rsid w:val="5C7F1899"/>
    <w:rsid w:val="5E4B6E4C"/>
    <w:rsid w:val="5FBE1F56"/>
    <w:rsid w:val="649770C3"/>
    <w:rsid w:val="67725F54"/>
    <w:rsid w:val="693D07D1"/>
    <w:rsid w:val="6CDE0943"/>
    <w:rsid w:val="72165A0C"/>
    <w:rsid w:val="729D04CD"/>
    <w:rsid w:val="72DC4AE1"/>
    <w:rsid w:val="78081B2E"/>
    <w:rsid w:val="785D2CB6"/>
    <w:rsid w:val="7B430A82"/>
    <w:rsid w:val="7D9B4AE3"/>
    <w:rsid w:val="7E515F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582</Words>
  <Characters>3322</Characters>
  <Lines>27</Lines>
  <Paragraphs>7</Paragraphs>
  <ScaleCrop>false</ScaleCrop>
  <LinksUpToDate>false</LinksUpToDate>
  <CharactersWithSpaces>3897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2016-06-12T03:25:00Z</dcterms:created>
  <dc:creator>Administrator</dc:creator>
  <cp:lastModifiedBy>Administrator</cp:lastModifiedBy>
  <cp:lastPrinted>2016-06-14T02:27:00Z</cp:lastPrinted>
  <dcterms:modified xsi:type="dcterms:W3CDTF">2016-06-27T02:55:32Z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