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rPr>
                <w:color w:val="000000"/>
              </w:rPr>
              <w:t>宁晋县医院院士工作站建设项目（一期）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288"/>
              <w:gridCol w:w="2989"/>
              <w:gridCol w:w="1289"/>
              <w:gridCol w:w="2875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宁晋县医院院士工作站建设项目（一期）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建筑业/建筑装饰、装修和其他建筑业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2020-11-12 09:30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开标地点: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宁晋县公共资源交易中心第一开标室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公示开始日期: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2020-11-13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公示截止日期: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2020-11-15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59"/>
              <w:gridCol w:w="1351"/>
              <w:gridCol w:w="1644"/>
              <w:gridCol w:w="1284"/>
              <w:gridCol w:w="1284"/>
              <w:gridCol w:w="656"/>
              <w:gridCol w:w="656"/>
              <w:gridCol w:w="1107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中标候选人名单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投标价格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评分结果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91110115MA00FFC493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华夏京都人和医学检验有限公司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11196022.72元人民币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11196022.72元人民币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45日历天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91370983788488055J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山东大汉医用设备有限公司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11309774.98元人民币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11309774.98元人民币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77.32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45日历天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91131102571339593H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河北立信医用工程有限公司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10509548.59元人民币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10509548.59元人民币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73.52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45天（日历天）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79"/>
              <w:gridCol w:w="1086"/>
              <w:gridCol w:w="1086"/>
              <w:gridCol w:w="2256"/>
              <w:gridCol w:w="263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泮业玲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一级建造师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鲁137161824537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79"/>
              <w:gridCol w:w="1086"/>
              <w:gridCol w:w="1086"/>
              <w:gridCol w:w="2256"/>
              <w:gridCol w:w="263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段洪勇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二级建造师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鲁215111203269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79"/>
              <w:gridCol w:w="1086"/>
              <w:gridCol w:w="1086"/>
              <w:gridCol w:w="2256"/>
              <w:gridCol w:w="263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刘晋伟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二级建造师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冀213122007402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提出异议渠道和方式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纸质形式递交至河北华业招标有限公司 0311-83033866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全部投标单位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河北立信医用工程有限公司、山东大汉医用设备有限公司、华夏京都人和医学检验有限公司、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13"/>
              <w:gridCol w:w="2288"/>
              <w:gridCol w:w="2026"/>
              <w:gridCol w:w="281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河北省宁晋县医院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河北华业招标有限公司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闫增华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王锦新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红旗大街25号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0319-5516687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0311-83033866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huaye171@163.com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9">
    <w:name w:val="first-child"/>
    <w:basedOn w:val="5"/>
    <w:uiPriority w:val="0"/>
    <w:rPr>
      <w:bdr w:val="none" w:color="auto" w:sz="0" w:space="0"/>
    </w:rPr>
  </w:style>
  <w:style w:type="character" w:customStyle="1" w:styleId="10">
    <w:name w:val="active11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1">
    <w:name w:val="active12"/>
    <w:basedOn w:val="5"/>
    <w:uiPriority w:val="0"/>
    <w:rPr>
      <w:color w:val="FFFFFF"/>
      <w:shd w:val="clear" w:fill="1F80E6"/>
    </w:rPr>
  </w:style>
  <w:style w:type="character" w:customStyle="1" w:styleId="12">
    <w:name w:val="hover40"/>
    <w:basedOn w:val="5"/>
    <w:uiPriority w:val="0"/>
    <w:rPr>
      <w:color w:val="FF0000"/>
    </w:rPr>
  </w:style>
  <w:style w:type="character" w:customStyle="1" w:styleId="13">
    <w:name w:val="hover41"/>
    <w:basedOn w:val="5"/>
    <w:uiPriority w:val="0"/>
    <w:rPr>
      <w:color w:val="FFFFFF"/>
      <w:shd w:val="clear" w:fill="1F80E6"/>
    </w:rPr>
  </w:style>
  <w:style w:type="character" w:customStyle="1" w:styleId="14">
    <w:name w:val="hover42"/>
    <w:basedOn w:val="5"/>
    <w:uiPriority w:val="0"/>
    <w:rPr>
      <w:color w:val="FFFFFF"/>
      <w:shd w:val="clear" w:fill="1F80E6"/>
    </w:rPr>
  </w:style>
  <w:style w:type="character" w:customStyle="1" w:styleId="15">
    <w:name w:val="infro_laiyuan2"/>
    <w:basedOn w:val="5"/>
    <w:uiPriority w:val="0"/>
    <w:rPr>
      <w:b/>
      <w:color w:val="0099CC"/>
    </w:rPr>
  </w:style>
  <w:style w:type="character" w:customStyle="1" w:styleId="16">
    <w:name w:val="panel_title"/>
    <w:basedOn w:val="5"/>
    <w:uiPriority w:val="0"/>
  </w:style>
  <w:style w:type="character" w:customStyle="1" w:styleId="17">
    <w:name w:val="current"/>
    <w:basedOn w:val="5"/>
    <w:uiPriority w:val="0"/>
    <w:rPr>
      <w:shd w:val="clear" w:fill="1F80E6"/>
    </w:rPr>
  </w:style>
  <w:style w:type="character" w:customStyle="1" w:styleId="18">
    <w:name w:val="today"/>
    <w:basedOn w:val="5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2020-11-14T07:25:13Z</dcterms:created>
  <dc:creator>Administrator</dc:creator>
  <cp:lastModifiedBy>钟灵毓秀</cp:lastModifiedBy>
  <dcterms:modified xsi:type="dcterms:W3CDTF">2020-11-14T07:25:20Z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