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DDDDDD" w:sz="4" w:space="0"/>
          <w:left w:val="none" w:color="DDDDDD" w:sz="4" w:space="0"/>
          <w:bottom w:val="none" w:color="DDDDDD" w:sz="4" w:space="0"/>
          <w:right w:val="non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3"/>
      </w:tblGrid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宁晋县法院中央空调改造项目</w:t>
            </w: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6"/>
              <w:gridCol w:w="2804"/>
              <w:gridCol w:w="2204"/>
              <w:gridCol w:w="173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宁晋县法院中央空调改造项目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建筑业/建筑安装业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2021-03-05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2021-03-11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7"/>
              <w:gridCol w:w="1321"/>
              <w:gridCol w:w="1726"/>
              <w:gridCol w:w="1355"/>
              <w:gridCol w:w="2200"/>
              <w:gridCol w:w="648"/>
              <w:gridCol w:w="852"/>
              <w:gridCol w:w="14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91149900MA0HLP1957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山西铭羽节能科贸有限公司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1398001.26元人民币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壹佰叁拾玖万捌仟零壹元贰角陆分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40日历天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"/>
              <w:gridCol w:w="1527"/>
              <w:gridCol w:w="1533"/>
              <w:gridCol w:w="4397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宁晋县人民法院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冉天祎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0319-8300512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2021-03-11T06:38:27Z</dcterms:created>
  <dc:creator>86131</dc:creator>
  <cp:lastModifiedBy>钟灵毓秀</cp:lastModifiedBy>
  <dcterms:modified xsi:type="dcterms:W3CDTF">2021-03-11T06:38:31Z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