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336" w:lineRule="auto"/>
        <w:jc w:val="center"/>
        <w:textAlignment w:val="auto"/>
        <w:rPr>
          <w:rFonts w:hint="eastAsia" w:ascii="宋体" w:hAnsi="宋体" w:cs="宋体"/>
          <w:kern w:val="0"/>
          <w:sz w:val="44"/>
          <w:szCs w:val="44"/>
          <w:lang w:eastAsia="zh-CN"/>
        </w:rPr>
      </w:pPr>
      <w:r>
        <w:rPr>
          <w:rFonts w:hint="eastAsia" w:ascii="宋体" w:hAnsi="宋体" w:cs="宋体"/>
          <w:kern w:val="0"/>
          <w:sz w:val="44"/>
          <w:szCs w:val="44"/>
          <w:lang w:eastAsia="zh-CN"/>
        </w:rPr>
        <w:t>高新技术企业企业优惠政策</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1、税收减免只要是经国家认定的高新技术企业，都会在其企业的税收方面进行优惠，如从企业原先的25%的税率将为15%，如果自己的企业在申请高新技术企业认定三年且三年认定期满之后是可以进行申请复审的，如果自己的企业通过高新企业技术认定复审，那么企业将继续享免税收优惠。</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2、技术转让所得免征、减征：一个纳税年度内，企业技术转让所得不超过500万元的部分，免征企业所得税；超过500万元的部分，企业所得税减半。</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3、高新技术企业固定资产加速折旧，允许加速折旧的固定资产包括：</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（1）由于技术进步，产品更新换代较快的固定资产；</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（2）常年处于强震动、高腐蚀状态的固定资产采取缩短折旧年限方法的，最新折旧年限不得低于本条例第六十条规定折旧年限的60%；</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（3）加速折旧方法，采取双倍余额递减法或者年数总和法。</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4、更具资本市场的关注，一家高新企业在资本市场可以说是备受瞩目的，同时也是一些地方政府和行业组织所青睐的。</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5、研发费用加计扣除：企业未开发新技术、新产品、新工艺发生的研究开发费用，未形成无形资产计入当期损益的，在按照规定据实扣除的基础上，按照企业研究开发费用的100</w:t>
      </w:r>
      <w:bookmarkStart w:id="0" w:name="_GoBack"/>
      <w:bookmarkEnd w:id="0"/>
      <w:r>
        <w:rPr>
          <w:rFonts w:hint="eastAsia" w:ascii="宋体" w:hAnsi="宋体" w:cs="宋体"/>
          <w:kern w:val="0"/>
          <w:sz w:val="32"/>
          <w:szCs w:val="32"/>
          <w:lang w:val="en-US" w:eastAsia="zh-CN"/>
        </w:rPr>
        <w:t>%加计扣除；形成无形资产的，按照无形资产成本的150%摊销。</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6、新三板上市的必备条件，优先批准符合上市条件的股份制高新技术企业股票上市。</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7、申请政府资金、建立企业协会等必备条件：申请高企后，公司可以冠省名，建立企业科协、院士专家工作站，并且还能申请组织院士专家深入企业，参与技术攻关、技术引进和诊断，引导创新要素向企业聚集，同时也是申请各级相关政府资金的必备条件之一。</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8、高新技术企业认定将有效地提高企业的科技研发管理水平，重视科技研发，提高企业核心竞争力，能为企业在市场竞争中提供有力的资质，极大地提升企业品牌形象，无论是广告宣传还是产品招投标工程，都将有非常大的帮助。</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9、提高企业品牌影响力：高新技术企业对于任何企业都是一个难得的国家级资质认证，对依靠科技立身的企业更是不可或缺的硬招牌，其品牌影响力仅次于中国名牌产品、中国驰名商标、国家免检产品。</w:t>
      </w:r>
    </w:p>
    <w:p>
      <w:pPr>
        <w:keepNext w:val="0"/>
        <w:keepLines w:val="0"/>
        <w:pageBreakBefore w:val="0"/>
        <w:widowControl/>
        <w:kinsoku/>
        <w:wordWrap/>
        <w:overflowPunct/>
        <w:topLinePunct w:val="0"/>
        <w:autoSpaceDE/>
        <w:autoSpaceDN/>
        <w:bidi w:val="0"/>
        <w:adjustRightInd/>
        <w:snapToGrid w:val="0"/>
        <w:spacing w:line="336" w:lineRule="auto"/>
        <w:ind w:firstLine="640" w:firstLineChars="200"/>
        <w:jc w:val="left"/>
        <w:textAlignment w:val="auto"/>
        <w:rPr>
          <w:rFonts w:hint="default" w:ascii="宋体" w:hAnsi="宋体" w:cs="宋体"/>
          <w:kern w:val="0"/>
          <w:sz w:val="32"/>
          <w:szCs w:val="32"/>
          <w:lang w:val="en-US" w:eastAsia="zh-CN"/>
        </w:rPr>
      </w:pPr>
      <w:r>
        <w:rPr>
          <w:rFonts w:hint="eastAsia" w:ascii="宋体" w:hAnsi="宋体" w:cs="宋体"/>
          <w:kern w:val="0"/>
          <w:sz w:val="32"/>
          <w:szCs w:val="32"/>
          <w:lang w:val="en-US" w:eastAsia="zh-CN"/>
        </w:rPr>
        <w:t>10、获得国家科研经费支持对于经过高新企业技术认定的企业，可以凭借《高新企业认定证书》办理国家相关优惠政策，且更容易获得国家、省、市各级的科研经费以及财政拨款支持。</w:t>
      </w:r>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B7CCE"/>
    <w:rsid w:val="024B7CCE"/>
    <w:rsid w:val="06322DD8"/>
    <w:rsid w:val="0A1B7C84"/>
    <w:rsid w:val="1CE72C89"/>
    <w:rsid w:val="41BB1925"/>
    <w:rsid w:val="42D41E07"/>
    <w:rsid w:val="65B9075D"/>
    <w:rsid w:val="6B944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2019-08-12T07:57:00Z</dcterms:created>
  <dc:creator>Administrator</dc:creator>
  <cp:lastModifiedBy>GXJ</cp:lastModifiedBy>
  <cp:lastPrinted>2020-12-30T08:42:00Z</cp:lastPrinted>
  <dcterms:modified xsi:type="dcterms:W3CDTF">2022-08-16T09:17:36Z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