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176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54"/>
          <w:w w:val="95"/>
          <w:sz w:val="72"/>
          <w:szCs w:val="72"/>
          <w:highlight w:val="none"/>
          <w:lang w:eastAsia="zh-CN"/>
        </w:rPr>
      </w:pPr>
      <w:r>
        <w:rPr>
          <w:rFonts w:hint="eastAsia" w:ascii="宋体" w:hAnsi="宋体"/>
          <w:b w:val="0"/>
          <w:bCs w:val="0"/>
          <w:color w:val="FF0000"/>
          <w:sz w:val="28"/>
          <w:szCs w:val="28"/>
          <w:highlight w:val="none"/>
          <w:lang w:val="zh-CN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1151890</wp:posOffset>
                </wp:positionV>
                <wp:extent cx="5715000" cy="0"/>
                <wp:effectExtent l="0" t="13970" r="0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90.7pt;height:0pt;width:450pt;mso-position-horizontal:center;z-index:251660288;mso-width-relative:page;mso-height-relative:page;" filled="f" stroked="t" coordsize="21600,21600" o:gfxdata="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JMxN9MAAAAIAQAADwAAAAAAAAABACAAAAAiAAAAZHJzL2Rvd25yZXYueG1sUEsB&#10;AhQAFAAAAAgAh07iQE2kuwn6AQAA7wMAAA4AAAAAAAAAAQAgAAAAIgEAAGRycy9lMm9Eb2MueG1s&#10;UEsFBgAAAAAGAAYAWQEAAI4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57"/>
          <w:w w:val="90"/>
          <w:sz w:val="84"/>
          <w:szCs w:val="84"/>
          <w:highlight w:val="none"/>
          <w:lang w:eastAsia="zh-CN"/>
        </w:rPr>
        <w:t>中共宁晋县委办公室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jc w:val="center"/>
        <w:textAlignment w:val="baseline"/>
        <w:rPr>
          <w:rFonts w:hint="eastAsia"/>
          <w:b w:val="0"/>
          <w:bCs w:val="0"/>
          <w:color w:val="FF0000"/>
          <w:w w:val="75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60" w:lineRule="exact"/>
        <w:ind w:firstLine="320" w:firstLineChars="1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FF0000"/>
          <w:kern w:val="0"/>
          <w:sz w:val="32"/>
          <w:szCs w:val="32"/>
          <w:highlight w:val="non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宁办文〔2024〕1号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firstLine="28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3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28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3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中共宁晋县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28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委办公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center"/>
        <w:textAlignment w:val="auto"/>
        <w:rPr>
          <w:rFonts w:hint="eastAsia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宁晋县人民政府办公室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关于印发《宁晋年鉴（20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）》编纂方案的通知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baseline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各乡镇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、街道，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经济开发区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县直各单位：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《宁晋年鉴》是在中共宁晋县委领导下，由宁晋县人民政府主办，县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地方志编撰中心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承办，全面、真实、客观反映全县经济社会各项事业发展成果的史志资料，已连续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编纂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11卷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，为记载和传承历史、激发干事创业激情、宣传和推介宁晋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发挥了积极作用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。为做好《宁晋年鉴（20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）》的编纂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，根据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《中国地方志工作办公室关于全力做好省市县三级综合年鉴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2024年卷编纂出版工作的通知》精神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县委办、县政府办印发的《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关于认真做好&lt;宁晋年鉴&gt;组织编纂工作的通知》（宁办字〔2013〕18号）要求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现将《&lt;宁晋年鉴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&gt;编纂方案》印发给你们，请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照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编纂方案及时高效完成编纂任务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请各承编单位务于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2024年2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前将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鉴稿件（含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文字内容、随文图片、供稿人姓名及联系方式），纸质版经单位主要负责人审核签字并加盖公章后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县地方志编撰中心，电子版报送至工作邮箱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nf2007@126.com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 系 人：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李丽辉 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赵立志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联系电话：5880798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地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址：县政务服务中心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910房间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baseline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>中共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pacing w:val="17"/>
          <w:sz w:val="32"/>
          <w:szCs w:val="32"/>
          <w14:textFill>
            <w14:solidFill>
              <w14:schemeClr w14:val="tx1"/>
            </w14:solidFill>
          </w14:textFill>
        </w:rPr>
        <w:t>宁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pacing w:val="23"/>
          <w:sz w:val="32"/>
          <w:szCs w:val="32"/>
          <w14:textFill>
            <w14:solidFill>
              <w14:schemeClr w14:val="tx1"/>
            </w14:solidFill>
          </w14:textFill>
        </w:rPr>
        <w:t>晋县委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pacing w:val="17"/>
          <w:sz w:val="32"/>
          <w:szCs w:val="32"/>
          <w14:textFill>
            <w14:solidFill>
              <w14:schemeClr w14:val="tx1"/>
            </w14:solidFill>
          </w14:textFill>
        </w:rPr>
        <w:t>办公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>室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firstLine="0" w:firstLineChars="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宁晋县人民政府办公室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1984" w:right="1531" w:bottom="1701" w:left="1531" w:header="851" w:footer="1361" w:gutter="0"/>
          <w:pgNumType w:fmt="numberInDash" w:start="1"/>
          <w:cols w:space="0" w:num="1"/>
          <w:rtlGutter w:val="0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《宁晋年鉴（20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）》编纂方案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《宁晋年鉴（20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编纂工作坚持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习近平新时代中国特色社会主义思想为指导，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认真学习贯彻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党的二十大精神，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紧紧围绕县委、县政府决策部署，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尊重历史、实事求是，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全面、真实、客观地记述20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年度全县各项事业的新情况、新成就、新经验，充分反映全县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经济社会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发展进程，以丰富的内容和高密度、有价值的信息，为各级领导、外地客商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社会各界认识宁晋、研究宁晋、建设宁晋提供翔实的县情资料，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为加快建设经济强县、美丽宁晋，促进全县经济社会高质量赶超发展服务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组稿要求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2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（一</w:t>
      </w:r>
      <w:r>
        <w:rPr>
          <w:rFonts w:hint="eastAsia" w:ascii="楷体_GB2312" w:hAnsi="楷体_GB2312" w:eastAsia="楷体_GB2312" w:cs="楷体_GB2312"/>
          <w:color w:val="000000" w:themeColor="text1"/>
          <w:kern w:val="2"/>
          <w:sz w:val="32"/>
          <w:szCs w:val="32"/>
          <w:u w:val="none"/>
          <w14:textFill>
            <w14:solidFill>
              <w14:schemeClr w14:val="tx1"/>
            </w14:solidFill>
          </w14:textFill>
        </w:rPr>
        <w:t>）原则要求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1．政治观点正确，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合党的路线、方针、政策和国家法律、法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2．遵守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和国家关于民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、宗教和对外关系等方面的法规和政策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感性事物的记述要准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3．符合国家相关规定，禁止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kern w:val="2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2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（二）文字内容要求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1．内容全面系统、资料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实可靠、注意反映年度特点、行业特点与地方特色，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除部门工作总结、报告痕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，不应记述部门非主要职能的信息。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内容以条目体为主，由“类目、分目、条目”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（详见目录）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组成，“类目”下设“分目”，“分目”下设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“条目”，条目包括“工作机构”“工作概况”和其他单项条目等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“工作机构”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包括单位、部门2023年度机构设置、人员编制、单位负责人（县处级单位为领导班子成员，乡镇、县直单位为单位主要负责人;负责人名单放在机构条目之前，年度内发生职务变化的，请注明离、任时间）等。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“工作概况”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总括2023年本行业、本单位综合情况，主要包括行业基本情况、年度内实现的主要指标和取得的主要成绩、行业发展新特点等，注意与上年度或以前主要年份进行比较。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“单项条目”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照一事一条的记述原则，抓住本行业、本单位的主要职能和典型事务，着重记述重大事件、重大活动和主要工作。时间、地点、人物、起因、经过、结果等要素完备。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条目标题概括性要强，与内容紧密契合，抓住事物本质特点，简称和缩略语应当慎用，加方括号“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〔〕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（三）随文图片要求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1．图片选用要注重典型性、资料性，突出反映重大事件、重要成果和热点问题。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2．图片要清晰、美观，有版权要求的请注明版权人；文字说明要简洁、准确，要素齐全。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3．随文图片应图文相符、以图释文；慎用少用单位负责人、会议照片。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kern w:val="2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2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（四）行文规范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1．采用记叙与说明文体，行文严谨、朴实、简洁、流畅。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2．行文一律用第三人称，禁用“我县、我镇、我局”等称谓。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3．各种名称要用全称，名称过长且重复出现，第一次用全称，之后可用简称，须加括号注明，简称需使用规范简称。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4．人物称谓一般直书其名，必要时可在姓名前冠以职务，一般不加“同志”“先生”“女士”等。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5．标点符号、数字、计量单位用法依国家法定标准规范使用。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6．供稿人姓名署在文末右端，另起一行，加圆括号“（）”。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黑体" w:cs="楷体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篇目设置与供稿任务分工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《宁晋年鉴（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）》设置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23个类目，充分体现2023年度县情的基本特点和新的变化，在保持年鉴框架和体例连续性特点的同时，注重了形式的创新，详见附件1。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：1.《宁晋年鉴（2024）》（总第11卷）编纂大纲及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任务分工一览表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2.重点工业企业组稿任务分工表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3.房地产开发公司与其他公司归口组稿任务表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4. 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XXX乡镇（街道）行政村（社区）基本情况一览表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5.XXX乡镇(街道）规上企业一览表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</w:rPr>
        <w:sectPr>
          <w:footerReference r:id="rId8" w:type="default"/>
          <w:pgSz w:w="11906" w:h="16838"/>
          <w:pgMar w:top="1984" w:right="1531" w:bottom="1701" w:left="1531" w:header="851" w:footer="1361" w:gutter="0"/>
          <w:pgNumType w:fmt="numberInDash" w:start="3"/>
          <w:cols w:space="0" w:num="1"/>
          <w:rtlGutter w:val="0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《宁晋年鉴（2024）》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（总第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11卷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）编纂大纲及任务分工一览表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630"/>
        <w:gridCol w:w="4767"/>
        <w:gridCol w:w="1581"/>
        <w:gridCol w:w="1266"/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序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号</w:t>
            </w:r>
          </w:p>
        </w:tc>
        <w:tc>
          <w:tcPr>
            <w:tcW w:w="1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类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目</w:t>
            </w: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分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目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字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数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图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片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供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稿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单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特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载</w:t>
            </w: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1.县委主要领导重要讲话与工作报告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县委办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2.县人民代表大会常务委员会工作报告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县人大常委会办公室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3.县政府主要领导重要讲话与政府工作报告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县政府办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4.政协宁晋县委员会工作报告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县政协办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5.关于宁晋县2023年国民经济和社会发展计划执行情况与2024年国民经济和社会发展计划（草案）的报告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6.关于宁晋县2023年预算执行情况和2024年预算（草案）的报告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7.2023年国民经济和社会发展统计公报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</w:t>
            </w:r>
          </w:p>
        </w:tc>
        <w:tc>
          <w:tcPr>
            <w:tcW w:w="1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大事记</w:t>
            </w: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10000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方志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编撰中心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210" w:firstLineChars="10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县情概览</w:t>
            </w: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1.区域位置、行政区划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县区划图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2.面积人口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vertAlign w:val="baseline"/>
              </w:rPr>
              <w:t>含县主城区面积人口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中国共产党宁晋县委员会</w:t>
            </w:r>
          </w:p>
        </w:tc>
        <w:tc>
          <w:tcPr>
            <w:tcW w:w="476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1.2023年县委综述、工作机构、领导名单、重要会议及重要决策等工作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4000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2.县委办公室工作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4000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3.组织建设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4000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县委</w:t>
            </w:r>
            <w:r>
              <w:rPr>
                <w:rFonts w:hint="eastAsia" w:ascii="仿宋" w:hAnsi="仿宋" w:eastAsia="仿宋" w:cs="仿宋"/>
                <w:vertAlign w:val="baseline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4.宣传教育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4000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县委</w:t>
            </w:r>
            <w:r>
              <w:rPr>
                <w:rFonts w:hint="eastAsia" w:ascii="仿宋" w:hAnsi="仿宋" w:eastAsia="仿宋" w:cs="仿宋"/>
                <w:vertAlign w:val="baseline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5.统一战线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县委</w:t>
            </w:r>
            <w:r>
              <w:rPr>
                <w:rFonts w:hint="eastAsia" w:ascii="仿宋" w:hAnsi="仿宋" w:eastAsia="仿宋" w:cs="仿宋"/>
                <w:vertAlign w:val="baseline"/>
              </w:rPr>
              <w:t>统战部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6.政法工作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县委</w:t>
            </w:r>
            <w:r>
              <w:rPr>
                <w:rFonts w:hint="eastAsia" w:ascii="仿宋" w:hAnsi="仿宋" w:eastAsia="仿宋" w:cs="仿宋"/>
                <w:vertAlign w:val="baseline"/>
              </w:rPr>
              <w:t>政法委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7.信访工作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信访局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8.党校教育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9.县直机关党建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县直工委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10.网信管理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网信办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11.档案管理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</w:t>
            </w:r>
          </w:p>
        </w:tc>
        <w:tc>
          <w:tcPr>
            <w:tcW w:w="1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宁晋县人民代表大会</w:t>
            </w: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2023年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vertAlign w:val="baseline"/>
              </w:rPr>
              <w:t>县人大综述、机构、领导名单（副处级以上实职及各科室负责人）、重要会议、监督工作、人事任免、视察与调研工作等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5000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县人大办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6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宁晋县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人民政府</w:t>
            </w: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1.2023年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vertAlign w:val="baseline"/>
              </w:rPr>
              <w:t>县政府综述、领导名单（副处级以上实职），重要会议、决策及重大活动等工作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4000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2.县政府办公室工作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4000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县政府办公室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各股室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3.行政审批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4.机关后勤服务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县机关后勤服务中心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7</w:t>
            </w:r>
          </w:p>
        </w:tc>
        <w:tc>
          <w:tcPr>
            <w:tcW w:w="1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中国人民政治协商会议宁晋县委员会</w:t>
            </w: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2023年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vertAlign w:val="baseline"/>
              </w:rPr>
              <w:t>县政协综述、领导名单（副处级以上实职及各委室负责人）、重要会议及重大活动（协商议政、民主监督、提案工作、村志编纂出版情况与统计表）等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5000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县政协办公室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8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中共宁晋县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纪委监委</w:t>
            </w: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vertAlign w:val="baseline"/>
              </w:rPr>
              <w:t>纪检监察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3000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vertAlign w:val="baseline"/>
              </w:rPr>
              <w:t>执纪巡察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县巡察办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9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群众团体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vertAlign w:val="baseline"/>
              </w:rPr>
              <w:t>工会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县总</w:t>
            </w:r>
            <w:r>
              <w:rPr>
                <w:rFonts w:hint="eastAsia" w:ascii="仿宋" w:hAnsi="仿宋" w:eastAsia="仿宋" w:cs="仿宋"/>
                <w:vertAlign w:val="baseline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vertAlign w:val="baseline"/>
              </w:rPr>
              <w:t>团县委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团县委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vertAlign w:val="baseline"/>
              </w:rPr>
              <w:t>妇联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vertAlign w:val="baseline"/>
              </w:rPr>
              <w:t>残联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残联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vertAlign w:val="baseline"/>
              </w:rPr>
              <w:t>工商联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工商联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vertAlign w:val="baseline"/>
              </w:rPr>
              <w:t>科协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vertAlign w:val="baseline"/>
              </w:rPr>
              <w:t>计生协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计生协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"/>
                <w:vertAlign w:val="baseline"/>
              </w:rPr>
              <w:t>文联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9.</w:t>
            </w:r>
            <w:r>
              <w:rPr>
                <w:rFonts w:hint="eastAsia" w:ascii="仿宋" w:hAnsi="仿宋" w:eastAsia="仿宋" w:cs="仿宋"/>
                <w:vertAlign w:val="baseline"/>
              </w:rPr>
              <w:t>工经联（含宁晋商会)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u w:val="none" w:color="00000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工经联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法治军事</w:t>
            </w: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1.公安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（含交警工作）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vertAlign w:val="baseline"/>
              </w:rPr>
              <w:t>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2.检察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3.审判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4.司法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5.人民武装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人武部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6.驻防部队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武警中队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7.消防救援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消防救援大队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11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经济管理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与监督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1.财政（含国企服务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、公共资源交易管理）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vertAlign w:val="baseline"/>
              </w:rPr>
              <w:t>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财政局组织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供稿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2.税务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3.发展改革（含人防工作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3500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4.统计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5.审计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6.市场监督管理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vertAlign w:val="baseline"/>
              </w:rPr>
              <w:t>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7.应急管理（含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抗洪救灾）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vertAlign w:val="baseline"/>
              </w:rPr>
              <w:t>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8.支援油田建设管理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支油办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9.烟草专卖管理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烟草专卖局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12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科工气象</w:t>
            </w: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1.科技工信（含产业集群情况，重点工业企业（各300字）由企业属地乡镇组织供稿，详见附件1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vertAlign w:val="baseline"/>
              </w:rPr>
              <w:t>）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10500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40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科技和工业信息化局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2.气象测报（含气象水文，月降水统计表，极端天气情况统计表）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2500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13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农业水务</w:t>
            </w: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1.农业农村（含省农业现场会在宁举办情况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)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4000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2.乡村振兴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2500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乡村振兴局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3.水务（含县域洪灾后河流沟渠修复、水美乡村建设、江水置换情况，水利技术发展服务中心工作内容）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4000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14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城乡建设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与管理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1.城乡建设（含城乡供气、供暖，重点房地产公司（详见附件2）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8000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2.国土资源管理（含城乡规划、林果业管理、地势地貌、国土资源、矿产资源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6000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宁晋地图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1、其他3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自然资源和规划局（林业局）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3.城市管理（含城市新增街角公园、公厕统计表）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城市管理综合行政执法局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4.城乡供电（含光伏新能源建设情况）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5.住房公积金管理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县公积金管理中心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6.环境保护（含城市空气质量点位检测月统计表）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2500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市环保局宁晋分局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15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交通通信</w:t>
            </w: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1.交通运输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交运局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2.邮政管理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邮政管理局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3.通信服务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4000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联通、移动、电信、铁塔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宁晋分</w:t>
            </w:r>
            <w:r>
              <w:rPr>
                <w:rFonts w:hint="eastAsia" w:ascii="仿宋" w:hAnsi="仿宋" w:eastAsia="仿宋" w:cs="仿宋"/>
                <w:vertAlign w:val="baseline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16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商贸金融</w:t>
            </w: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1.商业贸易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3000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2.供销合作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3.金融保险监管（含县人行撤并前金融管理工作）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银监办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4.政策性银行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农发行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5.商业银行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10000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中行、工商行、农行、建行、农村商业银行、邢台银行、民生村镇银行、邮政储蓄银行、河北银行、沧州银行，各1000字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6.保险公司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4000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中国人寿保险、人保财险公司、中国平安财险、中国太平洋财险，各1000字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17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文教卫体</w:t>
            </w: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1.文广体旅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8500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文化广电体育和旅游局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2.融媒体工作（含上级领导莅宁视察，县委、县政府主要领导就重点工作调研活动照片）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4500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3.教育管理（含重点学校简介，全县各级各类学校基本情况统计表）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8500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县教育局组织供稿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4.卫健综述（直属事业单位简介、县级医院简介，全县各级各类卫生院基本情况统计表）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6500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卫生健康局组织供稿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社会民生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1.人力资源和社会保障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2.医疗保障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3.民政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4.退役军人事务管理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退役军人事务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vertAlign w:val="baseline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5.民族宗教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1500</w:t>
            </w: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民宗局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19</w:t>
            </w:r>
          </w:p>
        </w:tc>
        <w:tc>
          <w:tcPr>
            <w:tcW w:w="1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乡镇区街道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概况</w:t>
            </w: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概况部分：记述乡镇区(街道)地理位置、总面积、村（社区）数、总户数、总人口、耕地面积，202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vertAlign w:val="baseline"/>
              </w:rPr>
              <w:t>年工业总产值、农业总产值、财政收入、一般预算收入、规上工业企业产值、粮食总产量，城乡居民医疗保险、养老保险参保人数及参保率等与上年增减百分比数等。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条目部分：记述各乡镇区、街道比较突出的行业或大事要事，一般3至4条。书记、乡镇长名单（年度内发生职务变化的，请注明离、任时间）。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每个乡镇区、街道上2至3家【企业选介】，记述本乡镇区重点工业企业基本情况及本年度主要业绩。每个乡镇区上1-2个（经济强镇可上3-5个）特色村条目，记述该村的典型经验和当年突出成就及当年综合情况，力求突出特色，并附村两委班子正职名单。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100000（乡镇综合部分3000字，每个企业300字，每个特色村500字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</w:t>
            </w: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各乡镇区供稿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填报附件3：XXX乡镇区（街道）行政村（社区）基本情况一览表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填报附件4：XXX乡镇区规上企业一览表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20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年度人物</w:t>
            </w: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1.202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vertAlign w:val="baseline"/>
              </w:rPr>
              <w:t>年度宁晋籍全国、省人大代表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县人大常委会办公室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2.202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vertAlign w:val="baseline"/>
              </w:rPr>
              <w:t>年度宁晋籍全国、省政协委员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县政协办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3.模范人物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（1）202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vertAlign w:val="baseline"/>
              </w:rPr>
              <w:t>年度市级以上劳动模范、五一劳动奖章获得者名单，202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vertAlign w:val="baseline"/>
              </w:rPr>
              <w:t>年度县级劳动模范名录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（2）202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vertAlign w:val="baseline"/>
              </w:rPr>
              <w:t>年度县级及以上三八红旗手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（3）202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vertAlign w:val="baseline"/>
              </w:rPr>
              <w:t>年度县级及以上优秀党务工作者、优秀共产党员名录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（4）202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vertAlign w:val="baseline"/>
              </w:rPr>
              <w:t>年度记功嘉奖人员名录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（5）202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vertAlign w:val="baseline"/>
              </w:rPr>
              <w:t>年度国家级媒体报道的宁晋籍名人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）由</w:t>
            </w:r>
            <w:r>
              <w:rPr>
                <w:rFonts w:hint="eastAsia" w:ascii="仿宋" w:hAnsi="仿宋" w:eastAsia="仿宋" w:cs="仿宋"/>
                <w:vertAlign w:val="baseline"/>
              </w:rPr>
              <w:t>县总工会供稿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）由</w:t>
            </w:r>
            <w:r>
              <w:rPr>
                <w:rFonts w:hint="eastAsia" w:ascii="仿宋" w:hAnsi="仿宋" w:eastAsia="仿宋" w:cs="仿宋"/>
                <w:vertAlign w:val="baseline"/>
              </w:rPr>
              <w:t>县妇联供稿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）由</w:t>
            </w:r>
            <w:r>
              <w:rPr>
                <w:rFonts w:hint="eastAsia" w:ascii="仿宋" w:hAnsi="仿宋" w:eastAsia="仿宋" w:cs="仿宋"/>
                <w:vertAlign w:val="baseline"/>
              </w:rPr>
              <w:t>组织部供稿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）由</w:t>
            </w:r>
            <w:r>
              <w:rPr>
                <w:rFonts w:hint="eastAsia" w:ascii="仿宋" w:hAnsi="仿宋" w:eastAsia="仿宋" w:cs="仿宋"/>
                <w:vertAlign w:val="baseline"/>
              </w:rPr>
              <w:t>县考核办供稿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（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）从</w:t>
            </w:r>
            <w:r>
              <w:rPr>
                <w:rFonts w:hint="eastAsia" w:ascii="仿宋" w:hAnsi="仿宋" w:eastAsia="仿宋" w:cs="仿宋"/>
                <w:vertAlign w:val="baseline"/>
              </w:rPr>
              <w:t>有关媒体摘录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4.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去</w:t>
            </w:r>
            <w:r>
              <w:rPr>
                <w:rFonts w:hint="eastAsia" w:ascii="仿宋" w:hAnsi="仿宋" w:eastAsia="仿宋" w:cs="仿宋"/>
                <w:vertAlign w:val="baseline"/>
              </w:rPr>
              <w:t>世人物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（1）202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vertAlign w:val="baseline"/>
              </w:rPr>
              <w:t>年度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去</w:t>
            </w:r>
            <w:r>
              <w:rPr>
                <w:rFonts w:hint="eastAsia" w:ascii="仿宋" w:hAnsi="仿宋" w:eastAsia="仿宋" w:cs="仿宋"/>
                <w:vertAlign w:val="baseline"/>
              </w:rPr>
              <w:t>世的宁晋籍县级以上领导干部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（2）202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vertAlign w:val="baseline"/>
              </w:rPr>
              <w:t>年度命名的革命烈士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（3）202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vertAlign w:val="baseline"/>
              </w:rPr>
              <w:t>年度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去</w:t>
            </w:r>
            <w:r>
              <w:rPr>
                <w:rFonts w:hint="eastAsia" w:ascii="仿宋" w:hAnsi="仿宋" w:eastAsia="仿宋" w:cs="仿宋"/>
                <w:vertAlign w:val="baseline"/>
              </w:rPr>
              <w:t>世的宁晋籍名人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由</w:t>
            </w:r>
            <w:r>
              <w:rPr>
                <w:rFonts w:hint="eastAsia" w:ascii="仿宋" w:hAnsi="仿宋" w:eastAsia="仿宋" w:cs="仿宋"/>
                <w:vertAlign w:val="baseline"/>
              </w:rPr>
              <w:t>组织部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供稿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由县</w:t>
            </w:r>
            <w:r>
              <w:rPr>
                <w:rFonts w:hint="eastAsia" w:ascii="仿宋" w:hAnsi="仿宋" w:eastAsia="仿宋" w:cs="仿宋"/>
                <w:vertAlign w:val="baseline"/>
              </w:rPr>
              <w:t>退役军人事务局供稿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从有关媒体摘录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21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文件报告选编</w:t>
            </w: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1.县委、县政府规范性文件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2.法院、检察院工作报告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法院、检察院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22</w:t>
            </w:r>
          </w:p>
        </w:tc>
        <w:tc>
          <w:tcPr>
            <w:tcW w:w="1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媒体看宁晋</w:t>
            </w: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left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市级以上媒体对宁晋的报道</w:t>
            </w: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方志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编撰中心摘录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23</w:t>
            </w:r>
          </w:p>
        </w:tc>
        <w:tc>
          <w:tcPr>
            <w:tcW w:w="16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附录</w:t>
            </w:r>
          </w:p>
        </w:tc>
        <w:tc>
          <w:tcPr>
            <w:tcW w:w="47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5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vertAlign w:val="baseline"/>
              </w:rPr>
              <w:t>方志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编撰中心收录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eastAsia="zh-CN"/>
        </w:rPr>
        <w:sectPr>
          <w:footerReference r:id="rId9" w:type="default"/>
          <w:pgSz w:w="16838" w:h="11906" w:orient="landscape"/>
          <w:pgMar w:top="1531" w:right="1984" w:bottom="1531" w:left="1701" w:header="851" w:footer="1361" w:gutter="0"/>
          <w:pgNumType w:fmt="numberInDash" w:start="6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54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重点工业企业组稿任务分工表</w:t>
      </w:r>
    </w:p>
    <w:tbl>
      <w:tblPr>
        <w:tblStyle w:val="13"/>
        <w:tblpPr w:leftFromText="180" w:rightFromText="180" w:vertAnchor="text" w:horzAnchor="page" w:tblpX="1731" w:tblpY="267"/>
        <w:tblOverlap w:val="never"/>
        <w:tblW w:w="13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8"/>
        <w:gridCol w:w="2990"/>
        <w:gridCol w:w="2946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企业属地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组稿单位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val="en-US" w:eastAsia="zh-CN"/>
              </w:rPr>
              <w:t>晶龙集团</w:t>
            </w:r>
          </w:p>
        </w:tc>
        <w:tc>
          <w:tcPr>
            <w:tcW w:w="299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  <w:t>经济开发区</w:t>
            </w:r>
          </w:p>
        </w:tc>
        <w:tc>
          <w:tcPr>
            <w:tcW w:w="294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  <w:t>经济开发区</w:t>
            </w: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  <w:t>方大科技园</w:t>
            </w:r>
          </w:p>
        </w:tc>
        <w:tc>
          <w:tcPr>
            <w:tcW w:w="29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</w:p>
        </w:tc>
        <w:tc>
          <w:tcPr>
            <w:tcW w:w="294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  <w:t>河北丽达制衣有限公司</w:t>
            </w:r>
          </w:p>
        </w:tc>
        <w:tc>
          <w:tcPr>
            <w:tcW w:w="29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</w:p>
        </w:tc>
        <w:tc>
          <w:tcPr>
            <w:tcW w:w="294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  <w:t>河北华荣制药有限公司</w:t>
            </w:r>
          </w:p>
        </w:tc>
        <w:tc>
          <w:tcPr>
            <w:tcW w:w="29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</w:p>
        </w:tc>
        <w:tc>
          <w:tcPr>
            <w:tcW w:w="294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  <w:t>玉锋集团</w:t>
            </w:r>
          </w:p>
        </w:tc>
        <w:tc>
          <w:tcPr>
            <w:tcW w:w="29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</w:p>
        </w:tc>
        <w:tc>
          <w:tcPr>
            <w:tcW w:w="294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  <w:t>河北双强合成材料有限公司</w:t>
            </w:r>
          </w:p>
        </w:tc>
        <w:tc>
          <w:tcPr>
            <w:tcW w:w="29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</w:p>
        </w:tc>
        <w:tc>
          <w:tcPr>
            <w:tcW w:w="294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  <w:t>河北六合化工有限公司</w:t>
            </w:r>
          </w:p>
        </w:tc>
        <w:tc>
          <w:tcPr>
            <w:tcW w:w="29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</w:p>
        </w:tc>
        <w:tc>
          <w:tcPr>
            <w:tcW w:w="294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  <w:t>宁晋县晶樱光电科技有限公司</w:t>
            </w:r>
          </w:p>
        </w:tc>
        <w:tc>
          <w:tcPr>
            <w:tcW w:w="29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</w:p>
        </w:tc>
        <w:tc>
          <w:tcPr>
            <w:tcW w:w="294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  <w:t>宁纺集团</w:t>
            </w:r>
          </w:p>
        </w:tc>
        <w:tc>
          <w:tcPr>
            <w:tcW w:w="299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  <w:t>凤凰镇</w:t>
            </w:r>
          </w:p>
        </w:tc>
        <w:tc>
          <w:tcPr>
            <w:tcW w:w="294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  <w:t>凤凰镇</w:t>
            </w: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  <w:t>惠尔信集团</w:t>
            </w:r>
          </w:p>
        </w:tc>
        <w:tc>
          <w:tcPr>
            <w:tcW w:w="29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</w:p>
        </w:tc>
        <w:tc>
          <w:tcPr>
            <w:tcW w:w="294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  <w:t>童泰婴幼儿服饰有限公司</w:t>
            </w:r>
          </w:p>
        </w:tc>
        <w:tc>
          <w:tcPr>
            <w:tcW w:w="29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</w:p>
        </w:tc>
        <w:tc>
          <w:tcPr>
            <w:tcW w:w="294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  <w:t>河北兴飞化工有限公司</w:t>
            </w:r>
          </w:p>
        </w:tc>
        <w:tc>
          <w:tcPr>
            <w:tcW w:w="299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  <w:t>徐家河乡</w:t>
            </w:r>
          </w:p>
        </w:tc>
        <w:tc>
          <w:tcPr>
            <w:tcW w:w="294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eastAsia="zh-CN"/>
              </w:rPr>
              <w:t>徐家河乡</w:t>
            </w: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河北三川化工有限公司</w:t>
            </w:r>
          </w:p>
        </w:tc>
        <w:tc>
          <w:tcPr>
            <w:tcW w:w="29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94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精晶药业</w:t>
            </w:r>
          </w:p>
        </w:tc>
        <w:tc>
          <w:tcPr>
            <w:tcW w:w="29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94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河北允升精细化工</w:t>
            </w:r>
          </w:p>
        </w:tc>
        <w:tc>
          <w:tcPr>
            <w:tcW w:w="29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94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企业属地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组稿单位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万方集团</w:t>
            </w:r>
          </w:p>
        </w:tc>
        <w:tc>
          <w:tcPr>
            <w:tcW w:w="299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贾家口镇</w:t>
            </w:r>
          </w:p>
        </w:tc>
        <w:tc>
          <w:tcPr>
            <w:tcW w:w="294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贾家口镇</w:t>
            </w: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明达线缆集团有限公司</w:t>
            </w:r>
          </w:p>
        </w:tc>
        <w:tc>
          <w:tcPr>
            <w:tcW w:w="2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亚星线缆集团有限公司</w:t>
            </w:r>
          </w:p>
        </w:tc>
        <w:tc>
          <w:tcPr>
            <w:tcW w:w="2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东方交联</w:t>
            </w:r>
          </w:p>
        </w:tc>
        <w:tc>
          <w:tcPr>
            <w:tcW w:w="299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贾家口镇</w:t>
            </w:r>
          </w:p>
        </w:tc>
        <w:tc>
          <w:tcPr>
            <w:tcW w:w="294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贾家口镇</w:t>
            </w: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金太阳电缆有限公司</w:t>
            </w:r>
          </w:p>
        </w:tc>
        <w:tc>
          <w:tcPr>
            <w:tcW w:w="29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94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恒瑞电缆有限公司</w:t>
            </w:r>
          </w:p>
        </w:tc>
        <w:tc>
          <w:tcPr>
            <w:tcW w:w="29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94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河北瑞达净水剂科技有限公司</w:t>
            </w:r>
          </w:p>
        </w:tc>
        <w:tc>
          <w:tcPr>
            <w:tcW w:w="299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宁北街道办事处</w:t>
            </w:r>
          </w:p>
        </w:tc>
        <w:tc>
          <w:tcPr>
            <w:tcW w:w="294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宁北街道办事处</w:t>
            </w: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鑫晖铜业</w:t>
            </w:r>
          </w:p>
        </w:tc>
        <w:tc>
          <w:tcPr>
            <w:tcW w:w="29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94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宏亮电缆有限公司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大曹庄镇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大曹庄镇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中广核宁晋县光伏发电有限公司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耿庄桥镇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耿庄桥镇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天环线缆集团有限公司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东汪镇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东汪镇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西隆电缆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苏家庄镇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苏家庄镇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8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河北蓝天塑业有限公司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河渠镇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河渠镇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</w:tbl>
    <w:p>
      <w:pPr>
        <w:widowControl w:val="0"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sectPr>
          <w:footerReference r:id="rId10" w:type="default"/>
          <w:pgSz w:w="16838" w:h="11906" w:orient="landscape"/>
          <w:pgMar w:top="1531" w:right="1984" w:bottom="1531" w:left="1701" w:header="851" w:footer="1361" w:gutter="0"/>
          <w:pgNumType w:fmt="numberInDash" w:start="12"/>
          <w:cols w:space="0" w:num="1"/>
          <w:rtlGutter w:val="0"/>
          <w:docGrid w:type="lines" w:linePitch="312" w:charSpace="0"/>
        </w:sectPr>
      </w:pPr>
    </w:p>
    <w:p>
      <w:pPr>
        <w:widowControl w:val="0"/>
        <w:spacing w:line="540" w:lineRule="exact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tbl>
      <w:tblPr>
        <w:tblStyle w:val="13"/>
        <w:tblpPr w:leftFromText="180" w:rightFromText="180" w:vertAnchor="text" w:horzAnchor="page" w:tblpX="2046" w:tblpY="1229"/>
        <w:tblOverlap w:val="never"/>
        <w:tblW w:w="12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5"/>
        <w:gridCol w:w="2235"/>
        <w:gridCol w:w="2305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55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公司名称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归口管理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组稿单位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河北家乐园房地产开发有限公司</w:t>
            </w:r>
          </w:p>
        </w:tc>
        <w:tc>
          <w:tcPr>
            <w:tcW w:w="223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住建局</w:t>
            </w:r>
          </w:p>
        </w:tc>
        <w:tc>
          <w:tcPr>
            <w:tcW w:w="230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住建局</w:t>
            </w:r>
          </w:p>
        </w:tc>
        <w:tc>
          <w:tcPr>
            <w:tcW w:w="146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中凰房地产开发有限公司</w:t>
            </w:r>
          </w:p>
        </w:tc>
        <w:tc>
          <w:tcPr>
            <w:tcW w:w="223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河北坤创房地产开发有限公司宁晋县分公司</w:t>
            </w:r>
          </w:p>
        </w:tc>
        <w:tc>
          <w:tcPr>
            <w:tcW w:w="223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河北建工集团有限公司</w:t>
            </w:r>
          </w:p>
        </w:tc>
        <w:tc>
          <w:tcPr>
            <w:tcW w:w="223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河北冀盈房地产开发有限公司</w:t>
            </w:r>
          </w:p>
        </w:tc>
        <w:tc>
          <w:tcPr>
            <w:tcW w:w="223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中国石油天然气股份有限公司华北油田分公司</w:t>
            </w:r>
          </w:p>
        </w:tc>
        <w:tc>
          <w:tcPr>
            <w:tcW w:w="223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宁晋县财创实业集团有限公司</w:t>
            </w:r>
          </w:p>
        </w:tc>
        <w:tc>
          <w:tcPr>
            <w:tcW w:w="223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本公司</w:t>
            </w:r>
          </w:p>
        </w:tc>
        <w:tc>
          <w:tcPr>
            <w:tcW w:w="230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本公司</w:t>
            </w:r>
          </w:p>
        </w:tc>
        <w:tc>
          <w:tcPr>
            <w:tcW w:w="146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宁晋县众联科技创业服务有限公司</w:t>
            </w:r>
          </w:p>
        </w:tc>
        <w:tc>
          <w:tcPr>
            <w:tcW w:w="223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宁晋县信和银泰商贸有限公司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商贸局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商贸局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540" w:lineRule="exact"/>
        <w:ind w:firstLine="0" w:firstLineChars="0"/>
        <w:jc w:val="center"/>
        <w:textAlignment w:val="auto"/>
        <w:rPr>
          <w:rFonts w:hint="eastAsia"/>
          <w:lang w:val="en-US" w:eastAsia="zh-CN"/>
        </w:rPr>
        <w:sectPr>
          <w:footerReference r:id="rId11" w:type="default"/>
          <w:pgSz w:w="16838" w:h="11906" w:orient="landscape"/>
          <w:pgMar w:top="1531" w:right="1984" w:bottom="1531" w:left="1701" w:header="851" w:footer="1361" w:gutter="0"/>
          <w:pgNumType w:fmt="numberInDash" w:start="14"/>
          <w:cols w:space="0" w:num="1"/>
          <w:rtlGutter w:val="0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重点房地产开发公司及其他公司归口组稿任务表</w:t>
      </w:r>
    </w:p>
    <w:p>
      <w:pPr>
        <w:widowControl w:val="0"/>
        <w:spacing w:line="540" w:lineRule="exact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5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single" w:color="auto"/>
          <w:lang w:val="en-US" w:eastAsia="zh-CN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乡镇区（街道）行政村（社区）基本情况一览表</w:t>
      </w:r>
    </w:p>
    <w:tbl>
      <w:tblPr>
        <w:tblStyle w:val="13"/>
        <w:tblpPr w:leftFromText="180" w:rightFromText="180" w:vertAnchor="text" w:horzAnchor="page" w:tblpX="1708" w:tblpY="791"/>
        <w:tblOverlap w:val="never"/>
        <w:tblW w:w="13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481"/>
        <w:gridCol w:w="2937"/>
        <w:gridCol w:w="1878"/>
        <w:gridCol w:w="1880"/>
        <w:gridCol w:w="1880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" w:hRule="atLeast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村名</w:t>
            </w:r>
          </w:p>
        </w:tc>
        <w:tc>
          <w:tcPr>
            <w:tcW w:w="2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地理位置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（相对于乡镇政府驻地方向、距离）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户数</w:t>
            </w: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人口</w:t>
            </w: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耕地面积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（亩）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12" w:type="default"/>
          <w:pgSz w:w="16838" w:h="11906" w:orient="landscape"/>
          <w:pgMar w:top="1531" w:right="1984" w:bottom="1531" w:left="1701" w:header="851" w:footer="1361" w:gutter="0"/>
          <w:pgNumType w:fmt="numberInDash" w:start="15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64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single" w:color="auto"/>
          <w:lang w:val="en-US" w:eastAsia="zh-CN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乡镇区（街道）规上企业一览表</w:t>
      </w:r>
    </w:p>
    <w:tbl>
      <w:tblPr>
        <w:tblStyle w:val="13"/>
        <w:tblpPr w:leftFromText="180" w:rightFromText="180" w:vertAnchor="text" w:horzAnchor="page" w:tblpX="2091" w:tblpY="961"/>
        <w:tblOverlap w:val="never"/>
        <w:tblW w:w="13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113"/>
        <w:gridCol w:w="1421"/>
        <w:gridCol w:w="1196"/>
        <w:gridCol w:w="1850"/>
        <w:gridCol w:w="1112"/>
        <w:gridCol w:w="1680"/>
        <w:gridCol w:w="1610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395" w:type="dxa"/>
            <w:vAlign w:val="center"/>
          </w:tcPr>
          <w:p>
            <w:pPr>
              <w:pStyle w:val="9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baseline"/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pStyle w:val="9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baseline"/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113" w:type="dxa"/>
            <w:vAlign w:val="center"/>
          </w:tcPr>
          <w:p>
            <w:pPr>
              <w:pStyle w:val="9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baseline"/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421" w:type="dxa"/>
            <w:vAlign w:val="center"/>
          </w:tcPr>
          <w:p>
            <w:pPr>
              <w:pStyle w:val="9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baseline"/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创建</w:t>
            </w:r>
          </w:p>
          <w:p>
            <w:pPr>
              <w:pStyle w:val="9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baseline"/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96" w:type="dxa"/>
            <w:vAlign w:val="center"/>
          </w:tcPr>
          <w:p>
            <w:pPr>
              <w:pStyle w:val="9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baseline"/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</w:t>
            </w:r>
          </w:p>
          <w:p>
            <w:pPr>
              <w:pStyle w:val="9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baseline"/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代表</w:t>
            </w:r>
          </w:p>
        </w:tc>
        <w:tc>
          <w:tcPr>
            <w:tcW w:w="1850" w:type="dxa"/>
            <w:vAlign w:val="center"/>
          </w:tcPr>
          <w:p>
            <w:pPr>
              <w:pStyle w:val="9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baseline"/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注册</w:t>
            </w:r>
          </w:p>
          <w:p>
            <w:pPr>
              <w:pStyle w:val="9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baseline"/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资金（万元）</w:t>
            </w:r>
          </w:p>
        </w:tc>
        <w:tc>
          <w:tcPr>
            <w:tcW w:w="1112" w:type="dxa"/>
            <w:vAlign w:val="center"/>
          </w:tcPr>
          <w:p>
            <w:pPr>
              <w:pStyle w:val="9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baseline"/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经营</w:t>
            </w:r>
          </w:p>
          <w:p>
            <w:pPr>
              <w:pStyle w:val="9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baseline"/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  <w:tc>
          <w:tcPr>
            <w:tcW w:w="1680" w:type="dxa"/>
            <w:vAlign w:val="center"/>
          </w:tcPr>
          <w:p>
            <w:pPr>
              <w:pStyle w:val="9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baseline"/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年产</w:t>
            </w:r>
          </w:p>
          <w:p>
            <w:pPr>
              <w:pStyle w:val="9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baseline"/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值（万元）</w:t>
            </w:r>
          </w:p>
        </w:tc>
        <w:tc>
          <w:tcPr>
            <w:tcW w:w="1610" w:type="dxa"/>
            <w:vAlign w:val="center"/>
          </w:tcPr>
          <w:p>
            <w:pPr>
              <w:pStyle w:val="9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baseline"/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销售</w:t>
            </w:r>
          </w:p>
          <w:p>
            <w:pPr>
              <w:pStyle w:val="9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baseline"/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收入（万元）</w:t>
            </w:r>
          </w:p>
        </w:tc>
        <w:tc>
          <w:tcPr>
            <w:tcW w:w="1720" w:type="dxa"/>
            <w:vAlign w:val="center"/>
          </w:tcPr>
          <w:p>
            <w:pPr>
              <w:pStyle w:val="9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baseline"/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纳税</w:t>
            </w:r>
          </w:p>
          <w:p>
            <w:pPr>
              <w:pStyle w:val="9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baseline"/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5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5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5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95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95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2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9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aseline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ind w:left="0" w:leftChars="0"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13" w:type="default"/>
      <w:pgSz w:w="16838" w:h="11906" w:orient="landscape"/>
      <w:pgMar w:top="1531" w:right="1984" w:bottom="1531" w:left="1701" w:header="851" w:footer="1361" w:gutter="0"/>
      <w:pgNumType w:fmt="numberInDash" w:start="16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textAlignment w:val="baseline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textAlignment w:val="baseline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textAlignment w:val="baseline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textAlignment w:val="baseline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textAlignment w:val="baseline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textAlignment w:val="baseline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textAlignment w:val="baseline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textAlignment w:val="baseline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textAlignment w:val="baseline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textAlignment w:val="baseline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textAlignment w:val="baseline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textAlignment w:val="baseline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textAlignment w:val="baseline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textAlignment w:val="baseline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textAlignment w:val="baseline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textAlignment w:val="baseline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textAlignment w:val="baseline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textAlignment w:val="baseline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textAlignment w:val="baseline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DD3935"/>
    <w:multiLevelType w:val="singleLevel"/>
    <w:tmpl w:val="42DD393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TZjZGNiOTBiMzA4YjY4ZGNjMzMwZGFhYWVlZmYifQ=="/>
  </w:docVars>
  <w:rsids>
    <w:rsidRoot w:val="10EB440A"/>
    <w:rsid w:val="00D51C56"/>
    <w:rsid w:val="01864155"/>
    <w:rsid w:val="019C1E03"/>
    <w:rsid w:val="01AE1649"/>
    <w:rsid w:val="04BD3FCF"/>
    <w:rsid w:val="050B287F"/>
    <w:rsid w:val="058C1760"/>
    <w:rsid w:val="073F724C"/>
    <w:rsid w:val="0763151F"/>
    <w:rsid w:val="08444870"/>
    <w:rsid w:val="08580D3E"/>
    <w:rsid w:val="08FF48B5"/>
    <w:rsid w:val="092955D4"/>
    <w:rsid w:val="0951776B"/>
    <w:rsid w:val="09CC4680"/>
    <w:rsid w:val="0A106E52"/>
    <w:rsid w:val="0A971CA1"/>
    <w:rsid w:val="0A9E7CF1"/>
    <w:rsid w:val="0C387C3D"/>
    <w:rsid w:val="0C4077E0"/>
    <w:rsid w:val="0CB25B0D"/>
    <w:rsid w:val="0CC42D02"/>
    <w:rsid w:val="0D367D2B"/>
    <w:rsid w:val="0DD84F44"/>
    <w:rsid w:val="0E864347"/>
    <w:rsid w:val="0EE4281A"/>
    <w:rsid w:val="0FE62EDF"/>
    <w:rsid w:val="107058CB"/>
    <w:rsid w:val="107D5F17"/>
    <w:rsid w:val="10AF7CA6"/>
    <w:rsid w:val="10EB440A"/>
    <w:rsid w:val="113A727B"/>
    <w:rsid w:val="11403F90"/>
    <w:rsid w:val="118F6769"/>
    <w:rsid w:val="11E457BF"/>
    <w:rsid w:val="12B028E8"/>
    <w:rsid w:val="12C22672"/>
    <w:rsid w:val="13984538"/>
    <w:rsid w:val="1441006B"/>
    <w:rsid w:val="146D7B4F"/>
    <w:rsid w:val="14793284"/>
    <w:rsid w:val="14832341"/>
    <w:rsid w:val="14C32C02"/>
    <w:rsid w:val="14F15CCC"/>
    <w:rsid w:val="15910717"/>
    <w:rsid w:val="16C82655"/>
    <w:rsid w:val="16DA0303"/>
    <w:rsid w:val="171156E5"/>
    <w:rsid w:val="175A2B33"/>
    <w:rsid w:val="185024E1"/>
    <w:rsid w:val="18AF6609"/>
    <w:rsid w:val="1A424E3D"/>
    <w:rsid w:val="1ABF090F"/>
    <w:rsid w:val="1C2129F1"/>
    <w:rsid w:val="1C8A07DE"/>
    <w:rsid w:val="1DFC53CF"/>
    <w:rsid w:val="21767932"/>
    <w:rsid w:val="21EE640B"/>
    <w:rsid w:val="2236502E"/>
    <w:rsid w:val="23425F44"/>
    <w:rsid w:val="2434717A"/>
    <w:rsid w:val="251163E1"/>
    <w:rsid w:val="26FA3D38"/>
    <w:rsid w:val="277D65F5"/>
    <w:rsid w:val="27D57D0B"/>
    <w:rsid w:val="28F35140"/>
    <w:rsid w:val="2919550E"/>
    <w:rsid w:val="293D700C"/>
    <w:rsid w:val="29E46B52"/>
    <w:rsid w:val="29EF6A64"/>
    <w:rsid w:val="2A824904"/>
    <w:rsid w:val="2B2A4818"/>
    <w:rsid w:val="2CE827FD"/>
    <w:rsid w:val="2CF51163"/>
    <w:rsid w:val="2D7B344E"/>
    <w:rsid w:val="305213EA"/>
    <w:rsid w:val="30765C2F"/>
    <w:rsid w:val="30B26E2E"/>
    <w:rsid w:val="32C015A0"/>
    <w:rsid w:val="32F74E76"/>
    <w:rsid w:val="33526A52"/>
    <w:rsid w:val="342936C1"/>
    <w:rsid w:val="3453759F"/>
    <w:rsid w:val="34E846A2"/>
    <w:rsid w:val="35814357"/>
    <w:rsid w:val="36353B3B"/>
    <w:rsid w:val="37AF069F"/>
    <w:rsid w:val="381528DF"/>
    <w:rsid w:val="39003984"/>
    <w:rsid w:val="39796F8B"/>
    <w:rsid w:val="399F2FBB"/>
    <w:rsid w:val="3A6B7341"/>
    <w:rsid w:val="3BD54D6D"/>
    <w:rsid w:val="3C0F46B7"/>
    <w:rsid w:val="3CC25E77"/>
    <w:rsid w:val="3E433303"/>
    <w:rsid w:val="40DA43ED"/>
    <w:rsid w:val="41283D17"/>
    <w:rsid w:val="41613B99"/>
    <w:rsid w:val="418670FF"/>
    <w:rsid w:val="418A391D"/>
    <w:rsid w:val="41B232B9"/>
    <w:rsid w:val="42415974"/>
    <w:rsid w:val="42BC1086"/>
    <w:rsid w:val="42DA5E05"/>
    <w:rsid w:val="431A5637"/>
    <w:rsid w:val="43277A1B"/>
    <w:rsid w:val="44245218"/>
    <w:rsid w:val="44B9023B"/>
    <w:rsid w:val="4746326A"/>
    <w:rsid w:val="49601FFF"/>
    <w:rsid w:val="49EA29C8"/>
    <w:rsid w:val="4A155EF9"/>
    <w:rsid w:val="4A35566D"/>
    <w:rsid w:val="4A49144C"/>
    <w:rsid w:val="4AA56FAB"/>
    <w:rsid w:val="4AE35879"/>
    <w:rsid w:val="4B0051C2"/>
    <w:rsid w:val="4C661884"/>
    <w:rsid w:val="4CAC3BDB"/>
    <w:rsid w:val="4CAD6530"/>
    <w:rsid w:val="4D305322"/>
    <w:rsid w:val="4DFD0830"/>
    <w:rsid w:val="4EEA4880"/>
    <w:rsid w:val="4F9B0FDE"/>
    <w:rsid w:val="507D4CD9"/>
    <w:rsid w:val="519250E7"/>
    <w:rsid w:val="519B08E6"/>
    <w:rsid w:val="54352772"/>
    <w:rsid w:val="548005E1"/>
    <w:rsid w:val="54A45650"/>
    <w:rsid w:val="54ED6492"/>
    <w:rsid w:val="55706D6D"/>
    <w:rsid w:val="56361467"/>
    <w:rsid w:val="566B3D40"/>
    <w:rsid w:val="58510502"/>
    <w:rsid w:val="58642D3C"/>
    <w:rsid w:val="59C5491C"/>
    <w:rsid w:val="5B173754"/>
    <w:rsid w:val="5B75711C"/>
    <w:rsid w:val="5CF37160"/>
    <w:rsid w:val="5D855441"/>
    <w:rsid w:val="5EB0162D"/>
    <w:rsid w:val="5ED35E5E"/>
    <w:rsid w:val="5F12466D"/>
    <w:rsid w:val="5F4250F4"/>
    <w:rsid w:val="5FD35BFF"/>
    <w:rsid w:val="61F97E72"/>
    <w:rsid w:val="62A279D7"/>
    <w:rsid w:val="62B81E77"/>
    <w:rsid w:val="63870CE6"/>
    <w:rsid w:val="63F5533C"/>
    <w:rsid w:val="64432889"/>
    <w:rsid w:val="64D27A50"/>
    <w:rsid w:val="650F4486"/>
    <w:rsid w:val="65255B3A"/>
    <w:rsid w:val="654035EE"/>
    <w:rsid w:val="655A45EC"/>
    <w:rsid w:val="65982E30"/>
    <w:rsid w:val="65CC786E"/>
    <w:rsid w:val="65E846B9"/>
    <w:rsid w:val="66A82BFF"/>
    <w:rsid w:val="66CC1A8C"/>
    <w:rsid w:val="67D43B66"/>
    <w:rsid w:val="68272A1B"/>
    <w:rsid w:val="68D040D9"/>
    <w:rsid w:val="69F47ADF"/>
    <w:rsid w:val="6A221D68"/>
    <w:rsid w:val="6A6D4B86"/>
    <w:rsid w:val="6B0440A7"/>
    <w:rsid w:val="6B6A074B"/>
    <w:rsid w:val="6BAE6F0A"/>
    <w:rsid w:val="6BBC5CDC"/>
    <w:rsid w:val="6BCC047C"/>
    <w:rsid w:val="6BE21069"/>
    <w:rsid w:val="6BE566A3"/>
    <w:rsid w:val="6C8B6383"/>
    <w:rsid w:val="6CB52A2B"/>
    <w:rsid w:val="6D5C1600"/>
    <w:rsid w:val="6DFA6148"/>
    <w:rsid w:val="6E4758BB"/>
    <w:rsid w:val="6FAC1C73"/>
    <w:rsid w:val="6FC45CC2"/>
    <w:rsid w:val="70BB5DC8"/>
    <w:rsid w:val="70DF3E15"/>
    <w:rsid w:val="70EB418F"/>
    <w:rsid w:val="710E65A0"/>
    <w:rsid w:val="711D76D1"/>
    <w:rsid w:val="719D7BB2"/>
    <w:rsid w:val="7218555A"/>
    <w:rsid w:val="722246EA"/>
    <w:rsid w:val="730F2F95"/>
    <w:rsid w:val="740D42FF"/>
    <w:rsid w:val="741B631A"/>
    <w:rsid w:val="75063912"/>
    <w:rsid w:val="75AC3A76"/>
    <w:rsid w:val="77AD10DD"/>
    <w:rsid w:val="77FC1E39"/>
    <w:rsid w:val="784C1F84"/>
    <w:rsid w:val="78774E59"/>
    <w:rsid w:val="7BB06D7E"/>
    <w:rsid w:val="7BDF6C6B"/>
    <w:rsid w:val="7C9027A1"/>
    <w:rsid w:val="7CC24B21"/>
    <w:rsid w:val="7CFA01A1"/>
    <w:rsid w:val="7E7A711F"/>
    <w:rsid w:val="7EE528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line="578" w:lineRule="atLeast"/>
      <w:jc w:val="both"/>
      <w:textAlignment w:val="baseline"/>
    </w:pPr>
    <w:rPr>
      <w:rFonts w:ascii="Calibri" w:hAnsi="Calibri" w:eastAsia="宋体" w:cs="Times New Roman"/>
      <w:color w:val="000000"/>
      <w:sz w:val="21"/>
      <w:u w:val="none" w:color="000000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0"/>
    </w:pPr>
    <w:rPr>
      <w:rFonts w:eastAsia="黑体"/>
      <w:kern w:val="44"/>
    </w:rPr>
  </w:style>
  <w:style w:type="paragraph" w:styleId="5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9">
    <w:name w:val="heading 6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10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13">
    <w:name w:val="Table Grid"/>
    <w:basedOn w:val="12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5155</Words>
  <Characters>5680</Characters>
  <Lines>0</Lines>
  <Paragraphs>0</Paragraphs>
  <TotalTime>39</TotalTime>
  <ScaleCrop>false</ScaleCrop>
  <LinksUpToDate>false</LinksUpToDate>
  <CharactersWithSpaces>5856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2019-12-26T04:26:00Z</dcterms:created>
  <dc:creator>冰雨</dc:creator>
  <cp:lastModifiedBy>Hopefully</cp:lastModifiedBy>
  <cp:lastPrinted>2024-01-24T01:35:00Z</cp:lastPrinted>
  <dcterms:modified xsi:type="dcterms:W3CDTF">2024-04-25T01:39:34Z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BA2E3D2A028842448FC830A452F0D30F</vt:lpwstr>
  </property>
</Properties>
</file>