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b/>
          <w:bCs/>
          <w:i w:val="0"/>
          <w:iCs w:val="0"/>
          <w:caps w:val="0"/>
          <w:color w:val="333333"/>
          <w:spacing w:val="0"/>
          <w:sz w:val="44"/>
          <w:szCs w:val="4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宋体" w:hAnsi="宋体" w:eastAsia="宋体" w:cs="宋体"/>
          <w:b/>
          <w:bCs/>
          <w:i w:val="0"/>
          <w:iCs w:val="0"/>
          <w:caps w:val="0"/>
          <w:color w:val="333333"/>
          <w:spacing w:val="0"/>
          <w:sz w:val="44"/>
          <w:szCs w:val="44"/>
        </w:rPr>
      </w:pPr>
      <w:r>
        <w:rPr>
          <w:rFonts w:hint="eastAsia" w:ascii="宋体" w:hAnsi="宋体" w:eastAsia="宋体" w:cs="宋体"/>
          <w:b/>
          <w:bCs/>
          <w:i w:val="0"/>
          <w:iCs w:val="0"/>
          <w:caps w:val="0"/>
          <w:color w:val="333333"/>
          <w:spacing w:val="0"/>
          <w:sz w:val="44"/>
          <w:szCs w:val="44"/>
        </w:rPr>
        <w:t>宁晋县城市管理综合行政执法局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宋体" w:hAnsi="宋体" w:eastAsia="宋体" w:cs="宋体"/>
          <w:b/>
          <w:bCs/>
          <w:i w:val="0"/>
          <w:iCs w:val="0"/>
          <w:caps w:val="0"/>
          <w:color w:val="333333"/>
          <w:spacing w:val="0"/>
          <w:sz w:val="44"/>
          <w:szCs w:val="44"/>
        </w:rPr>
      </w:pPr>
      <w:r>
        <w:rPr>
          <w:rFonts w:hint="eastAsia" w:ascii="宋体" w:hAnsi="宋体" w:eastAsia="宋体" w:cs="宋体"/>
          <w:b/>
          <w:bCs/>
          <w:i w:val="0"/>
          <w:iCs w:val="0"/>
          <w:caps w:val="0"/>
          <w:color w:val="333333"/>
          <w:spacing w:val="0"/>
          <w:sz w:val="44"/>
          <w:szCs w:val="44"/>
        </w:rPr>
        <w:t>202</w:t>
      </w:r>
      <w:r>
        <w:rPr>
          <w:rFonts w:hint="eastAsia" w:ascii="宋体" w:hAnsi="宋体" w:eastAsia="宋体" w:cs="宋体"/>
          <w:b/>
          <w:bCs/>
          <w:i w:val="0"/>
          <w:iCs w:val="0"/>
          <w:caps w:val="0"/>
          <w:color w:val="333333"/>
          <w:spacing w:val="0"/>
          <w:sz w:val="44"/>
          <w:szCs w:val="44"/>
          <w:lang w:val="en-US" w:eastAsia="zh-CN"/>
        </w:rPr>
        <w:t>1</w:t>
      </w:r>
      <w:r>
        <w:rPr>
          <w:rFonts w:hint="eastAsia" w:ascii="宋体" w:hAnsi="宋体" w:eastAsia="宋体" w:cs="宋体"/>
          <w:b/>
          <w:bCs/>
          <w:i w:val="0"/>
          <w:iCs w:val="0"/>
          <w:caps w:val="0"/>
          <w:color w:val="333333"/>
          <w:spacing w:val="0"/>
          <w:sz w:val="44"/>
          <w:szCs w:val="44"/>
        </w:rPr>
        <w:t>年度政府信息公开工作年度报告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rPr>
        <w:t>根据</w:t>
      </w:r>
      <w:r>
        <w:rPr>
          <w:rFonts w:hint="eastAsia" w:ascii="仿宋" w:hAnsi="仿宋" w:eastAsia="仿宋" w:cs="仿宋"/>
          <w:i w:val="0"/>
          <w:iCs w:val="0"/>
          <w:caps w:val="0"/>
          <w:color w:val="333333"/>
          <w:spacing w:val="0"/>
          <w:sz w:val="32"/>
          <w:szCs w:val="32"/>
          <w:lang w:val="en-US" w:eastAsia="zh-CN"/>
        </w:rPr>
        <w:t>国办印发的《</w:t>
      </w:r>
      <w:r>
        <w:rPr>
          <w:rFonts w:hint="eastAsia" w:ascii="仿宋" w:hAnsi="仿宋" w:eastAsia="仿宋" w:cs="仿宋"/>
          <w:i w:val="0"/>
          <w:iCs w:val="0"/>
          <w:caps w:val="0"/>
          <w:color w:val="333333"/>
          <w:spacing w:val="0"/>
          <w:sz w:val="32"/>
          <w:szCs w:val="32"/>
        </w:rPr>
        <w:t>中华人民共和国政府信息公开工作年度报告格式</w:t>
      </w:r>
      <w:r>
        <w:rPr>
          <w:rFonts w:hint="eastAsia" w:ascii="仿宋" w:hAnsi="仿宋" w:eastAsia="仿宋" w:cs="仿宋"/>
          <w:i w:val="0"/>
          <w:iCs w:val="0"/>
          <w:caps w:val="0"/>
          <w:color w:val="333333"/>
          <w:spacing w:val="0"/>
          <w:sz w:val="32"/>
          <w:szCs w:val="32"/>
          <w:lang w:val="en-US" w:eastAsia="zh-CN"/>
        </w:rPr>
        <w:t>》及《政府信息公开工作年度报告编发指南（参考）》等文件要求</w:t>
      </w:r>
      <w:r>
        <w:rPr>
          <w:rFonts w:hint="eastAsia" w:ascii="仿宋" w:hAnsi="仿宋" w:eastAsia="仿宋" w:cs="仿宋"/>
          <w:i w:val="0"/>
          <w:iCs w:val="0"/>
          <w:caps w:val="0"/>
          <w:color w:val="333333"/>
          <w:spacing w:val="0"/>
          <w:sz w:val="32"/>
          <w:szCs w:val="32"/>
        </w:rPr>
        <w:t>，编制202</w:t>
      </w:r>
      <w:r>
        <w:rPr>
          <w:rFonts w:hint="eastAsia" w:ascii="仿宋" w:hAnsi="仿宋" w:eastAsia="仿宋" w:cs="仿宋"/>
          <w:i w:val="0"/>
          <w:iCs w:val="0"/>
          <w:caps w:val="0"/>
          <w:color w:val="333333"/>
          <w:spacing w:val="0"/>
          <w:sz w:val="32"/>
          <w:szCs w:val="32"/>
          <w:lang w:val="en-US" w:eastAsia="zh-CN"/>
        </w:rPr>
        <w:t>1</w:t>
      </w:r>
      <w:r>
        <w:rPr>
          <w:rFonts w:hint="eastAsia" w:ascii="仿宋" w:hAnsi="仿宋" w:eastAsia="仿宋" w:cs="仿宋"/>
          <w:i w:val="0"/>
          <w:iCs w:val="0"/>
          <w:caps w:val="0"/>
          <w:color w:val="333333"/>
          <w:spacing w:val="0"/>
          <w:sz w:val="32"/>
          <w:szCs w:val="32"/>
        </w:rPr>
        <w:t>年县城管局信息公开年度报告。本报告由总体情况、主动公开信息情况、收到和处理政府信息公开申请情况、政府信息公开行政复议、行政诉讼情况、存在的主要问题及改进情况、其他需要报告的事项共六个部分组成。本报告所列数据统计期限自202</w:t>
      </w:r>
      <w:r>
        <w:rPr>
          <w:rFonts w:hint="eastAsia" w:ascii="仿宋" w:hAnsi="仿宋" w:eastAsia="仿宋" w:cs="仿宋"/>
          <w:i w:val="0"/>
          <w:iCs w:val="0"/>
          <w:caps w:val="0"/>
          <w:color w:val="333333"/>
          <w:spacing w:val="0"/>
          <w:sz w:val="32"/>
          <w:szCs w:val="32"/>
          <w:lang w:val="en-US" w:eastAsia="zh-CN"/>
        </w:rPr>
        <w:t>1</w:t>
      </w:r>
      <w:r>
        <w:rPr>
          <w:rFonts w:hint="eastAsia" w:ascii="仿宋" w:hAnsi="仿宋" w:eastAsia="仿宋" w:cs="仿宋"/>
          <w:i w:val="0"/>
          <w:iCs w:val="0"/>
          <w:caps w:val="0"/>
          <w:color w:val="333333"/>
          <w:spacing w:val="0"/>
          <w:sz w:val="32"/>
          <w:szCs w:val="32"/>
        </w:rPr>
        <w:t>年1月1日起至202</w:t>
      </w:r>
      <w:r>
        <w:rPr>
          <w:rFonts w:hint="eastAsia" w:ascii="仿宋" w:hAnsi="仿宋" w:eastAsia="仿宋" w:cs="仿宋"/>
          <w:i w:val="0"/>
          <w:iCs w:val="0"/>
          <w:caps w:val="0"/>
          <w:color w:val="333333"/>
          <w:spacing w:val="0"/>
          <w:sz w:val="32"/>
          <w:szCs w:val="32"/>
          <w:lang w:val="en-US" w:eastAsia="zh-CN"/>
        </w:rPr>
        <w:t>1</w:t>
      </w:r>
      <w:r>
        <w:rPr>
          <w:rFonts w:hint="eastAsia" w:ascii="仿宋" w:hAnsi="仿宋" w:eastAsia="仿宋" w:cs="仿宋"/>
          <w:i w:val="0"/>
          <w:iCs w:val="0"/>
          <w:caps w:val="0"/>
          <w:color w:val="333333"/>
          <w:spacing w:val="0"/>
          <w:sz w:val="32"/>
          <w:szCs w:val="32"/>
        </w:rPr>
        <w:t>年12月31日止。如对本报告有任何疑问，可到宁晋县城市管理综合行政执法局（联系地址：宁晋县兴宁街16号，邮编：055550，电话：5885700）查询。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rPr>
        <w:t>一、总体情况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rPr>
      </w:pPr>
      <w:r>
        <w:rPr>
          <w:rFonts w:hint="eastAsia" w:ascii="楷体" w:hAnsi="楷体" w:eastAsia="楷体" w:cs="楷体"/>
          <w:i w:val="0"/>
          <w:iCs w:val="0"/>
          <w:caps w:val="0"/>
          <w:color w:val="333333"/>
          <w:spacing w:val="0"/>
          <w:sz w:val="32"/>
          <w:szCs w:val="32"/>
        </w:rPr>
        <w:t>（一）主动公开政府信息情况。</w:t>
      </w:r>
      <w:r>
        <w:rPr>
          <w:rFonts w:hint="eastAsia" w:ascii="仿宋" w:hAnsi="仿宋" w:eastAsia="仿宋" w:cs="仿宋"/>
          <w:i w:val="0"/>
          <w:iCs w:val="0"/>
          <w:caps w:val="0"/>
          <w:color w:val="333333"/>
          <w:spacing w:val="0"/>
          <w:sz w:val="32"/>
          <w:szCs w:val="32"/>
        </w:rPr>
        <w:t>202</w:t>
      </w:r>
      <w:r>
        <w:rPr>
          <w:rFonts w:hint="eastAsia" w:ascii="仿宋" w:hAnsi="仿宋" w:eastAsia="仿宋" w:cs="仿宋"/>
          <w:i w:val="0"/>
          <w:iCs w:val="0"/>
          <w:caps w:val="0"/>
          <w:color w:val="333333"/>
          <w:spacing w:val="0"/>
          <w:sz w:val="32"/>
          <w:szCs w:val="32"/>
          <w:lang w:val="en-US" w:eastAsia="zh-CN"/>
        </w:rPr>
        <w:t>1</w:t>
      </w:r>
      <w:r>
        <w:rPr>
          <w:rFonts w:hint="eastAsia" w:ascii="仿宋" w:hAnsi="仿宋" w:eastAsia="仿宋" w:cs="仿宋"/>
          <w:i w:val="0"/>
          <w:iCs w:val="0"/>
          <w:caps w:val="0"/>
          <w:color w:val="333333"/>
          <w:spacing w:val="0"/>
          <w:sz w:val="32"/>
          <w:szCs w:val="32"/>
        </w:rPr>
        <w:t>年我局主动公开政府信息共</w:t>
      </w:r>
      <w:r>
        <w:rPr>
          <w:rFonts w:hint="eastAsia" w:ascii="仿宋" w:hAnsi="仿宋" w:eastAsia="仿宋" w:cs="仿宋"/>
          <w:i w:val="0"/>
          <w:iCs w:val="0"/>
          <w:caps w:val="0"/>
          <w:color w:val="333333"/>
          <w:spacing w:val="0"/>
          <w:sz w:val="32"/>
          <w:szCs w:val="32"/>
          <w:lang w:val="en-US" w:eastAsia="zh-CN"/>
        </w:rPr>
        <w:t>125</w:t>
      </w:r>
      <w:r>
        <w:rPr>
          <w:rFonts w:hint="eastAsia" w:ascii="仿宋" w:hAnsi="仿宋" w:eastAsia="仿宋" w:cs="仿宋"/>
          <w:i w:val="0"/>
          <w:iCs w:val="0"/>
          <w:caps w:val="0"/>
          <w:color w:val="333333"/>
          <w:spacing w:val="0"/>
          <w:sz w:val="32"/>
          <w:szCs w:val="32"/>
        </w:rPr>
        <w:t>条。公开的主要类别为机构职能、行政许可、行政处罚、行政收费、年度预算等。</w:t>
      </w:r>
      <w:r>
        <w:rPr>
          <w:rFonts w:hint="eastAsia" w:ascii="仿宋" w:hAnsi="仿宋" w:eastAsia="仿宋" w:cs="仿宋"/>
          <w:i w:val="0"/>
          <w:iCs w:val="0"/>
          <w:caps w:val="0"/>
          <w:color w:val="333333"/>
          <w:spacing w:val="0"/>
          <w:sz w:val="32"/>
          <w:szCs w:val="32"/>
          <w:lang w:val="en-US" w:eastAsia="zh-CN"/>
        </w:rPr>
        <w:t>一是政务信息公开。在宁晋县人民政府信息公布平台公开了宁晋县城管局主要职责和内设机构、宁晋县城市管理综合行政执法局年度政府信息公开工作年度报告等。二是执法公开。2021年，城管局在执法公示网站（河北省行政执法公示平台和宁晋县人民政府网站）上将城管执法情况全部进行公示并及时更新。1、事前公开：宁晋县城管局三项制度实施方案、行政执法公示制度、行政执法全过程记录制度、重大行政执法决定法制审核制度、事中事后监管制度、行政执法案卷管理制度、行政执法责任制度、执法人员资格管理制度、执法人员执法培训制度、执法监督制度、行政执法投诉举报制度、行政执法案卷评查制度、行政执法评议考核制度、音像记录设备使用管理和监督规定、内部人员干预、插手案件办理责任追究制度、执法流程图(简易程序、一般程序)、行政强制流程图、执法服务指南、行政处罚自由裁量权基准制度、城管局行政处罚自由裁量权实施细则及量化标准等。2、事后公开：法规监察股对城管局行政处罚案件情况在两个网站上全部进行了公示。2021年，共公示行政处罚案件75件，其中一般程序处罚案件12件，当简易程序罚案件63件。三是财政信息公开。在宁晋县人民政府信息公布平台按规定时限将宁晋城市管理综合行政执法局2020年度决算信息、宁晋城市管理综合行政执法局2021部门预算信息、宁晋城市管理综合行政执法局2019-2020新增地方政府一般债卷等。四是审批事项公开。全年共审批设置大型户外广告及在城市建筑物、设施上悬挂、张贴宣传品审批工作605件，均已在行政审批局河北省邢台市互联网+政务服务平台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rPr>
      </w:pPr>
      <w:r>
        <w:rPr>
          <w:rFonts w:hint="eastAsia" w:ascii="楷体" w:hAnsi="楷体" w:eastAsia="楷体" w:cs="楷体"/>
          <w:i w:val="0"/>
          <w:iCs w:val="0"/>
          <w:caps w:val="0"/>
          <w:color w:val="333333"/>
          <w:spacing w:val="0"/>
          <w:sz w:val="32"/>
          <w:szCs w:val="32"/>
        </w:rPr>
        <w:t>（二）依申请公开情况。</w:t>
      </w:r>
      <w:r>
        <w:rPr>
          <w:rFonts w:hint="eastAsia" w:ascii="仿宋" w:hAnsi="仿宋" w:eastAsia="仿宋" w:cs="仿宋"/>
          <w:i w:val="0"/>
          <w:iCs w:val="0"/>
          <w:caps w:val="0"/>
          <w:color w:val="333333"/>
          <w:spacing w:val="0"/>
          <w:sz w:val="32"/>
          <w:szCs w:val="32"/>
        </w:rPr>
        <w:t>202</w:t>
      </w:r>
      <w:r>
        <w:rPr>
          <w:rFonts w:hint="eastAsia" w:ascii="仿宋" w:hAnsi="仿宋" w:eastAsia="仿宋" w:cs="仿宋"/>
          <w:i w:val="0"/>
          <w:iCs w:val="0"/>
          <w:caps w:val="0"/>
          <w:color w:val="333333"/>
          <w:spacing w:val="0"/>
          <w:sz w:val="32"/>
          <w:szCs w:val="32"/>
          <w:lang w:val="en-US" w:eastAsia="zh-CN"/>
        </w:rPr>
        <w:t>1</w:t>
      </w:r>
      <w:r>
        <w:rPr>
          <w:rFonts w:hint="eastAsia" w:ascii="仿宋" w:hAnsi="仿宋" w:eastAsia="仿宋" w:cs="仿宋"/>
          <w:i w:val="0"/>
          <w:iCs w:val="0"/>
          <w:caps w:val="0"/>
          <w:color w:val="333333"/>
          <w:spacing w:val="0"/>
          <w:sz w:val="32"/>
          <w:szCs w:val="32"/>
        </w:rPr>
        <w:t>年我局没有接到依申请公开政府信息，没有办理依申请公开答复。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rPr>
      </w:pPr>
      <w:r>
        <w:rPr>
          <w:rFonts w:hint="eastAsia" w:ascii="楷体" w:hAnsi="楷体" w:eastAsia="楷体" w:cs="楷体"/>
          <w:i w:val="0"/>
          <w:iCs w:val="0"/>
          <w:caps w:val="0"/>
          <w:color w:val="333333"/>
          <w:spacing w:val="0"/>
          <w:sz w:val="32"/>
          <w:szCs w:val="32"/>
        </w:rPr>
        <w:t>（三）政府信息管理。</w:t>
      </w:r>
      <w:r>
        <w:rPr>
          <w:rFonts w:hint="eastAsia" w:ascii="仿宋" w:hAnsi="仿宋" w:eastAsia="仿宋" w:cs="仿宋"/>
          <w:i w:val="0"/>
          <w:iCs w:val="0"/>
          <w:caps w:val="0"/>
          <w:color w:val="333333"/>
          <w:spacing w:val="0"/>
          <w:sz w:val="32"/>
          <w:szCs w:val="32"/>
        </w:rPr>
        <w:t>我进一步规范政府信息管理工作。做到负责人要亲自过问，分管负责人直接负责，逐级落实责任，确保信息公开工作落实到位。加强主动公开管理，细化办理流程，完善办理机制，不断加强部门间的联动配合，加强和改进依申请公开办理工作，完善流程、提高时效，答复申请时做到依法有据、严谨规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rPr>
      </w:pPr>
      <w:r>
        <w:rPr>
          <w:rFonts w:hint="eastAsia" w:ascii="楷体" w:hAnsi="楷体" w:eastAsia="楷体" w:cs="楷体"/>
          <w:i w:val="0"/>
          <w:iCs w:val="0"/>
          <w:caps w:val="0"/>
          <w:color w:val="333333"/>
          <w:spacing w:val="0"/>
          <w:sz w:val="32"/>
          <w:szCs w:val="32"/>
        </w:rPr>
        <w:t>（四）平台建设。</w:t>
      </w:r>
      <w:r>
        <w:rPr>
          <w:rFonts w:hint="eastAsia" w:ascii="仿宋" w:hAnsi="仿宋" w:eastAsia="仿宋" w:cs="仿宋"/>
          <w:i w:val="0"/>
          <w:iCs w:val="0"/>
          <w:caps w:val="0"/>
          <w:color w:val="333333"/>
          <w:spacing w:val="0"/>
          <w:sz w:val="32"/>
          <w:szCs w:val="32"/>
        </w:rPr>
        <w:t>按照县委县政府统一部署，我局能及时在网站、单位政务公开栏等公开各项工作，经常性更新城市管理党务、政务、财务工作实时动态，丰富信息资源。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605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sz w:val="24"/>
                <w:szCs w:val="24"/>
              </w:rPr>
            </w:pPr>
            <w:r>
              <w:rPr>
                <w:rFonts w:hint="eastAsia" w:ascii="Calibri" w:hAnsi="Calibri" w:cs="Calibri"/>
                <w:kern w:val="0"/>
                <w:sz w:val="20"/>
                <w:szCs w:val="20"/>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shd w:val="clear" w:fill="FFFFFF"/>
          <w:lang w:eastAsia="zh-CN"/>
        </w:rPr>
      </w:pPr>
      <w:r>
        <w:rPr>
          <w:rFonts w:hint="eastAsia" w:ascii="仿宋" w:hAnsi="仿宋" w:eastAsia="仿宋" w:cs="仿宋"/>
          <w:i w:val="0"/>
          <w:iCs w:val="0"/>
          <w:caps w:val="0"/>
          <w:color w:val="333333"/>
          <w:spacing w:val="0"/>
          <w:sz w:val="32"/>
          <w:szCs w:val="32"/>
          <w:shd w:val="clear" w:fill="FFFFFF"/>
        </w:rPr>
        <w:t>2021年，我局政府信息公开工作虽然取得一定成绩，但还存在以下几个问题：一是信息的发布、更新效率有待进一步提高；二是信息公开及时性和全面性有待于进一步加强</w:t>
      </w:r>
      <w:r>
        <w:rPr>
          <w:rFonts w:hint="eastAsia" w:ascii="仿宋" w:hAnsi="仿宋" w:eastAsia="仿宋" w:cs="仿宋"/>
          <w:i w:val="0"/>
          <w:iCs w:val="0"/>
          <w:caps w:val="0"/>
          <w:color w:val="333333"/>
          <w:spacing w:val="0"/>
          <w:sz w:val="32"/>
          <w:szCs w:val="32"/>
          <w:shd w:val="clear" w:fill="FFFFFF"/>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rPr>
        <w:t>改进措施：进一步完善政府信息公开操作细则，逐步形成政府信息公开的有效方式和规范程序，细化公开内容，提高政府信息公开的效率，确保需要主动公开的政府信息得以全面、及时公开；严格落实信息公开“三审三校”制度，强化审查制度，确保公开的信息全面、真实、有效；加强政府信息公开队伍的建设，提高政府信息公开工作人员的综合素质，提升政府信息公开工作水平，为广大人民群众做好服务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六、其他需要报告的事项</w:t>
      </w:r>
    </w:p>
    <w:p>
      <w:pPr>
        <w:ind w:firstLine="640" w:firstLineChars="200"/>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lang w:val="en-US" w:eastAsia="zh-CN"/>
        </w:rPr>
        <w:t>2021年，城管局</w:t>
      </w:r>
      <w:bookmarkStart w:id="0" w:name="_GoBack"/>
      <w:bookmarkEnd w:id="0"/>
      <w:r>
        <w:rPr>
          <w:rFonts w:hint="eastAsia" w:ascii="仿宋" w:hAnsi="仿宋" w:eastAsia="仿宋" w:cs="仿宋"/>
          <w:i w:val="0"/>
          <w:iCs w:val="0"/>
          <w:caps w:val="0"/>
          <w:color w:val="333333"/>
          <w:spacing w:val="0"/>
          <w:sz w:val="32"/>
          <w:szCs w:val="32"/>
          <w:shd w:val="clear" w:fill="FFFFFF"/>
          <w:lang w:val="en-US" w:eastAsia="zh-CN"/>
        </w:rPr>
        <w:t>没有收取信息处理费。无其他需要报告事项。</w:t>
      </w:r>
      <w:r>
        <w:rPr>
          <w:rFonts w:hint="eastAsia" w:ascii="仿宋" w:hAnsi="仿宋" w:eastAsia="仿宋" w:cs="仿宋"/>
          <w:i w:val="0"/>
          <w:iCs w:val="0"/>
          <w:caps w:val="0"/>
          <w:color w:val="333333"/>
          <w:spacing w:val="0"/>
          <w:sz w:val="32"/>
          <w:szCs w:val="32"/>
          <w:shd w:val="clear" w:fill="FFFFFF"/>
        </w:rPr>
        <w:t xml:space="preserve">   </w:t>
      </w:r>
    </w:p>
    <w:p>
      <w:pPr>
        <w:ind w:firstLine="640" w:firstLineChars="200"/>
        <w:rPr>
          <w:rFonts w:hint="eastAsia" w:ascii="仿宋" w:hAnsi="仿宋" w:eastAsia="仿宋" w:cs="仿宋"/>
          <w:i w:val="0"/>
          <w:iCs w:val="0"/>
          <w:caps w:val="0"/>
          <w:color w:val="333333"/>
          <w:spacing w:val="0"/>
          <w:sz w:val="32"/>
          <w:szCs w:val="32"/>
          <w:shd w:val="clear" w:fill="FFFFFF"/>
        </w:rPr>
      </w:pPr>
    </w:p>
    <w:p>
      <w:pPr>
        <w:ind w:firstLine="640" w:firstLineChars="200"/>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 xml:space="preserve">                 宁晋县城市管理综合行政执法局</w:t>
      </w:r>
    </w:p>
    <w:p>
      <w:pPr>
        <w:ind w:firstLine="640" w:firstLineChars="200"/>
        <w:rPr>
          <w:rFonts w:hint="default"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 xml:space="preserve">                         2022年1月17日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63977E7"/>
    <w:rsid w:val="0FDC2337"/>
    <w:rsid w:val="0FF67C06"/>
    <w:rsid w:val="12C264F1"/>
    <w:rsid w:val="13A825FF"/>
    <w:rsid w:val="14455E83"/>
    <w:rsid w:val="1BD1392C"/>
    <w:rsid w:val="1FE55899"/>
    <w:rsid w:val="2C4D746F"/>
    <w:rsid w:val="2D3A7792"/>
    <w:rsid w:val="36E370C0"/>
    <w:rsid w:val="49AC3E8A"/>
    <w:rsid w:val="56FB7981"/>
    <w:rsid w:val="58D00F8B"/>
    <w:rsid w:val="59DE2F7F"/>
    <w:rsid w:val="5E7B098F"/>
    <w:rsid w:val="674065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不骨</cp:lastModifiedBy>
  <dcterms:modified xsi:type="dcterms:W3CDTF">2022-03-24T07:11:21Z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1157CE926B71424ABCEDD46E97C11597</vt:lpwstr>
  </property>
</Properties>
</file>