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8" w:line="520" w:lineRule="exact"/>
        <w:ind w:left="746" w:right="624"/>
        <w:jc w:val="center"/>
        <w:rPr>
          <w:b/>
          <w:sz w:val="44"/>
        </w:rPr>
      </w:pPr>
      <w:r>
        <w:rPr>
          <w:b/>
          <w:sz w:val="44"/>
        </w:rPr>
        <w:t>202</w:t>
      </w:r>
      <w:r>
        <w:rPr>
          <w:rFonts w:hint="eastAsia"/>
          <w:b/>
          <w:sz w:val="44"/>
        </w:rPr>
        <w:t>2</w:t>
      </w:r>
      <w:r>
        <w:rPr>
          <w:b/>
          <w:sz w:val="44"/>
        </w:rPr>
        <w:t>年</w:t>
      </w:r>
      <w:r>
        <w:rPr>
          <w:rFonts w:hint="eastAsia"/>
          <w:b/>
          <w:sz w:val="44"/>
        </w:rPr>
        <w:t>宁晋县</w:t>
      </w:r>
      <w:r>
        <w:rPr>
          <w:b/>
          <w:sz w:val="44"/>
        </w:rPr>
        <w:t>政府预算公开目录</w:t>
      </w:r>
    </w:p>
    <w:p>
      <w:pPr>
        <w:spacing w:before="18" w:line="520" w:lineRule="exact"/>
        <w:ind w:left="746" w:right="624"/>
        <w:jc w:val="center"/>
        <w:rPr>
          <w:b/>
          <w:sz w:val="44"/>
        </w:rPr>
      </w:pPr>
    </w:p>
    <w:p>
      <w:pPr>
        <w:pStyle w:val="2"/>
        <w:spacing w:before="139" w:line="520" w:lineRule="exact"/>
        <w:ind w:left="763" w:right="117" w:hanging="641"/>
      </w:pPr>
      <w:r>
        <w:rPr>
          <w:spacing w:val="-14"/>
        </w:rPr>
        <w:t>一、关于</w:t>
      </w:r>
      <w:r>
        <w:rPr>
          <w:rFonts w:hint="eastAsia"/>
          <w:spacing w:val="-14"/>
        </w:rPr>
        <w:t>宁晋县</w:t>
      </w:r>
      <w:r>
        <w:rPr>
          <w:spacing w:val="-14"/>
        </w:rPr>
        <w:t xml:space="preserve"> </w:t>
      </w:r>
      <w:r>
        <w:t>202</w:t>
      </w:r>
      <w:r>
        <w:rPr>
          <w:rFonts w:hint="eastAsia"/>
        </w:rPr>
        <w:t>1</w:t>
      </w:r>
      <w:r>
        <w:rPr>
          <w:spacing w:val="-19"/>
        </w:rPr>
        <w:t xml:space="preserve"> 年预算执行情况和 </w:t>
      </w:r>
      <w:r>
        <w:t>202</w:t>
      </w:r>
      <w:r>
        <w:rPr>
          <w:rFonts w:hint="eastAsia"/>
        </w:rPr>
        <w:t>2</w:t>
      </w:r>
      <w:r>
        <w:rPr>
          <w:spacing w:val="-13"/>
        </w:rPr>
        <w:t xml:space="preserve"> 年预算草案的报告</w:t>
      </w:r>
    </w:p>
    <w:p>
      <w:pPr>
        <w:pStyle w:val="2"/>
        <w:spacing w:before="2" w:line="520" w:lineRule="exact"/>
        <w:ind w:left="763" w:right="3141" w:hanging="641"/>
        <w:rPr>
          <w:spacing w:val="-13"/>
        </w:rPr>
      </w:pPr>
      <w:r>
        <w:rPr>
          <w:spacing w:val="-11"/>
        </w:rPr>
        <w:t>二、</w:t>
      </w:r>
      <w:r>
        <w:rPr>
          <w:rFonts w:hint="eastAsia"/>
          <w:spacing w:val="-11"/>
        </w:rPr>
        <w:t>2022年宁晋县</w:t>
      </w:r>
      <w:r>
        <w:rPr>
          <w:rFonts w:hint="eastAsia"/>
        </w:rPr>
        <w:t>政府</w:t>
      </w:r>
      <w:r>
        <w:rPr>
          <w:spacing w:val="-13"/>
        </w:rPr>
        <w:t>预算公开附表</w:t>
      </w:r>
    </w:p>
    <w:p>
      <w:pPr>
        <w:pStyle w:val="2"/>
        <w:spacing w:before="2" w:line="520" w:lineRule="exact"/>
        <w:ind w:left="762" w:leftChars="335" w:right="3141" w:hanging="25" w:hangingChars="8"/>
      </w:pPr>
      <w:r>
        <w:t>1.一般公共预算收入表</w:t>
      </w:r>
    </w:p>
    <w:p>
      <w:pPr>
        <w:pStyle w:val="9"/>
        <w:numPr>
          <w:ilvl w:val="0"/>
          <w:numId w:val="1"/>
        </w:numPr>
        <w:tabs>
          <w:tab w:val="left" w:pos="1085"/>
        </w:tabs>
        <w:spacing w:before="2" w:line="520" w:lineRule="exact"/>
        <w:rPr>
          <w:sz w:val="32"/>
        </w:rPr>
      </w:pPr>
      <w:r>
        <w:rPr>
          <w:sz w:val="32"/>
        </w:rPr>
        <w:t>一般公共预算支出表</w:t>
      </w:r>
    </w:p>
    <w:p>
      <w:pPr>
        <w:pStyle w:val="9"/>
        <w:numPr>
          <w:ilvl w:val="0"/>
          <w:numId w:val="1"/>
        </w:numPr>
        <w:tabs>
          <w:tab w:val="left" w:pos="1085"/>
        </w:tabs>
        <w:spacing w:line="520" w:lineRule="exact"/>
        <w:rPr>
          <w:sz w:val="32"/>
        </w:rPr>
      </w:pPr>
      <w:r>
        <w:rPr>
          <w:sz w:val="32"/>
        </w:rPr>
        <w:t>一般公共预算本级支出表（功能分类）</w:t>
      </w:r>
    </w:p>
    <w:p>
      <w:pPr>
        <w:pStyle w:val="9"/>
        <w:numPr>
          <w:ilvl w:val="0"/>
          <w:numId w:val="1"/>
        </w:numPr>
        <w:tabs>
          <w:tab w:val="left" w:pos="1085"/>
        </w:tabs>
        <w:spacing w:line="520" w:lineRule="exact"/>
        <w:rPr>
          <w:sz w:val="32"/>
        </w:rPr>
      </w:pPr>
      <w:r>
        <w:rPr>
          <w:sz w:val="32"/>
        </w:rPr>
        <w:t>一般公共预算</w:t>
      </w:r>
      <w:r>
        <w:rPr>
          <w:rFonts w:hint="eastAsia"/>
          <w:sz w:val="32"/>
        </w:rPr>
        <w:t>本</w:t>
      </w:r>
      <w:r>
        <w:rPr>
          <w:sz w:val="32"/>
        </w:rPr>
        <w:t>级基本支出表（经济分类）</w:t>
      </w:r>
    </w:p>
    <w:p>
      <w:pPr>
        <w:pStyle w:val="9"/>
        <w:numPr>
          <w:ilvl w:val="0"/>
          <w:numId w:val="1"/>
        </w:numPr>
        <w:tabs>
          <w:tab w:val="left" w:pos="1085"/>
        </w:tabs>
        <w:spacing w:line="520" w:lineRule="exact"/>
        <w:ind w:left="1082" w:right="117" w:hanging="320"/>
        <w:rPr>
          <w:sz w:val="32"/>
        </w:rPr>
      </w:pPr>
      <w:r>
        <w:rPr>
          <w:spacing w:val="-2"/>
          <w:sz w:val="32"/>
        </w:rPr>
        <w:t>一般公共预算税收返还、一般性和专项转移支付分地区安排情况表</w:t>
      </w:r>
    </w:p>
    <w:p>
      <w:pPr>
        <w:pStyle w:val="9"/>
        <w:numPr>
          <w:ilvl w:val="0"/>
          <w:numId w:val="1"/>
        </w:numPr>
        <w:tabs>
          <w:tab w:val="left" w:pos="1085"/>
        </w:tabs>
        <w:spacing w:before="1" w:line="520" w:lineRule="exact"/>
        <w:ind w:left="1082" w:right="120" w:hanging="320"/>
        <w:rPr>
          <w:sz w:val="32"/>
        </w:rPr>
      </w:pPr>
      <w:r>
        <w:rPr>
          <w:spacing w:val="-2"/>
          <w:w w:val="95"/>
          <w:sz w:val="32"/>
        </w:rPr>
        <w:t>一般公共预算税收返还、一般性和专项转移支付分项</w:t>
      </w:r>
      <w:r>
        <w:rPr>
          <w:spacing w:val="-2"/>
          <w:sz w:val="32"/>
        </w:rPr>
        <w:t>目安排情况表</w:t>
      </w:r>
    </w:p>
    <w:p>
      <w:pPr>
        <w:pStyle w:val="9"/>
        <w:numPr>
          <w:ilvl w:val="0"/>
          <w:numId w:val="1"/>
        </w:numPr>
        <w:tabs>
          <w:tab w:val="left" w:pos="1085"/>
        </w:tabs>
        <w:spacing w:before="2" w:line="520" w:lineRule="exact"/>
        <w:rPr>
          <w:sz w:val="32"/>
        </w:rPr>
      </w:pPr>
      <w:r>
        <w:rPr>
          <w:w w:val="95"/>
          <w:sz w:val="32"/>
        </w:rPr>
        <w:t>政府性基金预算收入表</w:t>
      </w:r>
    </w:p>
    <w:p>
      <w:pPr>
        <w:pStyle w:val="9"/>
        <w:numPr>
          <w:ilvl w:val="0"/>
          <w:numId w:val="1"/>
        </w:numPr>
        <w:tabs>
          <w:tab w:val="left" w:pos="1085"/>
        </w:tabs>
        <w:spacing w:line="520" w:lineRule="exact"/>
        <w:rPr>
          <w:sz w:val="32"/>
        </w:rPr>
      </w:pPr>
      <w:r>
        <w:rPr>
          <w:w w:val="95"/>
          <w:sz w:val="32"/>
        </w:rPr>
        <w:t>政府性基金预算支出表</w:t>
      </w:r>
    </w:p>
    <w:p>
      <w:pPr>
        <w:pStyle w:val="9"/>
        <w:numPr>
          <w:ilvl w:val="0"/>
          <w:numId w:val="1"/>
        </w:numPr>
        <w:tabs>
          <w:tab w:val="left" w:pos="1085"/>
        </w:tabs>
        <w:spacing w:line="520" w:lineRule="exact"/>
        <w:rPr>
          <w:sz w:val="32"/>
        </w:rPr>
      </w:pPr>
      <w:r>
        <w:rPr>
          <w:sz w:val="32"/>
        </w:rPr>
        <w:t>政府性基金预算本级支出表</w:t>
      </w:r>
    </w:p>
    <w:p>
      <w:pPr>
        <w:pStyle w:val="9"/>
        <w:numPr>
          <w:ilvl w:val="0"/>
          <w:numId w:val="1"/>
        </w:numPr>
        <w:tabs>
          <w:tab w:val="left" w:pos="1246"/>
        </w:tabs>
        <w:spacing w:line="520" w:lineRule="exact"/>
        <w:ind w:left="1245" w:hanging="483"/>
        <w:rPr>
          <w:sz w:val="32"/>
        </w:rPr>
      </w:pPr>
      <w:r>
        <w:rPr>
          <w:w w:val="95"/>
          <w:sz w:val="32"/>
        </w:rPr>
        <w:t>政府性基金预算专项转移支付分地区安排情况表</w:t>
      </w:r>
    </w:p>
    <w:p>
      <w:pPr>
        <w:pStyle w:val="9"/>
        <w:numPr>
          <w:ilvl w:val="0"/>
          <w:numId w:val="1"/>
        </w:numPr>
        <w:tabs>
          <w:tab w:val="left" w:pos="1246"/>
        </w:tabs>
        <w:spacing w:line="520" w:lineRule="exact"/>
        <w:ind w:left="1245" w:hanging="483"/>
        <w:rPr>
          <w:sz w:val="32"/>
        </w:rPr>
      </w:pPr>
      <w:r>
        <w:rPr>
          <w:w w:val="95"/>
          <w:sz w:val="32"/>
        </w:rPr>
        <w:t>政府性基金预算专项转移支付分项目安排情况表</w:t>
      </w:r>
    </w:p>
    <w:p>
      <w:pPr>
        <w:pStyle w:val="9"/>
        <w:numPr>
          <w:ilvl w:val="0"/>
          <w:numId w:val="1"/>
        </w:numPr>
        <w:tabs>
          <w:tab w:val="left" w:pos="1246"/>
        </w:tabs>
        <w:spacing w:line="520" w:lineRule="exact"/>
        <w:ind w:left="1245" w:hanging="483"/>
        <w:rPr>
          <w:sz w:val="32"/>
        </w:rPr>
      </w:pPr>
      <w:r>
        <w:rPr>
          <w:w w:val="95"/>
          <w:sz w:val="32"/>
        </w:rPr>
        <w:t>国有资本经营预算收入表</w:t>
      </w:r>
    </w:p>
    <w:p>
      <w:pPr>
        <w:pStyle w:val="9"/>
        <w:numPr>
          <w:ilvl w:val="0"/>
          <w:numId w:val="1"/>
        </w:numPr>
        <w:tabs>
          <w:tab w:val="left" w:pos="1246"/>
        </w:tabs>
        <w:spacing w:line="520" w:lineRule="exact"/>
        <w:ind w:left="1245" w:hanging="483"/>
        <w:rPr>
          <w:sz w:val="32"/>
        </w:rPr>
      </w:pPr>
      <w:r>
        <w:rPr>
          <w:w w:val="95"/>
          <w:sz w:val="32"/>
        </w:rPr>
        <w:t>国有资本经营预算支出表</w:t>
      </w:r>
    </w:p>
    <w:p>
      <w:pPr>
        <w:pStyle w:val="9"/>
        <w:numPr>
          <w:ilvl w:val="0"/>
          <w:numId w:val="1"/>
        </w:numPr>
        <w:tabs>
          <w:tab w:val="left" w:pos="1246"/>
        </w:tabs>
        <w:spacing w:line="520" w:lineRule="exact"/>
        <w:ind w:left="1245" w:hanging="483"/>
        <w:rPr>
          <w:sz w:val="32"/>
        </w:rPr>
      </w:pPr>
      <w:r>
        <w:rPr>
          <w:sz w:val="32"/>
        </w:rPr>
        <w:t>国有资本经营预算本级支出表</w:t>
      </w:r>
    </w:p>
    <w:p>
      <w:pPr>
        <w:pStyle w:val="9"/>
        <w:numPr>
          <w:ilvl w:val="0"/>
          <w:numId w:val="1"/>
        </w:numPr>
        <w:tabs>
          <w:tab w:val="left" w:pos="1246"/>
        </w:tabs>
        <w:spacing w:line="520" w:lineRule="exact"/>
        <w:ind w:left="1245" w:hanging="483"/>
        <w:rPr>
          <w:sz w:val="32"/>
        </w:rPr>
      </w:pPr>
      <w:r>
        <w:rPr>
          <w:w w:val="95"/>
          <w:sz w:val="32"/>
        </w:rPr>
        <w:t>国有资本经营预算专项转移支付分地区安排情况表</w:t>
      </w:r>
    </w:p>
    <w:p>
      <w:pPr>
        <w:pStyle w:val="9"/>
        <w:numPr>
          <w:ilvl w:val="0"/>
          <w:numId w:val="1"/>
        </w:numPr>
        <w:tabs>
          <w:tab w:val="left" w:pos="1246"/>
        </w:tabs>
        <w:spacing w:line="520" w:lineRule="exact"/>
        <w:ind w:left="1245" w:hanging="483"/>
        <w:rPr>
          <w:sz w:val="32"/>
        </w:rPr>
      </w:pPr>
      <w:r>
        <w:rPr>
          <w:w w:val="95"/>
          <w:sz w:val="32"/>
        </w:rPr>
        <w:t>国有资本经营预算专项转移支付分项目安排情况表</w:t>
      </w:r>
    </w:p>
    <w:p>
      <w:pPr>
        <w:pStyle w:val="9"/>
        <w:numPr>
          <w:ilvl w:val="0"/>
          <w:numId w:val="1"/>
        </w:numPr>
        <w:tabs>
          <w:tab w:val="left" w:pos="1246"/>
        </w:tabs>
        <w:spacing w:line="520" w:lineRule="exact"/>
        <w:ind w:left="1245" w:hanging="483"/>
        <w:rPr>
          <w:sz w:val="32"/>
        </w:rPr>
      </w:pPr>
      <w:r>
        <w:rPr>
          <w:sz w:val="32"/>
        </w:rPr>
        <w:t>社会保险基金预算收入表</w:t>
      </w:r>
    </w:p>
    <w:p>
      <w:pPr>
        <w:pStyle w:val="9"/>
        <w:numPr>
          <w:ilvl w:val="0"/>
          <w:numId w:val="1"/>
        </w:numPr>
        <w:tabs>
          <w:tab w:val="left" w:pos="1246"/>
        </w:tabs>
        <w:spacing w:before="37" w:line="520" w:lineRule="exact"/>
        <w:ind w:left="1245" w:hanging="483"/>
        <w:rPr>
          <w:sz w:val="32"/>
        </w:rPr>
      </w:pPr>
      <w:r>
        <w:rPr>
          <w:sz w:val="32"/>
        </w:rPr>
        <w:t>社会保险基金预算支出表</w:t>
      </w:r>
    </w:p>
    <w:p>
      <w:pPr>
        <w:pStyle w:val="2"/>
        <w:spacing w:line="520" w:lineRule="exact"/>
        <w:ind w:left="24" w:right="1445" w:firstLine="0"/>
      </w:pPr>
      <w:r>
        <w:t>三、202</w:t>
      </w:r>
      <w:r>
        <w:rPr>
          <w:rFonts w:hint="eastAsia"/>
        </w:rPr>
        <w:t>2</w:t>
      </w:r>
      <w:r>
        <w:t xml:space="preserve"> 年</w:t>
      </w:r>
      <w:r>
        <w:rPr>
          <w:rFonts w:hint="eastAsia"/>
        </w:rPr>
        <w:t>宁晋县政府</w:t>
      </w:r>
      <w:r>
        <w:t>预算</w:t>
      </w:r>
      <w:r>
        <w:rPr>
          <w:rFonts w:hint="eastAsia"/>
        </w:rPr>
        <w:t>安排情况</w:t>
      </w:r>
      <w:r>
        <w:t>说明</w:t>
      </w:r>
    </w:p>
    <w:p>
      <w:pPr>
        <w:pStyle w:val="9"/>
        <w:numPr>
          <w:ilvl w:val="0"/>
          <w:numId w:val="2"/>
        </w:numPr>
        <w:tabs>
          <w:tab w:val="left" w:pos="1085"/>
        </w:tabs>
        <w:spacing w:line="520" w:lineRule="exact"/>
        <w:rPr>
          <w:sz w:val="32"/>
        </w:rPr>
      </w:pPr>
      <w:r>
        <w:rPr>
          <w:rFonts w:hint="eastAsia"/>
          <w:sz w:val="32"/>
        </w:rPr>
        <w:t>“三公”经费情况</w:t>
      </w:r>
    </w:p>
    <w:p>
      <w:pPr>
        <w:pStyle w:val="9"/>
        <w:numPr>
          <w:ilvl w:val="0"/>
          <w:numId w:val="2"/>
        </w:numPr>
        <w:tabs>
          <w:tab w:val="left" w:pos="1085"/>
        </w:tabs>
        <w:spacing w:line="520" w:lineRule="exact"/>
        <w:rPr>
          <w:sz w:val="32"/>
        </w:rPr>
      </w:pPr>
      <w:r>
        <w:rPr>
          <w:rFonts w:hint="eastAsia"/>
          <w:sz w:val="32"/>
        </w:rPr>
        <w:t>政府</w:t>
      </w:r>
      <w:r>
        <w:rPr>
          <w:sz w:val="32"/>
        </w:rPr>
        <w:t>债务情况</w:t>
      </w:r>
    </w:p>
    <w:p>
      <w:pPr>
        <w:pStyle w:val="9"/>
        <w:numPr>
          <w:ilvl w:val="0"/>
          <w:numId w:val="2"/>
        </w:numPr>
        <w:tabs>
          <w:tab w:val="left" w:pos="1085"/>
        </w:tabs>
        <w:spacing w:line="520" w:lineRule="exact"/>
        <w:rPr>
          <w:sz w:val="32"/>
        </w:rPr>
      </w:pPr>
      <w:r>
        <w:rPr>
          <w:sz w:val="32"/>
        </w:rPr>
        <w:t>财政转移支付</w:t>
      </w:r>
      <w:r>
        <w:rPr>
          <w:rFonts w:hint="eastAsia"/>
          <w:sz w:val="32"/>
        </w:rPr>
        <w:t>安排情况</w:t>
      </w:r>
    </w:p>
    <w:p>
      <w:pPr>
        <w:pStyle w:val="9"/>
        <w:numPr>
          <w:ilvl w:val="0"/>
          <w:numId w:val="2"/>
        </w:numPr>
        <w:tabs>
          <w:tab w:val="left" w:pos="1085"/>
        </w:tabs>
        <w:spacing w:line="520" w:lineRule="exact"/>
        <w:rPr>
          <w:sz w:val="32"/>
        </w:rPr>
      </w:pPr>
      <w:r>
        <w:rPr>
          <w:sz w:val="32"/>
        </w:rPr>
        <w:t>政府采购情况</w:t>
      </w:r>
    </w:p>
    <w:p>
      <w:pPr>
        <w:pStyle w:val="9"/>
        <w:numPr>
          <w:ilvl w:val="0"/>
          <w:numId w:val="2"/>
        </w:numPr>
        <w:tabs>
          <w:tab w:val="left" w:pos="1085"/>
        </w:tabs>
        <w:spacing w:line="520" w:lineRule="exact"/>
        <w:rPr>
          <w:sz w:val="32"/>
        </w:rPr>
      </w:pPr>
      <w:r>
        <w:rPr>
          <w:sz w:val="32"/>
        </w:rPr>
        <w:t>绩效预算开展情况</w:t>
      </w:r>
    </w:p>
    <w:p>
      <w:pPr>
        <w:pStyle w:val="9"/>
        <w:numPr>
          <w:ilvl w:val="0"/>
          <w:numId w:val="2"/>
        </w:numPr>
        <w:tabs>
          <w:tab w:val="left" w:pos="1085"/>
        </w:tabs>
        <w:spacing w:line="520" w:lineRule="exact"/>
        <w:rPr>
          <w:sz w:val="32"/>
        </w:rPr>
      </w:pPr>
      <w:r>
        <w:rPr>
          <w:rFonts w:hint="eastAsia"/>
          <w:sz w:val="32"/>
        </w:rPr>
        <w:t>其他说明事项</w:t>
      </w:r>
    </w:p>
    <w:p>
      <w:pPr>
        <w:pStyle w:val="2"/>
        <w:spacing w:line="520" w:lineRule="exact"/>
        <w:ind w:left="763" w:right="1301" w:hanging="641"/>
        <w:rPr>
          <w:spacing w:val="-10"/>
        </w:rPr>
      </w:pPr>
      <w:r>
        <w:t>四、202</w:t>
      </w:r>
      <w:r>
        <w:rPr>
          <w:rFonts w:hint="eastAsia"/>
        </w:rPr>
        <w:t>2</w:t>
      </w:r>
      <w:r>
        <w:rPr>
          <w:spacing w:val="-10"/>
        </w:rPr>
        <w:t xml:space="preserve"> 年政府一般、专项债务限额及余额情况表</w:t>
      </w:r>
    </w:p>
    <w:p>
      <w:pPr>
        <w:pStyle w:val="2"/>
        <w:spacing w:line="520" w:lineRule="exact"/>
        <w:ind w:left="757" w:leftChars="336" w:right="1301" w:hanging="18" w:hangingChars="6"/>
      </w:pPr>
      <w:r>
        <w:rPr>
          <w:spacing w:val="-10"/>
        </w:rPr>
        <w:t>1、地方政府债务限额及余额预算情况表</w:t>
      </w:r>
    </w:p>
    <w:p>
      <w:pPr>
        <w:pStyle w:val="2"/>
        <w:spacing w:before="2" w:line="520" w:lineRule="exact"/>
        <w:ind w:left="763" w:firstLine="0"/>
      </w:pPr>
      <w:r>
        <w:rPr>
          <w:w w:val="95"/>
        </w:rPr>
        <w:t>2、地方政府一般债务余额情况表</w:t>
      </w:r>
    </w:p>
    <w:p>
      <w:pPr>
        <w:pStyle w:val="2"/>
        <w:spacing w:line="520" w:lineRule="exact"/>
        <w:ind w:left="763" w:firstLine="0"/>
        <w:rPr>
          <w:w w:val="95"/>
        </w:rPr>
      </w:pPr>
      <w:r>
        <w:rPr>
          <w:w w:val="95"/>
        </w:rPr>
        <w:t>3、地方政府专项债务余额情况表</w:t>
      </w:r>
    </w:p>
    <w:p>
      <w:pPr>
        <w:pStyle w:val="2"/>
        <w:spacing w:line="520" w:lineRule="exact"/>
        <w:ind w:left="763" w:firstLine="0"/>
      </w:pPr>
      <w:r>
        <w:t>4、地方政府债券发行及还本付息情况表</w:t>
      </w:r>
    </w:p>
    <w:p>
      <w:pPr>
        <w:pStyle w:val="2"/>
        <w:spacing w:line="520" w:lineRule="exact"/>
        <w:ind w:left="763" w:firstLine="0"/>
      </w:pPr>
      <w:r>
        <w:t>5、地方政府债务限额提前下达情况表</w:t>
      </w:r>
    </w:p>
    <w:p>
      <w:pPr>
        <w:pStyle w:val="2"/>
        <w:spacing w:line="520" w:lineRule="exact"/>
        <w:ind w:left="763" w:firstLine="0"/>
        <w:rPr>
          <w:spacing w:val="-10"/>
        </w:rPr>
      </w:pPr>
      <w:r>
        <w:rPr>
          <w:rFonts w:hint="eastAsia"/>
        </w:rPr>
        <w:t>6</w:t>
      </w:r>
      <w:r>
        <w:rPr>
          <w:rFonts w:hint="eastAsia"/>
          <w:spacing w:val="-10"/>
        </w:rPr>
        <w:t>、新增地方政府债券资金安排表</w:t>
      </w:r>
    </w:p>
    <w:p>
      <w:pPr>
        <w:pStyle w:val="2"/>
        <w:spacing w:line="520" w:lineRule="exact"/>
        <w:ind w:left="763" w:firstLine="0"/>
        <w:rPr>
          <w:rFonts w:hint="eastAsia"/>
          <w:spacing w:val="-10"/>
        </w:rPr>
      </w:pPr>
      <w:r>
        <w:rPr>
          <w:rFonts w:hint="eastAsia"/>
          <w:spacing w:val="-10"/>
        </w:rPr>
        <w:t>7、地方政府再融资债券分月发行安排表</w:t>
      </w:r>
    </w:p>
    <w:p>
      <w:pPr>
        <w:pStyle w:val="2"/>
        <w:spacing w:line="520" w:lineRule="exact"/>
        <w:ind w:left="0" w:leftChars="0" w:firstLine="0" w:firstLineChars="0"/>
        <w:rPr>
          <w:rFonts w:hint="eastAsia" w:eastAsia="宋体"/>
          <w:spacing w:val="-10"/>
          <w:lang w:eastAsia="zh-CN"/>
        </w:rPr>
      </w:pPr>
      <w:r>
        <w:rPr>
          <w:rFonts w:hint="eastAsia"/>
          <w:spacing w:val="-10"/>
          <w:lang w:eastAsia="zh-CN"/>
        </w:rPr>
        <w:t>五、</w:t>
      </w:r>
      <w:r>
        <w:rPr>
          <w:rFonts w:hint="eastAsia"/>
          <w:spacing w:val="-10"/>
          <w:lang w:eastAsia="zh-CN"/>
        </w:rPr>
        <w:fldChar w:fldCharType="begin"/>
      </w:r>
      <w:r>
        <w:rPr>
          <w:rFonts w:hint="eastAsia"/>
          <w:spacing w:val="-10"/>
          <w:lang w:eastAsia="zh-CN"/>
        </w:rPr>
        <w:instrText xml:space="preserve"> HYPERLINK "https://www.ningjin.gov.cn/content/clientDf.do?id=19896" </w:instrText>
      </w:r>
      <w:r>
        <w:rPr>
          <w:rFonts w:hint="eastAsia"/>
          <w:spacing w:val="-10"/>
          <w:lang w:eastAsia="zh-CN"/>
        </w:rPr>
        <w:fldChar w:fldCharType="separate"/>
      </w:r>
      <w:r>
        <w:rPr>
          <w:rFonts w:hint="eastAsia"/>
          <w:spacing w:val="-10"/>
          <w:lang w:eastAsia="zh-CN"/>
        </w:rPr>
        <w:t>2022年度转移支付资金</w:t>
      </w:r>
      <w:r>
        <w:rPr>
          <w:rFonts w:hint="eastAsia"/>
          <w:spacing w:val="-10"/>
          <w:lang w:eastAsia="zh-CN"/>
        </w:rPr>
        <w:fldChar w:fldCharType="end"/>
      </w:r>
      <w:bookmarkStart w:id="0" w:name="_GoBack"/>
      <w:bookmarkEnd w:id="0"/>
    </w:p>
    <w:sectPr>
      <w:pgSz w:w="11910" w:h="16840"/>
      <w:pgMar w:top="1701" w:right="1418" w:bottom="1418" w:left="1418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EE77929"/>
    <w:multiLevelType w:val="multilevel"/>
    <w:tmpl w:val="0EE77929"/>
    <w:lvl w:ilvl="0" w:tentative="0">
      <w:start w:val="1"/>
      <w:numFmt w:val="decimal"/>
      <w:lvlText w:val="%1."/>
      <w:lvlJc w:val="left"/>
      <w:pPr>
        <w:ind w:left="1084" w:hanging="322"/>
        <w:jc w:val="left"/>
      </w:pPr>
      <w:rPr>
        <w:rFonts w:hint="default" w:ascii="宋体" w:hAnsi="宋体" w:eastAsia="宋体" w:cs="宋体"/>
        <w:spacing w:val="-2"/>
        <w:w w:val="99"/>
        <w:sz w:val="30"/>
        <w:szCs w:val="30"/>
        <w:lang w:val="zh-CN" w:eastAsia="zh-CN" w:bidi="zh-CN"/>
      </w:rPr>
    </w:lvl>
    <w:lvl w:ilvl="1" w:tentative="0">
      <w:start w:val="0"/>
      <w:numFmt w:val="bullet"/>
      <w:lvlText w:val="•"/>
      <w:lvlJc w:val="left"/>
      <w:pPr>
        <w:ind w:left="1826" w:hanging="322"/>
      </w:pPr>
      <w:rPr>
        <w:rFonts w:hint="default"/>
        <w:lang w:val="zh-CN" w:eastAsia="zh-CN" w:bidi="zh-CN"/>
      </w:rPr>
    </w:lvl>
    <w:lvl w:ilvl="2" w:tentative="0">
      <w:start w:val="0"/>
      <w:numFmt w:val="bullet"/>
      <w:lvlText w:val="•"/>
      <w:lvlJc w:val="left"/>
      <w:pPr>
        <w:ind w:left="2573" w:hanging="322"/>
      </w:pPr>
      <w:rPr>
        <w:rFonts w:hint="default"/>
        <w:lang w:val="zh-CN" w:eastAsia="zh-CN" w:bidi="zh-CN"/>
      </w:rPr>
    </w:lvl>
    <w:lvl w:ilvl="3" w:tentative="0">
      <w:start w:val="0"/>
      <w:numFmt w:val="bullet"/>
      <w:lvlText w:val="•"/>
      <w:lvlJc w:val="left"/>
      <w:pPr>
        <w:ind w:left="3319" w:hanging="322"/>
      </w:pPr>
      <w:rPr>
        <w:rFonts w:hint="default"/>
        <w:lang w:val="zh-CN" w:eastAsia="zh-CN" w:bidi="zh-CN"/>
      </w:rPr>
    </w:lvl>
    <w:lvl w:ilvl="4" w:tentative="0">
      <w:start w:val="0"/>
      <w:numFmt w:val="bullet"/>
      <w:lvlText w:val="•"/>
      <w:lvlJc w:val="left"/>
      <w:pPr>
        <w:ind w:left="4066" w:hanging="322"/>
      </w:pPr>
      <w:rPr>
        <w:rFonts w:hint="default"/>
        <w:lang w:val="zh-CN" w:eastAsia="zh-CN" w:bidi="zh-CN"/>
      </w:rPr>
    </w:lvl>
    <w:lvl w:ilvl="5" w:tentative="0">
      <w:start w:val="0"/>
      <w:numFmt w:val="bullet"/>
      <w:lvlText w:val="•"/>
      <w:lvlJc w:val="left"/>
      <w:pPr>
        <w:ind w:left="4813" w:hanging="322"/>
      </w:pPr>
      <w:rPr>
        <w:rFonts w:hint="default"/>
        <w:lang w:val="zh-CN" w:eastAsia="zh-CN" w:bidi="zh-CN"/>
      </w:rPr>
    </w:lvl>
    <w:lvl w:ilvl="6" w:tentative="0">
      <w:start w:val="0"/>
      <w:numFmt w:val="bullet"/>
      <w:lvlText w:val="•"/>
      <w:lvlJc w:val="left"/>
      <w:pPr>
        <w:ind w:left="5559" w:hanging="322"/>
      </w:pPr>
      <w:rPr>
        <w:rFonts w:hint="default"/>
        <w:lang w:val="zh-CN" w:eastAsia="zh-CN" w:bidi="zh-CN"/>
      </w:rPr>
    </w:lvl>
    <w:lvl w:ilvl="7" w:tentative="0">
      <w:start w:val="0"/>
      <w:numFmt w:val="bullet"/>
      <w:lvlText w:val="•"/>
      <w:lvlJc w:val="left"/>
      <w:pPr>
        <w:ind w:left="6306" w:hanging="322"/>
      </w:pPr>
      <w:rPr>
        <w:rFonts w:hint="default"/>
        <w:lang w:val="zh-CN" w:eastAsia="zh-CN" w:bidi="zh-CN"/>
      </w:rPr>
    </w:lvl>
    <w:lvl w:ilvl="8" w:tentative="0">
      <w:start w:val="0"/>
      <w:numFmt w:val="bullet"/>
      <w:lvlText w:val="•"/>
      <w:lvlJc w:val="left"/>
      <w:pPr>
        <w:ind w:left="7052" w:hanging="322"/>
      </w:pPr>
      <w:rPr>
        <w:rFonts w:hint="default"/>
        <w:lang w:val="zh-CN" w:eastAsia="zh-CN" w:bidi="zh-CN"/>
      </w:rPr>
    </w:lvl>
  </w:abstractNum>
  <w:abstractNum w:abstractNumId="1">
    <w:nsid w:val="58F74CE8"/>
    <w:multiLevelType w:val="multilevel"/>
    <w:tmpl w:val="58F74CE8"/>
    <w:lvl w:ilvl="0" w:tentative="0">
      <w:start w:val="2"/>
      <w:numFmt w:val="decimal"/>
      <w:lvlText w:val="%1."/>
      <w:lvlJc w:val="left"/>
      <w:pPr>
        <w:ind w:left="1084" w:hanging="322"/>
        <w:jc w:val="left"/>
      </w:pPr>
      <w:rPr>
        <w:rFonts w:hint="default" w:ascii="宋体" w:hAnsi="宋体" w:eastAsia="宋体" w:cs="宋体"/>
        <w:spacing w:val="-2"/>
        <w:w w:val="99"/>
        <w:sz w:val="30"/>
        <w:szCs w:val="30"/>
        <w:lang w:val="zh-CN" w:eastAsia="zh-CN" w:bidi="zh-CN"/>
      </w:rPr>
    </w:lvl>
    <w:lvl w:ilvl="1" w:tentative="0">
      <w:start w:val="0"/>
      <w:numFmt w:val="bullet"/>
      <w:lvlText w:val="•"/>
      <w:lvlJc w:val="left"/>
      <w:pPr>
        <w:ind w:left="1826" w:hanging="322"/>
      </w:pPr>
      <w:rPr>
        <w:rFonts w:hint="default"/>
        <w:lang w:val="zh-CN" w:eastAsia="zh-CN" w:bidi="zh-CN"/>
      </w:rPr>
    </w:lvl>
    <w:lvl w:ilvl="2" w:tentative="0">
      <w:start w:val="0"/>
      <w:numFmt w:val="bullet"/>
      <w:lvlText w:val="•"/>
      <w:lvlJc w:val="left"/>
      <w:pPr>
        <w:ind w:left="2573" w:hanging="322"/>
      </w:pPr>
      <w:rPr>
        <w:rFonts w:hint="default"/>
        <w:lang w:val="zh-CN" w:eastAsia="zh-CN" w:bidi="zh-CN"/>
      </w:rPr>
    </w:lvl>
    <w:lvl w:ilvl="3" w:tentative="0">
      <w:start w:val="0"/>
      <w:numFmt w:val="bullet"/>
      <w:lvlText w:val="•"/>
      <w:lvlJc w:val="left"/>
      <w:pPr>
        <w:ind w:left="3319" w:hanging="322"/>
      </w:pPr>
      <w:rPr>
        <w:rFonts w:hint="default"/>
        <w:lang w:val="zh-CN" w:eastAsia="zh-CN" w:bidi="zh-CN"/>
      </w:rPr>
    </w:lvl>
    <w:lvl w:ilvl="4" w:tentative="0">
      <w:start w:val="0"/>
      <w:numFmt w:val="bullet"/>
      <w:lvlText w:val="•"/>
      <w:lvlJc w:val="left"/>
      <w:pPr>
        <w:ind w:left="4066" w:hanging="322"/>
      </w:pPr>
      <w:rPr>
        <w:rFonts w:hint="default"/>
        <w:lang w:val="zh-CN" w:eastAsia="zh-CN" w:bidi="zh-CN"/>
      </w:rPr>
    </w:lvl>
    <w:lvl w:ilvl="5" w:tentative="0">
      <w:start w:val="0"/>
      <w:numFmt w:val="bullet"/>
      <w:lvlText w:val="•"/>
      <w:lvlJc w:val="left"/>
      <w:pPr>
        <w:ind w:left="4813" w:hanging="322"/>
      </w:pPr>
      <w:rPr>
        <w:rFonts w:hint="default"/>
        <w:lang w:val="zh-CN" w:eastAsia="zh-CN" w:bidi="zh-CN"/>
      </w:rPr>
    </w:lvl>
    <w:lvl w:ilvl="6" w:tentative="0">
      <w:start w:val="0"/>
      <w:numFmt w:val="bullet"/>
      <w:lvlText w:val="•"/>
      <w:lvlJc w:val="left"/>
      <w:pPr>
        <w:ind w:left="5559" w:hanging="322"/>
      </w:pPr>
      <w:rPr>
        <w:rFonts w:hint="default"/>
        <w:lang w:val="zh-CN" w:eastAsia="zh-CN" w:bidi="zh-CN"/>
      </w:rPr>
    </w:lvl>
    <w:lvl w:ilvl="7" w:tentative="0">
      <w:start w:val="0"/>
      <w:numFmt w:val="bullet"/>
      <w:lvlText w:val="•"/>
      <w:lvlJc w:val="left"/>
      <w:pPr>
        <w:ind w:left="6306" w:hanging="322"/>
      </w:pPr>
      <w:rPr>
        <w:rFonts w:hint="default"/>
        <w:lang w:val="zh-CN" w:eastAsia="zh-CN" w:bidi="zh-CN"/>
      </w:rPr>
    </w:lvl>
    <w:lvl w:ilvl="8" w:tentative="0">
      <w:start w:val="0"/>
      <w:numFmt w:val="bullet"/>
      <w:lvlText w:val="•"/>
      <w:lvlJc w:val="left"/>
      <w:pPr>
        <w:ind w:left="7052" w:hanging="322"/>
      </w:pPr>
      <w:rPr>
        <w:rFonts w:hint="default"/>
        <w:lang w:val="zh-CN" w:eastAsia="zh-CN" w:bidi="zh-C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0"/>
  <w:bordersDoNotSurroundFooter w:val="0"/>
  <w:documentProtection w:enforcement="0"/>
  <w:defaultTabStop w:val="720"/>
  <w:drawingGridHorizontalSpacing w:val="110"/>
  <w:displayHorizontalDrawingGridEvery w:val="1"/>
  <w:displayVerticalDrawingGridEvery w:val="1"/>
  <w:noPunctuationKerning w:val="1"/>
  <w:characterSpacingControl w:val="doNotCompress"/>
  <w:compat>
    <w:ulTrailSpace/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Q1MTk3ODQ3NjRmNzI4NzQzNGIyZGVjYTIxMWM4YzYifQ=="/>
  </w:docVars>
  <w:rsids>
    <w:rsidRoot w:val="00981F38"/>
    <w:rsid w:val="001E125C"/>
    <w:rsid w:val="002C4EF5"/>
    <w:rsid w:val="004C4C2B"/>
    <w:rsid w:val="00570A95"/>
    <w:rsid w:val="005E0E8F"/>
    <w:rsid w:val="0064289A"/>
    <w:rsid w:val="00891139"/>
    <w:rsid w:val="008B6E78"/>
    <w:rsid w:val="00981F38"/>
    <w:rsid w:val="00A14F96"/>
    <w:rsid w:val="00C95599"/>
    <w:rsid w:val="00CC4CEA"/>
    <w:rsid w:val="00D74C81"/>
    <w:rsid w:val="00E87C1B"/>
    <w:rsid w:val="00EE7A32"/>
    <w:rsid w:val="2F2106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</w:pPr>
    <w:rPr>
      <w:rFonts w:ascii="宋体" w:hAnsi="宋体" w:eastAsia="宋体" w:cs="宋体"/>
      <w:sz w:val="22"/>
      <w:szCs w:val="22"/>
      <w:lang w:val="zh-CN" w:eastAsia="zh-CN" w:bidi="zh-CN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pPr>
      <w:spacing w:before="214"/>
      <w:ind w:left="1084" w:hanging="322"/>
    </w:pPr>
    <w:rPr>
      <w:sz w:val="32"/>
      <w:szCs w:val="32"/>
    </w:rPr>
  </w:style>
  <w:style w:type="paragraph" w:styleId="3">
    <w:name w:val="footer"/>
    <w:basedOn w:val="1"/>
    <w:link w:val="12"/>
    <w:semiHidden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4">
    <w:name w:val="header"/>
    <w:basedOn w:val="1"/>
    <w:link w:val="11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basedOn w:val="6"/>
    <w:semiHidden/>
    <w:unhideWhenUsed/>
    <w:uiPriority w:val="99"/>
    <w:rPr>
      <w:color w:val="0000FF"/>
      <w:u w:val="single"/>
    </w:rPr>
  </w:style>
  <w:style w:type="table" w:customStyle="1" w:styleId="8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9">
    <w:name w:val="List Paragraph"/>
    <w:basedOn w:val="1"/>
    <w:qFormat/>
    <w:uiPriority w:val="1"/>
    <w:pPr>
      <w:spacing w:before="214"/>
      <w:ind w:left="1084" w:hanging="322"/>
    </w:pPr>
  </w:style>
  <w:style w:type="paragraph" w:customStyle="1" w:styleId="10">
    <w:name w:val="Table Paragraph"/>
    <w:basedOn w:val="1"/>
    <w:qFormat/>
    <w:uiPriority w:val="1"/>
  </w:style>
  <w:style w:type="character" w:customStyle="1" w:styleId="11">
    <w:name w:val="页眉 Char"/>
    <w:basedOn w:val="6"/>
    <w:link w:val="4"/>
    <w:semiHidden/>
    <w:qFormat/>
    <w:uiPriority w:val="99"/>
    <w:rPr>
      <w:rFonts w:ascii="宋体" w:hAnsi="宋体" w:eastAsia="宋体" w:cs="宋体"/>
      <w:sz w:val="18"/>
      <w:szCs w:val="18"/>
      <w:lang w:val="zh-CN" w:eastAsia="zh-CN" w:bidi="zh-CN"/>
    </w:rPr>
  </w:style>
  <w:style w:type="character" w:customStyle="1" w:styleId="12">
    <w:name w:val="页脚 Char"/>
    <w:basedOn w:val="6"/>
    <w:link w:val="3"/>
    <w:semiHidden/>
    <w:qFormat/>
    <w:uiPriority w:val="99"/>
    <w:rPr>
      <w:rFonts w:ascii="宋体" w:hAnsi="宋体" w:eastAsia="宋体" w:cs="宋体"/>
      <w:sz w:val="18"/>
      <w:szCs w:val="18"/>
      <w:lang w:val="zh-CN" w:eastAsia="zh-CN" w:bidi="zh-CN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numbering.xml" Type="http://schemas.openxmlformats.org/officeDocument/2006/relationships/numbering"/><Relationship Id="rId5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539</Words>
  <Characters>558</Characters>
  <Lines>4</Lines>
  <Paragraphs>1</Paragraphs>
  <TotalTime>21</TotalTime>
  <ScaleCrop>false</ScaleCrop>
  <LinksUpToDate>false</LinksUpToDate>
  <CharactersWithSpaces>564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2021-05-26T08:34:00Z</dcterms:created>
  <dc:creator>lenovo</dc:creator>
  <cp:lastModifiedBy>王艺康</cp:lastModifiedBy>
  <cp:lastPrinted>2022-02-17T10:29:00Z</cp:lastPrinted>
  <dcterms:modified xsi:type="dcterms:W3CDTF">2022-09-09T02:04:20Z</dcterms:modified>
  <cp:revision>8</cp:revision>
  <dc:title> 2019年邢台市政府预算公开目录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2021-02-26T00:00:00Z</vt:filetime>
  </property>
  <property fmtid="{D5CDD505-2E9C-101B-9397-08002B2CF9AE}" pid="3" name="Creator">
    <vt:lpwstr>WPS 文字</vt:lpwstr>
  </property>
  <property fmtid="{D5CDD505-2E9C-101B-9397-08002B2CF9AE}" pid="4" name="LastSaved">
    <vt:filetime>2021-05-26T00:00:00Z</vt:filetime>
  </property>
  <property fmtid="{D5CDD505-2E9C-101B-9397-08002B2CF9AE}" pid="5" name="KSOProductBuildVer">
    <vt:lpwstr>2052-11.1.0.12313</vt:lpwstr>
  </property>
  <property fmtid="{D5CDD505-2E9C-101B-9397-08002B2CF9AE}" pid="6" name="ICV">
    <vt:lpwstr>7EA1B6DF9743483B8CF7AC938B280483</vt:lpwstr>
  </property>
</Properties>
</file>