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5"/>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10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8</w:t>
      </w:r>
    </w:p>
    <w:p>
      <w:pPr>
        <w:pStyle w:val="5"/>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fldChar w:fldCharType="end"/>
      </w:r>
      <w:r>
        <w:fldChar w:fldCharType="end"/>
      </w:r>
      <w:r>
        <w:rPr>
          <w:rFonts w:hint="eastAsia"/>
          <w:lang w:val="en-US" w:eastAsia="zh-CN"/>
        </w:rPr>
        <w:t>28</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fldChar w:fldCharType="end"/>
      </w:r>
      <w:r>
        <w:fldChar w:fldCharType="end"/>
      </w:r>
      <w:r>
        <w:rPr>
          <w:rFonts w:hint="eastAsia"/>
          <w:lang w:val="en-US" w:eastAsia="zh-CN"/>
        </w:rPr>
        <w:t>9</w:t>
      </w:r>
    </w:p>
    <w:p>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30</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5"/>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一、中共宁晋县委机构编制委员会办公室本级收支预算</w:t>
      </w:r>
      <w:r>
        <w:tab/>
      </w:r>
      <w:r>
        <w:fldChar w:fldCharType="end"/>
      </w:r>
      <w:r>
        <w:rPr>
          <w:rFonts w:hint="eastAsia"/>
          <w:lang w:val="en-US" w:eastAsia="zh-CN"/>
        </w:rPr>
        <w:t>31</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6"/>
        <w:gridCol w:w="3949"/>
        <w:gridCol w:w="2373"/>
        <w:gridCol w:w="6840"/>
        <w:gridCol w:w="10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5" w:type="dxa"/>
            <w:gridSpan w:val="2"/>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2373"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789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restart"/>
            <w:vAlign w:val="center"/>
          </w:tcPr>
          <w:p>
            <w:pPr>
              <w:pStyle w:val="15"/>
            </w:pPr>
            <w:r>
              <w:t>序号</w:t>
            </w:r>
          </w:p>
        </w:tc>
        <w:tc>
          <w:tcPr>
            <w:tcW w:w="6322" w:type="dxa"/>
            <w:gridSpan w:val="2"/>
            <w:vAlign w:val="center"/>
          </w:tcPr>
          <w:p>
            <w:pPr>
              <w:pStyle w:val="15"/>
            </w:pPr>
            <w:r>
              <w:t>收入</w:t>
            </w:r>
          </w:p>
        </w:tc>
        <w:tc>
          <w:tcPr>
            <w:tcW w:w="7898"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continue"/>
          </w:tcPr>
          <w:p/>
        </w:tc>
        <w:tc>
          <w:tcPr>
            <w:tcW w:w="3949" w:type="dxa"/>
            <w:vAlign w:val="center"/>
          </w:tcPr>
          <w:p>
            <w:pPr>
              <w:pStyle w:val="15"/>
            </w:pPr>
            <w:r>
              <w:t>项  目</w:t>
            </w:r>
          </w:p>
        </w:tc>
        <w:tc>
          <w:tcPr>
            <w:tcW w:w="2373" w:type="dxa"/>
            <w:vAlign w:val="center"/>
          </w:tcPr>
          <w:p>
            <w:pPr>
              <w:pStyle w:val="15"/>
            </w:pPr>
            <w:r>
              <w:t>预算数</w:t>
            </w:r>
          </w:p>
        </w:tc>
        <w:tc>
          <w:tcPr>
            <w:tcW w:w="6840" w:type="dxa"/>
            <w:vAlign w:val="center"/>
          </w:tcPr>
          <w:p>
            <w:pPr>
              <w:pStyle w:val="15"/>
            </w:pPr>
            <w:r>
              <w:t>项  目</w:t>
            </w:r>
          </w:p>
        </w:tc>
        <w:tc>
          <w:tcPr>
            <w:tcW w:w="1058"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Align w:val="center"/>
          </w:tcPr>
          <w:p>
            <w:pPr>
              <w:pStyle w:val="15"/>
            </w:pPr>
            <w:r>
              <w:t>栏次</w:t>
            </w:r>
          </w:p>
        </w:tc>
        <w:tc>
          <w:tcPr>
            <w:tcW w:w="3949" w:type="dxa"/>
            <w:vAlign w:val="center"/>
          </w:tcPr>
          <w:p>
            <w:pPr>
              <w:pStyle w:val="15"/>
            </w:pPr>
            <w:r>
              <w:t>1</w:t>
            </w:r>
          </w:p>
        </w:tc>
        <w:tc>
          <w:tcPr>
            <w:tcW w:w="2373" w:type="dxa"/>
            <w:vAlign w:val="center"/>
          </w:tcPr>
          <w:p>
            <w:pPr>
              <w:pStyle w:val="15"/>
            </w:pPr>
            <w:r>
              <w:t>2</w:t>
            </w:r>
          </w:p>
        </w:tc>
        <w:tc>
          <w:tcPr>
            <w:tcW w:w="6840" w:type="dxa"/>
            <w:vAlign w:val="center"/>
          </w:tcPr>
          <w:p>
            <w:pPr>
              <w:pStyle w:val="15"/>
            </w:pPr>
            <w:r>
              <w:t>3</w:t>
            </w:r>
          </w:p>
        </w:tc>
        <w:tc>
          <w:tcPr>
            <w:tcW w:w="1058"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w:t>
            </w:r>
          </w:p>
        </w:tc>
        <w:tc>
          <w:tcPr>
            <w:tcW w:w="3949" w:type="dxa"/>
            <w:vAlign w:val="center"/>
          </w:tcPr>
          <w:p>
            <w:pPr>
              <w:pStyle w:val="17"/>
            </w:pPr>
            <w:r>
              <w:t>一、一般公共预算拨款收入</w:t>
            </w:r>
          </w:p>
        </w:tc>
        <w:tc>
          <w:tcPr>
            <w:tcW w:w="2373" w:type="dxa"/>
            <w:vAlign w:val="center"/>
          </w:tcPr>
          <w:p>
            <w:pPr>
              <w:pStyle w:val="16"/>
              <w:rPr>
                <w:rFonts w:hint="default" w:eastAsia="方正书宋_GBK"/>
                <w:lang w:val="en-US" w:eastAsia="zh-CN"/>
              </w:rPr>
            </w:pPr>
            <w:r>
              <w:rPr>
                <w:rFonts w:hint="eastAsia"/>
                <w:lang w:val="en-US" w:eastAsia="zh-CN"/>
              </w:rPr>
              <w:t>170.34</w:t>
            </w:r>
          </w:p>
        </w:tc>
        <w:tc>
          <w:tcPr>
            <w:tcW w:w="6840" w:type="dxa"/>
            <w:vAlign w:val="center"/>
          </w:tcPr>
          <w:p>
            <w:pPr>
              <w:pStyle w:val="17"/>
            </w:pPr>
            <w:r>
              <w:t>一、一般公共服务支出</w:t>
            </w:r>
          </w:p>
        </w:tc>
        <w:tc>
          <w:tcPr>
            <w:tcW w:w="1058" w:type="dxa"/>
            <w:vAlign w:val="center"/>
          </w:tcPr>
          <w:p>
            <w:pPr>
              <w:pStyle w:val="16"/>
              <w:rPr>
                <w:rFonts w:hint="default" w:eastAsia="方正书宋_GBK"/>
                <w:lang w:val="en-US" w:eastAsia="zh-CN"/>
              </w:rPr>
            </w:pPr>
            <w:r>
              <w:rPr>
                <w:rFonts w:hint="eastAsia"/>
                <w:lang w:val="en-US" w:eastAsia="zh-CN"/>
              </w:rPr>
              <w:t>139.25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w:t>
            </w:r>
          </w:p>
        </w:tc>
        <w:tc>
          <w:tcPr>
            <w:tcW w:w="3949" w:type="dxa"/>
            <w:vAlign w:val="center"/>
          </w:tcPr>
          <w:p>
            <w:pPr>
              <w:pStyle w:val="17"/>
            </w:pPr>
            <w:r>
              <w:t>二、政府性基金预算拨款收入</w:t>
            </w:r>
          </w:p>
        </w:tc>
        <w:tc>
          <w:tcPr>
            <w:tcW w:w="2373" w:type="dxa"/>
            <w:vAlign w:val="center"/>
          </w:tcPr>
          <w:p>
            <w:pPr>
              <w:pStyle w:val="16"/>
            </w:pPr>
          </w:p>
        </w:tc>
        <w:tc>
          <w:tcPr>
            <w:tcW w:w="6840" w:type="dxa"/>
            <w:vAlign w:val="center"/>
          </w:tcPr>
          <w:p>
            <w:pPr>
              <w:pStyle w:val="17"/>
            </w:pPr>
            <w:r>
              <w:t>二、外交支出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3</w:t>
            </w:r>
          </w:p>
        </w:tc>
        <w:tc>
          <w:tcPr>
            <w:tcW w:w="3949" w:type="dxa"/>
            <w:vAlign w:val="center"/>
          </w:tcPr>
          <w:p>
            <w:pPr>
              <w:pStyle w:val="17"/>
            </w:pPr>
            <w:r>
              <w:t>三、国有资本经营预算拨款收入</w:t>
            </w:r>
          </w:p>
        </w:tc>
        <w:tc>
          <w:tcPr>
            <w:tcW w:w="2373" w:type="dxa"/>
            <w:vAlign w:val="center"/>
          </w:tcPr>
          <w:p>
            <w:pPr>
              <w:pStyle w:val="16"/>
            </w:pPr>
          </w:p>
        </w:tc>
        <w:tc>
          <w:tcPr>
            <w:tcW w:w="6840" w:type="dxa"/>
            <w:vAlign w:val="center"/>
          </w:tcPr>
          <w:p>
            <w:pPr>
              <w:pStyle w:val="17"/>
            </w:pPr>
            <w:r>
              <w:t>三、国防支出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4</w:t>
            </w:r>
          </w:p>
        </w:tc>
        <w:tc>
          <w:tcPr>
            <w:tcW w:w="3949" w:type="dxa"/>
            <w:vAlign w:val="center"/>
          </w:tcPr>
          <w:p>
            <w:pPr>
              <w:pStyle w:val="17"/>
            </w:pPr>
            <w:r>
              <w:t>四、财政专户管理资金收入</w:t>
            </w:r>
          </w:p>
        </w:tc>
        <w:tc>
          <w:tcPr>
            <w:tcW w:w="2373" w:type="dxa"/>
            <w:vAlign w:val="center"/>
          </w:tcPr>
          <w:p>
            <w:pPr>
              <w:pStyle w:val="16"/>
            </w:pPr>
          </w:p>
        </w:tc>
        <w:tc>
          <w:tcPr>
            <w:tcW w:w="6840" w:type="dxa"/>
            <w:vAlign w:val="center"/>
          </w:tcPr>
          <w:p>
            <w:pPr>
              <w:pStyle w:val="17"/>
            </w:pPr>
            <w:r>
              <w:t>四、公共安全支出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5</w:t>
            </w:r>
          </w:p>
        </w:tc>
        <w:tc>
          <w:tcPr>
            <w:tcW w:w="3949" w:type="dxa"/>
            <w:vAlign w:val="center"/>
          </w:tcPr>
          <w:p>
            <w:pPr>
              <w:pStyle w:val="17"/>
            </w:pPr>
            <w:r>
              <w:t>五、事业收入</w:t>
            </w:r>
          </w:p>
        </w:tc>
        <w:tc>
          <w:tcPr>
            <w:tcW w:w="2373" w:type="dxa"/>
            <w:vAlign w:val="center"/>
          </w:tcPr>
          <w:p>
            <w:pPr>
              <w:pStyle w:val="16"/>
            </w:pPr>
          </w:p>
        </w:tc>
        <w:tc>
          <w:tcPr>
            <w:tcW w:w="6840" w:type="dxa"/>
            <w:vAlign w:val="center"/>
          </w:tcPr>
          <w:p>
            <w:pPr>
              <w:pStyle w:val="17"/>
            </w:pPr>
            <w:r>
              <w:t>五、教育支出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6</w:t>
            </w:r>
          </w:p>
        </w:tc>
        <w:tc>
          <w:tcPr>
            <w:tcW w:w="3949" w:type="dxa"/>
            <w:vAlign w:val="center"/>
          </w:tcPr>
          <w:p>
            <w:pPr>
              <w:pStyle w:val="17"/>
            </w:pPr>
            <w:r>
              <w:t>六、事业单位经营收入</w:t>
            </w:r>
          </w:p>
        </w:tc>
        <w:tc>
          <w:tcPr>
            <w:tcW w:w="2373" w:type="dxa"/>
            <w:vAlign w:val="center"/>
          </w:tcPr>
          <w:p>
            <w:pPr>
              <w:pStyle w:val="16"/>
            </w:pPr>
          </w:p>
        </w:tc>
        <w:tc>
          <w:tcPr>
            <w:tcW w:w="6840" w:type="dxa"/>
            <w:vAlign w:val="center"/>
          </w:tcPr>
          <w:p>
            <w:pPr>
              <w:pStyle w:val="17"/>
            </w:pPr>
            <w:r>
              <w:t>六、科学技术支出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7</w:t>
            </w:r>
          </w:p>
        </w:tc>
        <w:tc>
          <w:tcPr>
            <w:tcW w:w="3949" w:type="dxa"/>
            <w:vAlign w:val="center"/>
          </w:tcPr>
          <w:p>
            <w:pPr>
              <w:pStyle w:val="17"/>
            </w:pPr>
            <w:r>
              <w:t>七、上级补助收入</w:t>
            </w:r>
          </w:p>
        </w:tc>
        <w:tc>
          <w:tcPr>
            <w:tcW w:w="2373" w:type="dxa"/>
            <w:vAlign w:val="center"/>
          </w:tcPr>
          <w:p>
            <w:pPr>
              <w:pStyle w:val="16"/>
            </w:pPr>
          </w:p>
        </w:tc>
        <w:tc>
          <w:tcPr>
            <w:tcW w:w="6840" w:type="dxa"/>
            <w:vAlign w:val="center"/>
          </w:tcPr>
          <w:p>
            <w:pPr>
              <w:pStyle w:val="17"/>
            </w:pPr>
            <w:r>
              <w:t>七、文化旅游体育与传媒支出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8</w:t>
            </w:r>
          </w:p>
        </w:tc>
        <w:tc>
          <w:tcPr>
            <w:tcW w:w="3949" w:type="dxa"/>
            <w:vAlign w:val="center"/>
          </w:tcPr>
          <w:p>
            <w:pPr>
              <w:pStyle w:val="17"/>
            </w:pPr>
            <w:r>
              <w:t>八、附属单位上缴收入</w:t>
            </w:r>
          </w:p>
        </w:tc>
        <w:tc>
          <w:tcPr>
            <w:tcW w:w="2373" w:type="dxa"/>
            <w:vAlign w:val="center"/>
          </w:tcPr>
          <w:p>
            <w:pPr>
              <w:pStyle w:val="16"/>
            </w:pPr>
          </w:p>
        </w:tc>
        <w:tc>
          <w:tcPr>
            <w:tcW w:w="6840" w:type="dxa"/>
            <w:vAlign w:val="center"/>
          </w:tcPr>
          <w:p>
            <w:pPr>
              <w:pStyle w:val="17"/>
            </w:pPr>
            <w:r>
              <w:t>八、社会保障和就业支出</w:t>
            </w:r>
          </w:p>
        </w:tc>
        <w:tc>
          <w:tcPr>
            <w:tcW w:w="1058" w:type="dxa"/>
            <w:vAlign w:val="center"/>
          </w:tcPr>
          <w:p>
            <w:pPr>
              <w:pStyle w:val="16"/>
              <w:rPr>
                <w:rFonts w:hint="default" w:eastAsia="方正书宋_GBK"/>
                <w:lang w:val="en-US" w:eastAsia="zh-CN"/>
              </w:rPr>
            </w:pPr>
            <w:r>
              <w:rPr>
                <w:rFonts w:hint="eastAsia"/>
                <w:lang w:val="en-US" w:eastAsia="zh-CN"/>
              </w:rP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9</w:t>
            </w:r>
          </w:p>
        </w:tc>
        <w:tc>
          <w:tcPr>
            <w:tcW w:w="3949" w:type="dxa"/>
            <w:vAlign w:val="center"/>
          </w:tcPr>
          <w:p>
            <w:pPr>
              <w:pStyle w:val="17"/>
            </w:pPr>
            <w:r>
              <w:t>九、其他收入</w:t>
            </w:r>
          </w:p>
        </w:tc>
        <w:tc>
          <w:tcPr>
            <w:tcW w:w="2373" w:type="dxa"/>
            <w:vAlign w:val="center"/>
          </w:tcPr>
          <w:p>
            <w:pPr>
              <w:pStyle w:val="16"/>
            </w:pPr>
          </w:p>
        </w:tc>
        <w:tc>
          <w:tcPr>
            <w:tcW w:w="6840" w:type="dxa"/>
            <w:vAlign w:val="center"/>
          </w:tcPr>
          <w:p>
            <w:pPr>
              <w:pStyle w:val="17"/>
            </w:pPr>
            <w:r>
              <w:t>九、社会保险基金支出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10</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十、卫生健康支出</w:t>
            </w:r>
          </w:p>
        </w:tc>
        <w:tc>
          <w:tcPr>
            <w:tcW w:w="1058" w:type="dxa"/>
            <w:vAlign w:val="center"/>
          </w:tcPr>
          <w:p>
            <w:pPr>
              <w:pStyle w:val="16"/>
              <w:rPr>
                <w:rFonts w:hint="default" w:eastAsia="方正书宋_GBK"/>
                <w:lang w:val="en-US" w:eastAsia="zh-CN"/>
              </w:rPr>
            </w:pPr>
            <w:r>
              <w:rPr>
                <w:rFonts w:hint="eastAsia"/>
                <w:lang w:val="en-US" w:eastAsia="zh-CN"/>
              </w:rPr>
              <w:t>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11</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十一、节能环保支出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12</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十二、城乡社区支出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13</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十三、农林水支出</w:t>
            </w:r>
          </w:p>
        </w:tc>
        <w:tc>
          <w:tcPr>
            <w:tcW w:w="1058" w:type="dxa"/>
            <w:vAlign w:val="center"/>
          </w:tcPr>
          <w:p>
            <w:pPr>
              <w:pStyle w:val="16"/>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14</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十四、交通运输支出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15</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十五、资源勘探工业信息等支出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16</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十六、商业服务业等支出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17</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十七、金融支出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18</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十八、援助其他地区支出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19</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十九、自然资源海洋气象等支出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20</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二十、住房保障支出</w:t>
            </w:r>
          </w:p>
        </w:tc>
        <w:tc>
          <w:tcPr>
            <w:tcW w:w="1058" w:type="dxa"/>
            <w:vAlign w:val="center"/>
          </w:tcPr>
          <w:p>
            <w:pPr>
              <w:pStyle w:val="16"/>
              <w:rPr>
                <w:rFonts w:hint="default" w:eastAsia="方正书宋_GBK"/>
                <w:lang w:val="en-US" w:eastAsia="zh-CN"/>
              </w:rPr>
            </w:pPr>
            <w:r>
              <w:rPr>
                <w:rFonts w:hint="eastAsia"/>
                <w:lang w:val="en-US" w:eastAsia="zh-CN"/>
              </w:rPr>
              <w:t>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21</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二十一、粮油物资储备支出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22</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二十二、国有资本经营预算支出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23</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二十三、灾害防治及应急管理支出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24</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二十四、预备费</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25</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二十五、其他支出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26</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二十六、转移性支出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27</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二十七、灾害防治及应急管理共同财政事权转移支付支出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28</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二十八、债务还本支出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29</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二十九、债务付息支出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30</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三十、债务发行费用支出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31</w:t>
            </w:r>
          </w:p>
        </w:tc>
        <w:tc>
          <w:tcPr>
            <w:tcW w:w="3949" w:type="dxa"/>
            <w:vAlign w:val="center"/>
          </w:tcPr>
          <w:p>
            <w:pPr>
              <w:pStyle w:val="17"/>
            </w:pPr>
          </w:p>
        </w:tc>
        <w:tc>
          <w:tcPr>
            <w:tcW w:w="2373" w:type="dxa"/>
            <w:vAlign w:val="center"/>
          </w:tcPr>
          <w:p>
            <w:pPr>
              <w:pStyle w:val="16"/>
            </w:pPr>
          </w:p>
        </w:tc>
        <w:tc>
          <w:tcPr>
            <w:tcW w:w="6840" w:type="dxa"/>
            <w:vAlign w:val="center"/>
          </w:tcPr>
          <w:p>
            <w:pPr>
              <w:pStyle w:val="17"/>
            </w:pPr>
            <w:r>
              <w:t>三十一、抗疫特别国债安排的支出</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32</w:t>
            </w:r>
          </w:p>
        </w:tc>
        <w:tc>
          <w:tcPr>
            <w:tcW w:w="3949" w:type="dxa"/>
            <w:vAlign w:val="center"/>
          </w:tcPr>
          <w:p>
            <w:pPr>
              <w:pStyle w:val="19"/>
            </w:pPr>
            <w:r>
              <w:t>本年收入合计</w:t>
            </w:r>
          </w:p>
        </w:tc>
        <w:tc>
          <w:tcPr>
            <w:tcW w:w="2373" w:type="dxa"/>
            <w:vAlign w:val="center"/>
          </w:tcPr>
          <w:p>
            <w:pPr>
              <w:pStyle w:val="20"/>
              <w:rPr>
                <w:rFonts w:hint="default" w:eastAsia="方正书宋_GBK"/>
                <w:lang w:val="en-US" w:eastAsia="zh-CN"/>
              </w:rPr>
            </w:pPr>
            <w:r>
              <w:rPr>
                <w:rFonts w:hint="eastAsia"/>
                <w:lang w:val="en-US" w:eastAsia="zh-CN"/>
              </w:rPr>
              <w:t>170.34</w:t>
            </w:r>
          </w:p>
        </w:tc>
        <w:tc>
          <w:tcPr>
            <w:tcW w:w="6840" w:type="dxa"/>
            <w:vAlign w:val="center"/>
          </w:tcPr>
          <w:p>
            <w:pPr>
              <w:pStyle w:val="19"/>
            </w:pPr>
            <w:r>
              <w:t>本年支出合计</w:t>
            </w:r>
          </w:p>
        </w:tc>
        <w:tc>
          <w:tcPr>
            <w:tcW w:w="1058" w:type="dxa"/>
            <w:vAlign w:val="center"/>
          </w:tcPr>
          <w:p>
            <w:pPr>
              <w:pStyle w:val="20"/>
              <w:jc w:val="center"/>
              <w:rPr>
                <w:rFonts w:hint="default" w:eastAsia="方正书宋_GBK"/>
                <w:lang w:val="en-US" w:eastAsia="zh-CN"/>
              </w:rPr>
            </w:pPr>
            <w:r>
              <w:rPr>
                <w:rFonts w:hint="eastAsia"/>
                <w:lang w:val="en-US" w:eastAsia="zh-CN"/>
              </w:rPr>
              <w:t>170.34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33</w:t>
            </w:r>
          </w:p>
        </w:tc>
        <w:tc>
          <w:tcPr>
            <w:tcW w:w="3949" w:type="dxa"/>
            <w:vAlign w:val="center"/>
          </w:tcPr>
          <w:p>
            <w:pPr>
              <w:pStyle w:val="17"/>
            </w:pPr>
            <w:r>
              <w:t>上年结转结余</w:t>
            </w:r>
          </w:p>
        </w:tc>
        <w:tc>
          <w:tcPr>
            <w:tcW w:w="2373" w:type="dxa"/>
            <w:vAlign w:val="center"/>
          </w:tcPr>
          <w:p>
            <w:pPr>
              <w:pStyle w:val="16"/>
            </w:pPr>
          </w:p>
        </w:tc>
        <w:tc>
          <w:tcPr>
            <w:tcW w:w="6840" w:type="dxa"/>
            <w:vAlign w:val="center"/>
          </w:tcPr>
          <w:p>
            <w:pPr>
              <w:pStyle w:val="17"/>
            </w:pPr>
            <w:r>
              <w:t>年终结转结余</w:t>
            </w:r>
          </w:p>
        </w:tc>
        <w:tc>
          <w:tcPr>
            <w:tcW w:w="10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8"/>
            </w:pPr>
            <w:r>
              <w:t>34</w:t>
            </w:r>
          </w:p>
        </w:tc>
        <w:tc>
          <w:tcPr>
            <w:tcW w:w="3949" w:type="dxa"/>
            <w:vAlign w:val="center"/>
          </w:tcPr>
          <w:p>
            <w:pPr>
              <w:pStyle w:val="19"/>
            </w:pPr>
            <w:r>
              <w:t>收入总计</w:t>
            </w:r>
          </w:p>
        </w:tc>
        <w:tc>
          <w:tcPr>
            <w:tcW w:w="2373" w:type="dxa"/>
            <w:vAlign w:val="center"/>
          </w:tcPr>
          <w:p>
            <w:pPr>
              <w:pStyle w:val="20"/>
              <w:rPr>
                <w:rFonts w:hint="default" w:eastAsia="方正书宋_GBK"/>
                <w:lang w:val="en-US" w:eastAsia="zh-CN"/>
              </w:rPr>
            </w:pPr>
            <w:r>
              <w:rPr>
                <w:rFonts w:hint="eastAsia"/>
                <w:lang w:val="en-US" w:eastAsia="zh-CN"/>
              </w:rPr>
              <w:t>170.34</w:t>
            </w:r>
          </w:p>
        </w:tc>
        <w:tc>
          <w:tcPr>
            <w:tcW w:w="6840" w:type="dxa"/>
            <w:vAlign w:val="center"/>
          </w:tcPr>
          <w:p>
            <w:pPr>
              <w:pStyle w:val="19"/>
            </w:pPr>
            <w:r>
              <w:t>支出总计</w:t>
            </w:r>
          </w:p>
        </w:tc>
        <w:tc>
          <w:tcPr>
            <w:tcW w:w="1058" w:type="dxa"/>
            <w:vAlign w:val="center"/>
          </w:tcPr>
          <w:p>
            <w:pPr>
              <w:pStyle w:val="20"/>
              <w:jc w:val="center"/>
              <w:rPr>
                <w:rFonts w:hint="default" w:eastAsia="方正书宋_GBK"/>
                <w:lang w:val="en-US" w:eastAsia="zh-CN"/>
              </w:rPr>
            </w:pPr>
            <w:r>
              <w:rPr>
                <w:rFonts w:hint="eastAsia"/>
                <w:lang w:val="en-US" w:eastAsia="zh-CN"/>
              </w:rPr>
              <w:t>170.34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
        <w:gridCol w:w="1300"/>
        <w:gridCol w:w="3824"/>
        <w:gridCol w:w="915"/>
        <w:gridCol w:w="840"/>
        <w:gridCol w:w="885"/>
        <w:gridCol w:w="870"/>
        <w:gridCol w:w="732"/>
        <w:gridCol w:w="1017"/>
        <w:gridCol w:w="1117"/>
        <w:gridCol w:w="1104"/>
        <w:gridCol w:w="910"/>
        <w:gridCol w:w="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1" w:type="dxa"/>
            <w:gridSpan w:val="5"/>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2487"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5058"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tblHeader/>
          <w:jc w:val="center"/>
        </w:trPr>
        <w:tc>
          <w:tcPr>
            <w:tcW w:w="592" w:type="dxa"/>
            <w:vMerge w:val="restart"/>
            <w:vAlign w:val="center"/>
          </w:tcPr>
          <w:p>
            <w:pPr>
              <w:pStyle w:val="15"/>
            </w:pPr>
            <w:r>
              <w:t>序号</w:t>
            </w:r>
          </w:p>
        </w:tc>
        <w:tc>
          <w:tcPr>
            <w:tcW w:w="5124" w:type="dxa"/>
            <w:gridSpan w:val="2"/>
            <w:vAlign w:val="center"/>
          </w:tcPr>
          <w:p>
            <w:pPr>
              <w:pStyle w:val="15"/>
            </w:pPr>
            <w:r>
              <w:t>功能分类科目</w:t>
            </w:r>
          </w:p>
        </w:tc>
        <w:tc>
          <w:tcPr>
            <w:tcW w:w="915" w:type="dxa"/>
            <w:vMerge w:val="restart"/>
            <w:vAlign w:val="center"/>
          </w:tcPr>
          <w:p>
            <w:pPr>
              <w:pStyle w:val="15"/>
            </w:pPr>
            <w:r>
              <w:t>合计</w:t>
            </w:r>
          </w:p>
        </w:tc>
        <w:tc>
          <w:tcPr>
            <w:tcW w:w="7475" w:type="dxa"/>
            <w:gridSpan w:val="8"/>
            <w:vAlign w:val="center"/>
          </w:tcPr>
          <w:p>
            <w:pPr>
              <w:pStyle w:val="15"/>
            </w:pPr>
            <w:r>
              <w:t>本年收入</w:t>
            </w:r>
          </w:p>
        </w:tc>
        <w:tc>
          <w:tcPr>
            <w:tcW w:w="910" w:type="dxa"/>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tblHeader/>
          <w:jc w:val="center"/>
        </w:trPr>
        <w:tc>
          <w:tcPr>
            <w:tcW w:w="592" w:type="dxa"/>
            <w:vMerge w:val="continue"/>
          </w:tcPr>
          <w:p/>
        </w:tc>
        <w:tc>
          <w:tcPr>
            <w:tcW w:w="1300" w:type="dxa"/>
            <w:vAlign w:val="center"/>
          </w:tcPr>
          <w:p>
            <w:pPr>
              <w:pStyle w:val="15"/>
            </w:pPr>
            <w:r>
              <w:t>科目编码</w:t>
            </w:r>
          </w:p>
        </w:tc>
        <w:tc>
          <w:tcPr>
            <w:tcW w:w="3824" w:type="dxa"/>
            <w:vAlign w:val="center"/>
          </w:tcPr>
          <w:p>
            <w:pPr>
              <w:pStyle w:val="15"/>
            </w:pPr>
            <w:r>
              <w:t>科目名称</w:t>
            </w:r>
          </w:p>
        </w:tc>
        <w:tc>
          <w:tcPr>
            <w:tcW w:w="915" w:type="dxa"/>
            <w:vMerge w:val="continue"/>
          </w:tcPr>
          <w:p/>
        </w:tc>
        <w:tc>
          <w:tcPr>
            <w:tcW w:w="840" w:type="dxa"/>
            <w:vAlign w:val="center"/>
          </w:tcPr>
          <w:p>
            <w:pPr>
              <w:pStyle w:val="15"/>
            </w:pPr>
            <w:r>
              <w:t>小计</w:t>
            </w:r>
          </w:p>
        </w:tc>
        <w:tc>
          <w:tcPr>
            <w:tcW w:w="885" w:type="dxa"/>
            <w:vAlign w:val="center"/>
          </w:tcPr>
          <w:p>
            <w:pPr>
              <w:pStyle w:val="15"/>
            </w:pPr>
            <w:r>
              <w:t>财政拨款 收入</w:t>
            </w:r>
          </w:p>
        </w:tc>
        <w:tc>
          <w:tcPr>
            <w:tcW w:w="870" w:type="dxa"/>
            <w:vAlign w:val="center"/>
          </w:tcPr>
          <w:p>
            <w:pPr>
              <w:pStyle w:val="15"/>
            </w:pPr>
            <w:r>
              <w:t>财政专户收入</w:t>
            </w:r>
          </w:p>
        </w:tc>
        <w:tc>
          <w:tcPr>
            <w:tcW w:w="732" w:type="dxa"/>
            <w:vAlign w:val="center"/>
          </w:tcPr>
          <w:p>
            <w:pPr>
              <w:pStyle w:val="15"/>
            </w:pPr>
            <w:r>
              <w:t>事业收入</w:t>
            </w:r>
          </w:p>
        </w:tc>
        <w:tc>
          <w:tcPr>
            <w:tcW w:w="1017" w:type="dxa"/>
            <w:vAlign w:val="center"/>
          </w:tcPr>
          <w:p>
            <w:pPr>
              <w:pStyle w:val="15"/>
            </w:pPr>
            <w:r>
              <w:t>经营收入</w:t>
            </w:r>
          </w:p>
        </w:tc>
        <w:tc>
          <w:tcPr>
            <w:tcW w:w="1117" w:type="dxa"/>
            <w:vAlign w:val="center"/>
          </w:tcPr>
          <w:p>
            <w:pPr>
              <w:pStyle w:val="15"/>
            </w:pPr>
            <w:r>
              <w:t>上级补助收入</w:t>
            </w:r>
          </w:p>
        </w:tc>
        <w:tc>
          <w:tcPr>
            <w:tcW w:w="1104" w:type="dxa"/>
            <w:vAlign w:val="center"/>
          </w:tcPr>
          <w:p>
            <w:pPr>
              <w:pStyle w:val="15"/>
            </w:pPr>
            <w:r>
              <w:t>附属单位上缴收入</w:t>
            </w:r>
          </w:p>
        </w:tc>
        <w:tc>
          <w:tcPr>
            <w:tcW w:w="910" w:type="dxa"/>
            <w:vAlign w:val="center"/>
          </w:tcPr>
          <w:p>
            <w:pPr>
              <w:pStyle w:val="15"/>
            </w:pPr>
            <w:r>
              <w:t>其他收入</w:t>
            </w:r>
          </w:p>
        </w:tc>
        <w:tc>
          <w:tcPr>
            <w:tcW w:w="91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Align w:val="center"/>
          </w:tcPr>
          <w:p>
            <w:pPr>
              <w:pStyle w:val="15"/>
            </w:pPr>
            <w:r>
              <w:t>栏次</w:t>
            </w:r>
          </w:p>
        </w:tc>
        <w:tc>
          <w:tcPr>
            <w:tcW w:w="1300" w:type="dxa"/>
            <w:vAlign w:val="center"/>
          </w:tcPr>
          <w:p>
            <w:pPr>
              <w:pStyle w:val="15"/>
            </w:pPr>
            <w:r>
              <w:t>1</w:t>
            </w:r>
          </w:p>
        </w:tc>
        <w:tc>
          <w:tcPr>
            <w:tcW w:w="3824" w:type="dxa"/>
            <w:vAlign w:val="center"/>
          </w:tcPr>
          <w:p>
            <w:pPr>
              <w:pStyle w:val="15"/>
            </w:pPr>
            <w:r>
              <w:t>2</w:t>
            </w:r>
          </w:p>
        </w:tc>
        <w:tc>
          <w:tcPr>
            <w:tcW w:w="915" w:type="dxa"/>
            <w:vAlign w:val="center"/>
          </w:tcPr>
          <w:p>
            <w:pPr>
              <w:pStyle w:val="15"/>
            </w:pPr>
            <w:r>
              <w:t>3</w:t>
            </w:r>
          </w:p>
        </w:tc>
        <w:tc>
          <w:tcPr>
            <w:tcW w:w="840" w:type="dxa"/>
            <w:vAlign w:val="center"/>
          </w:tcPr>
          <w:p>
            <w:pPr>
              <w:pStyle w:val="15"/>
            </w:pPr>
            <w:r>
              <w:t>4</w:t>
            </w:r>
          </w:p>
        </w:tc>
        <w:tc>
          <w:tcPr>
            <w:tcW w:w="885" w:type="dxa"/>
            <w:vAlign w:val="center"/>
          </w:tcPr>
          <w:p>
            <w:pPr>
              <w:pStyle w:val="15"/>
            </w:pPr>
            <w:r>
              <w:t>5</w:t>
            </w:r>
          </w:p>
        </w:tc>
        <w:tc>
          <w:tcPr>
            <w:tcW w:w="870" w:type="dxa"/>
            <w:vAlign w:val="center"/>
          </w:tcPr>
          <w:p>
            <w:pPr>
              <w:pStyle w:val="15"/>
            </w:pPr>
            <w:r>
              <w:t>6</w:t>
            </w:r>
          </w:p>
        </w:tc>
        <w:tc>
          <w:tcPr>
            <w:tcW w:w="732" w:type="dxa"/>
            <w:vAlign w:val="center"/>
          </w:tcPr>
          <w:p>
            <w:pPr>
              <w:pStyle w:val="15"/>
            </w:pPr>
            <w:r>
              <w:t>7</w:t>
            </w:r>
          </w:p>
        </w:tc>
        <w:tc>
          <w:tcPr>
            <w:tcW w:w="1017" w:type="dxa"/>
            <w:vAlign w:val="center"/>
          </w:tcPr>
          <w:p>
            <w:pPr>
              <w:pStyle w:val="15"/>
            </w:pPr>
            <w:r>
              <w:t>8</w:t>
            </w:r>
          </w:p>
        </w:tc>
        <w:tc>
          <w:tcPr>
            <w:tcW w:w="1117" w:type="dxa"/>
            <w:vAlign w:val="center"/>
          </w:tcPr>
          <w:p>
            <w:pPr>
              <w:pStyle w:val="15"/>
            </w:pPr>
            <w:r>
              <w:t>9</w:t>
            </w:r>
          </w:p>
        </w:tc>
        <w:tc>
          <w:tcPr>
            <w:tcW w:w="1104" w:type="dxa"/>
            <w:vAlign w:val="center"/>
          </w:tcPr>
          <w:p>
            <w:pPr>
              <w:pStyle w:val="15"/>
            </w:pPr>
            <w:r>
              <w:t>10</w:t>
            </w:r>
          </w:p>
        </w:tc>
        <w:tc>
          <w:tcPr>
            <w:tcW w:w="910" w:type="dxa"/>
            <w:vAlign w:val="center"/>
          </w:tcPr>
          <w:p>
            <w:pPr>
              <w:pStyle w:val="15"/>
            </w:pPr>
            <w:r>
              <w:t>11</w:t>
            </w:r>
          </w:p>
        </w:tc>
        <w:tc>
          <w:tcPr>
            <w:tcW w:w="910"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jc w:val="center"/>
        </w:trPr>
        <w:tc>
          <w:tcPr>
            <w:tcW w:w="592" w:type="dxa"/>
            <w:vAlign w:val="center"/>
          </w:tcPr>
          <w:p>
            <w:pPr>
              <w:pStyle w:val="18"/>
            </w:pPr>
            <w:r>
              <w:t>1</w:t>
            </w:r>
          </w:p>
        </w:tc>
        <w:tc>
          <w:tcPr>
            <w:tcW w:w="1300" w:type="dxa"/>
            <w:vAlign w:val="center"/>
          </w:tcPr>
          <w:p>
            <w:pPr>
              <w:pStyle w:val="21"/>
            </w:pPr>
          </w:p>
        </w:tc>
        <w:tc>
          <w:tcPr>
            <w:tcW w:w="3824" w:type="dxa"/>
            <w:vAlign w:val="center"/>
          </w:tcPr>
          <w:p>
            <w:pPr>
              <w:pStyle w:val="19"/>
            </w:pPr>
            <w:r>
              <w:t>合计</w:t>
            </w:r>
          </w:p>
        </w:tc>
        <w:tc>
          <w:tcPr>
            <w:tcW w:w="91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170.34</w:t>
            </w:r>
          </w:p>
        </w:tc>
        <w:tc>
          <w:tcPr>
            <w:tcW w:w="840"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170.34</w:t>
            </w:r>
          </w:p>
        </w:tc>
        <w:tc>
          <w:tcPr>
            <w:tcW w:w="88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170.34</w:t>
            </w:r>
          </w:p>
        </w:tc>
        <w:tc>
          <w:tcPr>
            <w:tcW w:w="870" w:type="dxa"/>
            <w:vAlign w:val="center"/>
          </w:tcPr>
          <w:p>
            <w:pPr>
              <w:pStyle w:val="20"/>
            </w:pPr>
          </w:p>
        </w:tc>
        <w:tc>
          <w:tcPr>
            <w:tcW w:w="732" w:type="dxa"/>
            <w:vAlign w:val="center"/>
          </w:tcPr>
          <w:p>
            <w:pPr>
              <w:pStyle w:val="20"/>
            </w:pPr>
          </w:p>
        </w:tc>
        <w:tc>
          <w:tcPr>
            <w:tcW w:w="1017" w:type="dxa"/>
            <w:vAlign w:val="center"/>
          </w:tcPr>
          <w:p>
            <w:pPr>
              <w:pStyle w:val="20"/>
            </w:pPr>
          </w:p>
        </w:tc>
        <w:tc>
          <w:tcPr>
            <w:tcW w:w="1117" w:type="dxa"/>
            <w:vAlign w:val="center"/>
          </w:tcPr>
          <w:p>
            <w:pPr>
              <w:pStyle w:val="20"/>
            </w:pPr>
          </w:p>
        </w:tc>
        <w:tc>
          <w:tcPr>
            <w:tcW w:w="1104" w:type="dxa"/>
            <w:vAlign w:val="center"/>
          </w:tcPr>
          <w:p>
            <w:pPr>
              <w:pStyle w:val="20"/>
            </w:pPr>
          </w:p>
        </w:tc>
        <w:tc>
          <w:tcPr>
            <w:tcW w:w="910" w:type="dxa"/>
            <w:vAlign w:val="center"/>
          </w:tcPr>
          <w:p>
            <w:pPr>
              <w:pStyle w:val="20"/>
            </w:pPr>
          </w:p>
        </w:tc>
        <w:tc>
          <w:tcPr>
            <w:tcW w:w="910"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2</w:t>
            </w:r>
          </w:p>
        </w:tc>
        <w:tc>
          <w:tcPr>
            <w:tcW w:w="1300" w:type="dxa"/>
            <w:vAlign w:val="center"/>
          </w:tcPr>
          <w:p>
            <w:pPr>
              <w:pStyle w:val="17"/>
              <w:jc w:val="both"/>
            </w:pPr>
            <w:r>
              <w:rPr>
                <w:rFonts w:hint="default"/>
                <w:lang w:val="en-US" w:eastAsia="zh-CN"/>
              </w:rPr>
              <w:t>201</w:t>
            </w:r>
          </w:p>
        </w:tc>
        <w:tc>
          <w:tcPr>
            <w:tcW w:w="3824" w:type="dxa"/>
            <w:vAlign w:val="center"/>
          </w:tcPr>
          <w:p>
            <w:pPr>
              <w:pStyle w:val="17"/>
              <w:jc w:val="both"/>
            </w:pPr>
            <w:r>
              <w:rPr>
                <w:rFonts w:hint="default"/>
                <w:lang w:val="en-US" w:eastAsia="zh-CN"/>
              </w:rPr>
              <w:t>一般公共服务支出</w:t>
            </w:r>
          </w:p>
        </w:tc>
        <w:tc>
          <w:tcPr>
            <w:tcW w:w="915" w:type="dxa"/>
            <w:vAlign w:val="center"/>
          </w:tcPr>
          <w:p>
            <w:pPr>
              <w:keepNext w:val="0"/>
              <w:keepLines w:val="0"/>
              <w:widowControl/>
              <w:suppressLineNumbers w:val="0"/>
              <w:jc w:val="both"/>
              <w:textAlignment w:val="top"/>
              <w:rPr>
                <w:rFonts w:hint="default"/>
                <w:lang w:val="en-US"/>
              </w:rPr>
            </w:pPr>
            <w:r>
              <w:rPr>
                <w:rFonts w:hint="eastAsia" w:ascii="Calibri" w:hAnsi="Calibri" w:eastAsia="宋体" w:cs="Calibri"/>
                <w:i w:val="0"/>
                <w:iCs w:val="0"/>
                <w:color w:val="000000"/>
                <w:kern w:val="0"/>
                <w:sz w:val="22"/>
                <w:szCs w:val="22"/>
                <w:u w:val="none"/>
                <w:lang w:val="en-US" w:eastAsia="zh-CN" w:bidi="ar"/>
              </w:rPr>
              <w:t>139.25</w:t>
            </w:r>
          </w:p>
        </w:tc>
        <w:tc>
          <w:tcPr>
            <w:tcW w:w="840"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8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3</w:t>
            </w:r>
          </w:p>
        </w:tc>
        <w:tc>
          <w:tcPr>
            <w:tcW w:w="1300" w:type="dxa"/>
            <w:vAlign w:val="center"/>
          </w:tcPr>
          <w:p>
            <w:pPr>
              <w:pStyle w:val="17"/>
              <w:jc w:val="both"/>
            </w:pPr>
            <w:r>
              <w:rPr>
                <w:rFonts w:hint="default"/>
                <w:lang w:val="en-US" w:eastAsia="zh-CN"/>
              </w:rPr>
              <w:t>20132</w:t>
            </w:r>
          </w:p>
        </w:tc>
        <w:tc>
          <w:tcPr>
            <w:tcW w:w="3824" w:type="dxa"/>
            <w:vAlign w:val="center"/>
          </w:tcPr>
          <w:p>
            <w:pPr>
              <w:pStyle w:val="17"/>
              <w:jc w:val="both"/>
            </w:pPr>
            <w:r>
              <w:rPr>
                <w:rFonts w:hint="default"/>
                <w:lang w:val="en-US" w:eastAsia="zh-CN"/>
              </w:rPr>
              <w:t>组织事务</w:t>
            </w:r>
          </w:p>
        </w:tc>
        <w:tc>
          <w:tcPr>
            <w:tcW w:w="91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40"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8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rPr>
                <w:rFonts w:hint="eastAsia"/>
                <w:lang w:val="en-US" w:eastAsia="zh-CN"/>
              </w:rPr>
              <w:t>4</w:t>
            </w:r>
          </w:p>
        </w:tc>
        <w:tc>
          <w:tcPr>
            <w:tcW w:w="1300" w:type="dxa"/>
            <w:vAlign w:val="center"/>
          </w:tcPr>
          <w:p>
            <w:pPr>
              <w:pStyle w:val="17"/>
              <w:jc w:val="both"/>
            </w:pPr>
            <w:r>
              <w:rPr>
                <w:rFonts w:hint="default"/>
                <w:lang w:val="en-US" w:eastAsia="zh-CN"/>
              </w:rPr>
              <w:t>2013299</w:t>
            </w:r>
          </w:p>
        </w:tc>
        <w:tc>
          <w:tcPr>
            <w:tcW w:w="3824" w:type="dxa"/>
            <w:vAlign w:val="center"/>
          </w:tcPr>
          <w:p>
            <w:pPr>
              <w:pStyle w:val="17"/>
              <w:jc w:val="both"/>
            </w:pPr>
            <w:r>
              <w:rPr>
                <w:rFonts w:hint="default"/>
                <w:lang w:val="en-US" w:eastAsia="zh-CN"/>
              </w:rPr>
              <w:t>其他组织事务支出</w:t>
            </w:r>
          </w:p>
        </w:tc>
        <w:tc>
          <w:tcPr>
            <w:tcW w:w="91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40"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8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139.25</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rPr>
                <w:rFonts w:hint="eastAsia"/>
                <w:lang w:val="en-US" w:eastAsia="zh-CN"/>
              </w:rPr>
              <w:t>5</w:t>
            </w:r>
          </w:p>
        </w:tc>
        <w:tc>
          <w:tcPr>
            <w:tcW w:w="1300" w:type="dxa"/>
            <w:vAlign w:val="center"/>
          </w:tcPr>
          <w:p>
            <w:pPr>
              <w:pStyle w:val="17"/>
              <w:jc w:val="both"/>
            </w:pPr>
            <w:r>
              <w:rPr>
                <w:rFonts w:hint="default"/>
                <w:lang w:val="en-US" w:eastAsia="zh-CN"/>
              </w:rPr>
              <w:t>208</w:t>
            </w:r>
          </w:p>
        </w:tc>
        <w:tc>
          <w:tcPr>
            <w:tcW w:w="3824" w:type="dxa"/>
            <w:vAlign w:val="center"/>
          </w:tcPr>
          <w:p>
            <w:pPr>
              <w:pStyle w:val="17"/>
              <w:jc w:val="both"/>
            </w:pPr>
            <w:r>
              <w:rPr>
                <w:rFonts w:hint="default"/>
                <w:lang w:val="en-US" w:eastAsia="zh-CN"/>
              </w:rPr>
              <w:t>社会保障和就业支出</w:t>
            </w:r>
          </w:p>
        </w:tc>
        <w:tc>
          <w:tcPr>
            <w:tcW w:w="915" w:type="dxa"/>
            <w:vAlign w:val="center"/>
          </w:tcPr>
          <w:p>
            <w:pPr>
              <w:keepNext w:val="0"/>
              <w:keepLines w:val="0"/>
              <w:widowControl/>
              <w:suppressLineNumbers w:val="0"/>
              <w:jc w:val="both"/>
              <w:textAlignment w:val="top"/>
              <w:rPr>
                <w:rFonts w:hint="default" w:eastAsia="宋体" w:asciiTheme="minorAscii" w:hAnsiTheme="minorAscii"/>
                <w:sz w:val="22"/>
                <w:szCs w:val="22"/>
                <w:lang w:val="en-US" w:eastAsia="zh-CN"/>
              </w:rPr>
            </w:pPr>
            <w:r>
              <w:rPr>
                <w:rFonts w:hint="default" w:eastAsia="宋体" w:asciiTheme="minorAscii" w:hAnsiTheme="minorAscii"/>
                <w:sz w:val="22"/>
                <w:szCs w:val="22"/>
                <w:lang w:val="en-US" w:eastAsia="zh-CN"/>
              </w:rPr>
              <w:t>14.75</w:t>
            </w:r>
          </w:p>
        </w:tc>
        <w:tc>
          <w:tcPr>
            <w:tcW w:w="840" w:type="dxa"/>
            <w:vAlign w:val="center"/>
          </w:tcPr>
          <w:p>
            <w:pPr>
              <w:keepNext w:val="0"/>
              <w:keepLines w:val="0"/>
              <w:widowControl/>
              <w:suppressLineNumbers w:val="0"/>
              <w:jc w:val="both"/>
              <w:textAlignment w:val="top"/>
              <w:rPr>
                <w:rFonts w:hint="default" w:asciiTheme="minorAscii" w:hAnsiTheme="minorAscii"/>
                <w:sz w:val="22"/>
                <w:szCs w:val="22"/>
              </w:rPr>
            </w:pPr>
            <w:r>
              <w:rPr>
                <w:rFonts w:hint="default" w:eastAsia="宋体" w:asciiTheme="minorAscii" w:hAnsiTheme="minorAscii"/>
                <w:sz w:val="22"/>
                <w:szCs w:val="22"/>
                <w:lang w:val="en-US" w:eastAsia="zh-CN"/>
              </w:rPr>
              <w:t>14.75</w:t>
            </w:r>
          </w:p>
        </w:tc>
        <w:tc>
          <w:tcPr>
            <w:tcW w:w="885" w:type="dxa"/>
            <w:vAlign w:val="center"/>
          </w:tcPr>
          <w:p>
            <w:pPr>
              <w:keepNext w:val="0"/>
              <w:keepLines w:val="0"/>
              <w:widowControl/>
              <w:suppressLineNumbers w:val="0"/>
              <w:jc w:val="both"/>
              <w:textAlignment w:val="top"/>
              <w:rPr>
                <w:rFonts w:hint="default" w:asciiTheme="minorAscii" w:hAnsiTheme="minorAscii"/>
                <w:sz w:val="22"/>
                <w:szCs w:val="22"/>
              </w:rPr>
            </w:pPr>
            <w:r>
              <w:rPr>
                <w:rFonts w:hint="default" w:eastAsia="宋体" w:asciiTheme="minorAscii" w:hAnsiTheme="minorAscii"/>
                <w:sz w:val="22"/>
                <w:szCs w:val="22"/>
                <w:lang w:val="en-US" w:eastAsia="zh-CN"/>
              </w:rPr>
              <w:t>14.75</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rPr>
                <w:rFonts w:hint="eastAsia"/>
                <w:lang w:val="en-US" w:eastAsia="zh-CN"/>
              </w:rPr>
              <w:t>6</w:t>
            </w:r>
          </w:p>
        </w:tc>
        <w:tc>
          <w:tcPr>
            <w:tcW w:w="1300" w:type="dxa"/>
            <w:vAlign w:val="center"/>
          </w:tcPr>
          <w:p>
            <w:pPr>
              <w:pStyle w:val="17"/>
              <w:jc w:val="both"/>
            </w:pPr>
            <w:r>
              <w:rPr>
                <w:rFonts w:hint="default"/>
                <w:lang w:val="en-US" w:eastAsia="zh-CN"/>
              </w:rPr>
              <w:t>20805</w:t>
            </w:r>
          </w:p>
        </w:tc>
        <w:tc>
          <w:tcPr>
            <w:tcW w:w="3824" w:type="dxa"/>
            <w:vAlign w:val="center"/>
          </w:tcPr>
          <w:p>
            <w:pPr>
              <w:pStyle w:val="17"/>
              <w:jc w:val="both"/>
            </w:pPr>
            <w:r>
              <w:rPr>
                <w:rFonts w:hint="default"/>
                <w:lang w:val="en-US" w:eastAsia="zh-CN"/>
              </w:rPr>
              <w:t>行政事业单位养老支出</w:t>
            </w:r>
          </w:p>
        </w:tc>
        <w:tc>
          <w:tcPr>
            <w:tcW w:w="915" w:type="dxa"/>
            <w:vAlign w:val="center"/>
          </w:tcPr>
          <w:p>
            <w:pPr>
              <w:keepNext w:val="0"/>
              <w:keepLines w:val="0"/>
              <w:widowControl/>
              <w:suppressLineNumbers w:val="0"/>
              <w:jc w:val="both"/>
              <w:textAlignment w:val="top"/>
              <w:rPr>
                <w:rFonts w:hint="default" w:eastAsia="宋体" w:asciiTheme="minorAscii" w:hAnsiTheme="minorAscii"/>
                <w:sz w:val="22"/>
                <w:szCs w:val="22"/>
                <w:lang w:val="en-US" w:eastAsia="zh-CN"/>
              </w:rPr>
            </w:pPr>
            <w:r>
              <w:rPr>
                <w:rFonts w:hint="default" w:eastAsia="宋体" w:asciiTheme="minorAscii" w:hAnsiTheme="minorAscii"/>
                <w:sz w:val="22"/>
                <w:szCs w:val="22"/>
                <w:lang w:val="en-US" w:eastAsia="zh-CN"/>
              </w:rPr>
              <w:t>14.32</w:t>
            </w:r>
          </w:p>
        </w:tc>
        <w:tc>
          <w:tcPr>
            <w:tcW w:w="840" w:type="dxa"/>
            <w:vAlign w:val="center"/>
          </w:tcPr>
          <w:p>
            <w:pPr>
              <w:keepNext w:val="0"/>
              <w:keepLines w:val="0"/>
              <w:widowControl/>
              <w:suppressLineNumbers w:val="0"/>
              <w:jc w:val="both"/>
              <w:textAlignment w:val="top"/>
              <w:rPr>
                <w:rFonts w:hint="default" w:asciiTheme="minorAscii" w:hAnsiTheme="minorAscii"/>
                <w:sz w:val="22"/>
                <w:szCs w:val="22"/>
                <w:lang w:val="en-US"/>
              </w:rPr>
            </w:pPr>
            <w:r>
              <w:rPr>
                <w:rFonts w:hint="default" w:eastAsia="宋体" w:cs="Calibri" w:asciiTheme="minorAscii" w:hAnsiTheme="minorAscii"/>
                <w:i w:val="0"/>
                <w:iCs w:val="0"/>
                <w:color w:val="000000"/>
                <w:kern w:val="0"/>
                <w:sz w:val="22"/>
                <w:szCs w:val="22"/>
                <w:u w:val="none"/>
                <w:lang w:val="en-US" w:eastAsia="zh-CN" w:bidi="ar"/>
              </w:rPr>
              <w:t>14.32</w:t>
            </w:r>
          </w:p>
        </w:tc>
        <w:tc>
          <w:tcPr>
            <w:tcW w:w="885" w:type="dxa"/>
            <w:vAlign w:val="center"/>
          </w:tcPr>
          <w:p>
            <w:pPr>
              <w:keepNext w:val="0"/>
              <w:keepLines w:val="0"/>
              <w:widowControl/>
              <w:suppressLineNumbers w:val="0"/>
              <w:jc w:val="both"/>
              <w:textAlignment w:val="top"/>
              <w:rPr>
                <w:rFonts w:hint="default" w:asciiTheme="minorAscii" w:hAnsiTheme="minorAscii"/>
                <w:sz w:val="22"/>
                <w:szCs w:val="22"/>
                <w:lang w:val="en-US"/>
              </w:rPr>
            </w:pPr>
            <w:r>
              <w:rPr>
                <w:rFonts w:hint="default" w:eastAsia="宋体" w:cs="Calibri" w:asciiTheme="minorAscii" w:hAnsiTheme="minorAscii"/>
                <w:i w:val="0"/>
                <w:iCs w:val="0"/>
                <w:color w:val="000000"/>
                <w:kern w:val="0"/>
                <w:sz w:val="22"/>
                <w:szCs w:val="22"/>
                <w:u w:val="none"/>
                <w:lang w:val="en-US" w:eastAsia="zh-CN" w:bidi="ar"/>
              </w:rPr>
              <w:t>14.32</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rPr>
                <w:rFonts w:hint="eastAsia"/>
                <w:lang w:val="en-US" w:eastAsia="zh-CN"/>
              </w:rPr>
              <w:t>7</w:t>
            </w:r>
          </w:p>
        </w:tc>
        <w:tc>
          <w:tcPr>
            <w:tcW w:w="1300" w:type="dxa"/>
            <w:vAlign w:val="center"/>
          </w:tcPr>
          <w:p>
            <w:pPr>
              <w:pStyle w:val="17"/>
              <w:jc w:val="both"/>
            </w:pPr>
            <w:r>
              <w:rPr>
                <w:rFonts w:hint="default"/>
                <w:lang w:val="en-US" w:eastAsia="zh-CN"/>
              </w:rPr>
              <w:t>2080501</w:t>
            </w:r>
          </w:p>
        </w:tc>
        <w:tc>
          <w:tcPr>
            <w:tcW w:w="3824" w:type="dxa"/>
            <w:vAlign w:val="center"/>
          </w:tcPr>
          <w:p>
            <w:pPr>
              <w:pStyle w:val="17"/>
              <w:jc w:val="both"/>
            </w:pPr>
            <w:r>
              <w:rPr>
                <w:rFonts w:hint="default"/>
                <w:lang w:val="en-US" w:eastAsia="zh-CN"/>
              </w:rPr>
              <w:t>行政单位离退休</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rPr>
                <w:rFonts w:hint="eastAsia"/>
                <w:lang w:val="en-US" w:eastAsia="zh-CN"/>
              </w:rPr>
              <w:t>8</w:t>
            </w:r>
          </w:p>
        </w:tc>
        <w:tc>
          <w:tcPr>
            <w:tcW w:w="1300" w:type="dxa"/>
            <w:vAlign w:val="center"/>
          </w:tcPr>
          <w:p>
            <w:pPr>
              <w:pStyle w:val="17"/>
              <w:jc w:val="both"/>
            </w:pPr>
            <w:r>
              <w:rPr>
                <w:rFonts w:hint="default"/>
                <w:lang w:val="en-US" w:eastAsia="zh-CN"/>
              </w:rPr>
              <w:t>2080505</w:t>
            </w:r>
          </w:p>
        </w:tc>
        <w:tc>
          <w:tcPr>
            <w:tcW w:w="3824" w:type="dxa"/>
            <w:vAlign w:val="center"/>
          </w:tcPr>
          <w:p>
            <w:pPr>
              <w:pStyle w:val="17"/>
              <w:jc w:val="both"/>
            </w:pPr>
            <w:r>
              <w:rPr>
                <w:rFonts w:hint="default"/>
                <w:lang w:val="en-US" w:eastAsia="zh-CN"/>
              </w:rPr>
              <w:t>机关事业单位基本养老保险缴费支出</w:t>
            </w:r>
          </w:p>
        </w:tc>
        <w:tc>
          <w:tcPr>
            <w:tcW w:w="915" w:type="dxa"/>
            <w:vAlign w:val="center"/>
          </w:tcPr>
          <w:p>
            <w:pPr>
              <w:keepNext w:val="0"/>
              <w:keepLines w:val="0"/>
              <w:widowControl/>
              <w:suppressLineNumbers w:val="0"/>
              <w:jc w:val="both"/>
              <w:textAlignment w:val="top"/>
              <w:rPr>
                <w:rFonts w:hint="default"/>
                <w:lang w:val="en-US"/>
              </w:rPr>
            </w:pPr>
            <w:r>
              <w:rPr>
                <w:rFonts w:hint="eastAsia" w:ascii="Calibri" w:hAnsi="Calibri" w:eastAsia="宋体" w:cs="Calibri"/>
                <w:i w:val="0"/>
                <w:iCs w:val="0"/>
                <w:color w:val="000000"/>
                <w:kern w:val="0"/>
                <w:sz w:val="22"/>
                <w:szCs w:val="22"/>
                <w:u w:val="none"/>
                <w:lang w:val="en-US" w:eastAsia="zh-CN" w:bidi="ar"/>
              </w:rPr>
              <w:t>13.62</w:t>
            </w:r>
          </w:p>
        </w:tc>
        <w:tc>
          <w:tcPr>
            <w:tcW w:w="840" w:type="dxa"/>
            <w:vAlign w:val="center"/>
          </w:tcPr>
          <w:p>
            <w:pPr>
              <w:keepNext w:val="0"/>
              <w:keepLines w:val="0"/>
              <w:widowControl/>
              <w:suppressLineNumbers w:val="0"/>
              <w:jc w:val="both"/>
              <w:textAlignment w:val="top"/>
              <w:rPr>
                <w:rFonts w:hint="default"/>
                <w:lang w:val="en-US"/>
              </w:rPr>
            </w:pPr>
            <w:r>
              <w:rPr>
                <w:rFonts w:hint="eastAsia" w:ascii="Calibri" w:hAnsi="Calibri" w:eastAsia="宋体" w:cs="Calibri"/>
                <w:i w:val="0"/>
                <w:iCs w:val="0"/>
                <w:color w:val="000000"/>
                <w:kern w:val="0"/>
                <w:sz w:val="22"/>
                <w:szCs w:val="22"/>
                <w:u w:val="none"/>
                <w:lang w:val="en-US" w:eastAsia="zh-CN" w:bidi="ar"/>
              </w:rPr>
              <w:t>13.62</w:t>
            </w:r>
          </w:p>
        </w:tc>
        <w:tc>
          <w:tcPr>
            <w:tcW w:w="885" w:type="dxa"/>
            <w:vAlign w:val="center"/>
          </w:tcPr>
          <w:p>
            <w:pPr>
              <w:keepNext w:val="0"/>
              <w:keepLines w:val="0"/>
              <w:widowControl/>
              <w:suppressLineNumbers w:val="0"/>
              <w:jc w:val="both"/>
              <w:textAlignment w:val="top"/>
              <w:rPr>
                <w:rFonts w:hint="default"/>
                <w:lang w:val="en-US"/>
              </w:rPr>
            </w:pPr>
            <w:r>
              <w:rPr>
                <w:rFonts w:hint="eastAsia" w:ascii="Calibri" w:hAnsi="Calibri" w:eastAsia="宋体" w:cs="Calibri"/>
                <w:i w:val="0"/>
                <w:iCs w:val="0"/>
                <w:color w:val="000000"/>
                <w:kern w:val="0"/>
                <w:sz w:val="22"/>
                <w:szCs w:val="22"/>
                <w:u w:val="none"/>
                <w:lang w:val="en-US" w:eastAsia="zh-CN" w:bidi="ar"/>
              </w:rPr>
              <w:t>13.62</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592" w:type="dxa"/>
            <w:vAlign w:val="center"/>
          </w:tcPr>
          <w:p>
            <w:pPr>
              <w:pStyle w:val="18"/>
              <w:rPr>
                <w:rFonts w:hint="eastAsia" w:eastAsia="方正书宋_GBK"/>
                <w:lang w:val="en-US" w:eastAsia="zh-CN"/>
              </w:rPr>
            </w:pPr>
            <w:r>
              <w:rPr>
                <w:rFonts w:hint="eastAsia"/>
                <w:lang w:val="en-US" w:eastAsia="zh-CN"/>
              </w:rPr>
              <w:t>9</w:t>
            </w:r>
          </w:p>
        </w:tc>
        <w:tc>
          <w:tcPr>
            <w:tcW w:w="1300" w:type="dxa"/>
            <w:vAlign w:val="center"/>
          </w:tcPr>
          <w:p>
            <w:pPr>
              <w:pStyle w:val="17"/>
              <w:jc w:val="both"/>
            </w:pPr>
            <w:r>
              <w:rPr>
                <w:rFonts w:hint="default"/>
                <w:lang w:val="en-US" w:eastAsia="zh-CN"/>
              </w:rPr>
              <w:t>20827</w:t>
            </w:r>
          </w:p>
        </w:tc>
        <w:tc>
          <w:tcPr>
            <w:tcW w:w="3824" w:type="dxa"/>
            <w:vAlign w:val="center"/>
          </w:tcPr>
          <w:p>
            <w:pPr>
              <w:pStyle w:val="17"/>
              <w:jc w:val="both"/>
            </w:pPr>
            <w:r>
              <w:rPr>
                <w:rFonts w:hint="default"/>
                <w:lang w:val="en-US" w:eastAsia="zh-CN"/>
              </w:rPr>
              <w:t>财政对其他社会保险基金的补助</w:t>
            </w:r>
          </w:p>
        </w:tc>
        <w:tc>
          <w:tcPr>
            <w:tcW w:w="915" w:type="dxa"/>
            <w:vAlign w:val="center"/>
          </w:tcPr>
          <w:p>
            <w:pPr>
              <w:keepNext w:val="0"/>
              <w:keepLines w:val="0"/>
              <w:widowControl/>
              <w:suppressLineNumbers w:val="0"/>
              <w:jc w:val="both"/>
              <w:textAlignment w:val="top"/>
              <w:rPr>
                <w:rFonts w:hint="default"/>
                <w:lang w:val="en-US"/>
              </w:rPr>
            </w:pPr>
            <w:r>
              <w:rPr>
                <w:rFonts w:hint="eastAsia" w:ascii="Calibri" w:hAnsi="Calibri" w:eastAsia="宋体" w:cs="Calibri"/>
                <w:i w:val="0"/>
                <w:iCs w:val="0"/>
                <w:color w:val="000000"/>
                <w:kern w:val="0"/>
                <w:sz w:val="22"/>
                <w:szCs w:val="22"/>
                <w:u w:val="none"/>
                <w:lang w:val="en-US" w:eastAsia="zh-CN" w:bidi="ar"/>
              </w:rPr>
              <w:t>0.43</w:t>
            </w:r>
          </w:p>
        </w:tc>
        <w:tc>
          <w:tcPr>
            <w:tcW w:w="840"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0.43</w:t>
            </w:r>
          </w:p>
        </w:tc>
        <w:tc>
          <w:tcPr>
            <w:tcW w:w="88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0.43</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t>1</w:t>
            </w:r>
            <w:r>
              <w:rPr>
                <w:rFonts w:hint="eastAsia"/>
                <w:lang w:val="en-US" w:eastAsia="zh-CN"/>
              </w:rPr>
              <w:t>0</w:t>
            </w:r>
          </w:p>
        </w:tc>
        <w:tc>
          <w:tcPr>
            <w:tcW w:w="1300" w:type="dxa"/>
            <w:vAlign w:val="center"/>
          </w:tcPr>
          <w:p>
            <w:pPr>
              <w:pStyle w:val="17"/>
              <w:jc w:val="both"/>
            </w:pPr>
            <w:r>
              <w:rPr>
                <w:rFonts w:hint="default"/>
                <w:lang w:val="en-US" w:eastAsia="zh-CN"/>
              </w:rPr>
              <w:t>2082702</w:t>
            </w:r>
          </w:p>
        </w:tc>
        <w:tc>
          <w:tcPr>
            <w:tcW w:w="3824" w:type="dxa"/>
            <w:vAlign w:val="center"/>
          </w:tcPr>
          <w:p>
            <w:pPr>
              <w:pStyle w:val="17"/>
              <w:jc w:val="both"/>
            </w:pPr>
            <w:r>
              <w:rPr>
                <w:rFonts w:hint="default"/>
                <w:lang w:val="en-US" w:eastAsia="zh-CN"/>
              </w:rPr>
              <w:t>财政对工伤保险基金的补助</w:t>
            </w:r>
          </w:p>
        </w:tc>
        <w:tc>
          <w:tcPr>
            <w:tcW w:w="91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0.43</w:t>
            </w:r>
          </w:p>
        </w:tc>
        <w:tc>
          <w:tcPr>
            <w:tcW w:w="840"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0.43</w:t>
            </w:r>
          </w:p>
        </w:tc>
        <w:tc>
          <w:tcPr>
            <w:tcW w:w="885" w:type="dxa"/>
            <w:vAlign w:val="center"/>
          </w:tcPr>
          <w:p>
            <w:pPr>
              <w:keepNext w:val="0"/>
              <w:keepLines w:val="0"/>
              <w:widowControl/>
              <w:suppressLineNumbers w:val="0"/>
              <w:jc w:val="both"/>
              <w:textAlignment w:val="top"/>
            </w:pPr>
            <w:r>
              <w:rPr>
                <w:rFonts w:hint="eastAsia" w:ascii="Calibri" w:hAnsi="Calibri" w:eastAsia="宋体" w:cs="Calibri"/>
                <w:i w:val="0"/>
                <w:iCs w:val="0"/>
                <w:color w:val="000000"/>
                <w:kern w:val="0"/>
                <w:sz w:val="22"/>
                <w:szCs w:val="22"/>
                <w:u w:val="none"/>
                <w:lang w:val="en-US" w:eastAsia="zh-CN" w:bidi="ar"/>
              </w:rPr>
              <w:t>0.43</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default" w:eastAsia="方正书宋_GBK"/>
                <w:lang w:val="en-US" w:eastAsia="zh-CN"/>
              </w:rPr>
            </w:pPr>
            <w:r>
              <w:rPr>
                <w:rFonts w:hint="eastAsia"/>
                <w:lang w:val="en-US" w:eastAsia="zh-CN"/>
              </w:rPr>
              <w:t>11</w:t>
            </w:r>
          </w:p>
        </w:tc>
        <w:tc>
          <w:tcPr>
            <w:tcW w:w="1300"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210</w:t>
            </w:r>
          </w:p>
        </w:tc>
        <w:tc>
          <w:tcPr>
            <w:tcW w:w="3824" w:type="dxa"/>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卫生健康支出</w:t>
            </w:r>
          </w:p>
        </w:tc>
        <w:tc>
          <w:tcPr>
            <w:tcW w:w="91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84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88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t>1</w:t>
            </w:r>
            <w:r>
              <w:rPr>
                <w:rFonts w:hint="eastAsia"/>
                <w:lang w:val="en-US" w:eastAsia="zh-CN"/>
              </w:rPr>
              <w:t>2</w:t>
            </w:r>
          </w:p>
        </w:tc>
        <w:tc>
          <w:tcPr>
            <w:tcW w:w="1300"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21012</w:t>
            </w:r>
          </w:p>
        </w:tc>
        <w:tc>
          <w:tcPr>
            <w:tcW w:w="3824"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财政对基本医疗保险基金的补助</w:t>
            </w:r>
          </w:p>
        </w:tc>
        <w:tc>
          <w:tcPr>
            <w:tcW w:w="91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6.13</w:t>
            </w:r>
          </w:p>
        </w:tc>
        <w:tc>
          <w:tcPr>
            <w:tcW w:w="84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6.13</w:t>
            </w:r>
          </w:p>
        </w:tc>
        <w:tc>
          <w:tcPr>
            <w:tcW w:w="88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6.13</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t>1</w:t>
            </w:r>
            <w:r>
              <w:rPr>
                <w:rFonts w:hint="eastAsia"/>
                <w:lang w:val="en-US" w:eastAsia="zh-CN"/>
              </w:rPr>
              <w:t>3</w:t>
            </w:r>
          </w:p>
        </w:tc>
        <w:tc>
          <w:tcPr>
            <w:tcW w:w="1300"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2101201</w:t>
            </w:r>
          </w:p>
        </w:tc>
        <w:tc>
          <w:tcPr>
            <w:tcW w:w="3824"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财政对职工基本医疗保险基金的补助</w:t>
            </w:r>
          </w:p>
        </w:tc>
        <w:tc>
          <w:tcPr>
            <w:tcW w:w="91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6.13</w:t>
            </w:r>
          </w:p>
        </w:tc>
        <w:tc>
          <w:tcPr>
            <w:tcW w:w="84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6.13</w:t>
            </w:r>
          </w:p>
        </w:tc>
        <w:tc>
          <w:tcPr>
            <w:tcW w:w="88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6.13</w:t>
            </w:r>
          </w:p>
        </w:tc>
        <w:tc>
          <w:tcPr>
            <w:tcW w:w="870" w:type="dxa"/>
            <w:vAlign w:val="center"/>
          </w:tcPr>
          <w:p>
            <w:pPr>
              <w:pStyle w:val="16"/>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t>1</w:t>
            </w:r>
            <w:r>
              <w:rPr>
                <w:rFonts w:hint="eastAsia"/>
                <w:lang w:val="en-US" w:eastAsia="zh-CN"/>
              </w:rPr>
              <w:t>4</w:t>
            </w:r>
          </w:p>
        </w:tc>
        <w:tc>
          <w:tcPr>
            <w:tcW w:w="1300" w:type="dxa"/>
            <w:vAlign w:val="center"/>
          </w:tcPr>
          <w:p>
            <w:pPr>
              <w:pStyle w:val="18"/>
              <w:ind w:firstLine="0" w:firstLineChars="0"/>
              <w:jc w:val="both"/>
              <w:rPr>
                <w:rFonts w:hint="default" w:ascii="方正书宋_GBK" w:hAnsi="方正书宋_GBK" w:eastAsia="方正书宋_GBK" w:cs="方正书宋_GBK"/>
                <w:sz w:val="21"/>
                <w:szCs w:val="24"/>
                <w:lang w:val="en-US" w:eastAsia="zh-CN" w:bidi="ar-SA"/>
              </w:rPr>
            </w:pPr>
            <w:r>
              <w:rPr>
                <w:rFonts w:hint="default"/>
                <w:lang w:val="en-US" w:eastAsia="zh-CN"/>
              </w:rPr>
              <w:t>221</w:t>
            </w:r>
          </w:p>
        </w:tc>
        <w:tc>
          <w:tcPr>
            <w:tcW w:w="3824" w:type="dxa"/>
            <w:vAlign w:val="center"/>
          </w:tcPr>
          <w:p>
            <w:pPr>
              <w:pStyle w:val="18"/>
              <w:ind w:firstLine="0" w:firstLineChars="0"/>
              <w:jc w:val="both"/>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91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4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8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70" w:type="dxa"/>
            <w:vAlign w:val="center"/>
          </w:tcPr>
          <w:p>
            <w:pPr>
              <w:keepNext w:val="0"/>
              <w:keepLines w:val="0"/>
              <w:widowControl/>
              <w:suppressLineNumbers w:val="0"/>
              <w:jc w:val="both"/>
              <w:textAlignment w:val="top"/>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t>1</w:t>
            </w:r>
            <w:r>
              <w:rPr>
                <w:rFonts w:hint="eastAsia"/>
                <w:lang w:val="en-US" w:eastAsia="zh-CN"/>
              </w:rPr>
              <w:t>5</w:t>
            </w:r>
          </w:p>
        </w:tc>
        <w:tc>
          <w:tcPr>
            <w:tcW w:w="1300"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22102</w:t>
            </w:r>
          </w:p>
        </w:tc>
        <w:tc>
          <w:tcPr>
            <w:tcW w:w="3824"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住房改革支出</w:t>
            </w:r>
          </w:p>
        </w:tc>
        <w:tc>
          <w:tcPr>
            <w:tcW w:w="91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4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8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70" w:type="dxa"/>
            <w:vAlign w:val="center"/>
          </w:tcPr>
          <w:p>
            <w:pPr>
              <w:keepNext w:val="0"/>
              <w:keepLines w:val="0"/>
              <w:widowControl/>
              <w:suppressLineNumbers w:val="0"/>
              <w:jc w:val="left"/>
              <w:textAlignment w:val="center"/>
              <w:rPr>
                <w:rFonts w:hint="default" w:ascii="方正书宋_GBK" w:hAnsi="方正书宋_GBK" w:eastAsia="方正书宋_GBK" w:cs="方正书宋_GBK"/>
                <w:sz w:val="21"/>
                <w:szCs w:val="24"/>
                <w:lang w:val="en-US" w:eastAsia="zh-CN" w:bidi="ar-SA"/>
              </w:rPr>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eastAsia" w:eastAsia="方正书宋_GBK"/>
                <w:lang w:val="en-US" w:eastAsia="zh-CN"/>
              </w:rPr>
            </w:pPr>
            <w:r>
              <w:t>1</w:t>
            </w:r>
            <w:r>
              <w:rPr>
                <w:rFonts w:hint="eastAsia"/>
                <w:lang w:val="en-US" w:eastAsia="zh-CN"/>
              </w:rPr>
              <w:t>6</w:t>
            </w:r>
          </w:p>
        </w:tc>
        <w:tc>
          <w:tcPr>
            <w:tcW w:w="1300" w:type="dxa"/>
            <w:vAlign w:val="center"/>
          </w:tcPr>
          <w:p>
            <w:pPr>
              <w:pStyle w:val="18"/>
              <w:jc w:val="both"/>
            </w:pPr>
            <w:r>
              <w:rPr>
                <w:rFonts w:hint="default"/>
                <w:lang w:val="en-US" w:eastAsia="zh-CN"/>
              </w:rPr>
              <w:t>2210201</w:t>
            </w:r>
          </w:p>
        </w:tc>
        <w:tc>
          <w:tcPr>
            <w:tcW w:w="3824" w:type="dxa"/>
            <w:vAlign w:val="center"/>
          </w:tcPr>
          <w:p>
            <w:pPr>
              <w:pStyle w:val="18"/>
              <w:jc w:val="both"/>
            </w:pPr>
            <w:r>
              <w:rPr>
                <w:rFonts w:hint="default"/>
                <w:lang w:val="en-US" w:eastAsia="zh-CN"/>
              </w:rPr>
              <w:t>住房公积金</w:t>
            </w:r>
          </w:p>
        </w:tc>
        <w:tc>
          <w:tcPr>
            <w:tcW w:w="915"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4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85"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732" w:type="dxa"/>
            <w:vAlign w:val="center"/>
          </w:tcPr>
          <w:p>
            <w:pPr>
              <w:pStyle w:val="16"/>
            </w:pPr>
          </w:p>
        </w:tc>
        <w:tc>
          <w:tcPr>
            <w:tcW w:w="1017" w:type="dxa"/>
            <w:vAlign w:val="center"/>
          </w:tcPr>
          <w:p>
            <w:pPr>
              <w:pStyle w:val="16"/>
            </w:pPr>
          </w:p>
        </w:tc>
        <w:tc>
          <w:tcPr>
            <w:tcW w:w="1117" w:type="dxa"/>
            <w:vAlign w:val="center"/>
          </w:tcPr>
          <w:p>
            <w:pPr>
              <w:pStyle w:val="16"/>
            </w:pPr>
          </w:p>
        </w:tc>
        <w:tc>
          <w:tcPr>
            <w:tcW w:w="1104" w:type="dxa"/>
            <w:vAlign w:val="center"/>
          </w:tcPr>
          <w:p>
            <w:pPr>
              <w:pStyle w:val="16"/>
            </w:pPr>
          </w:p>
        </w:tc>
        <w:tc>
          <w:tcPr>
            <w:tcW w:w="910" w:type="dxa"/>
            <w:vAlign w:val="center"/>
          </w:tcPr>
          <w:p>
            <w:pPr>
              <w:pStyle w:val="16"/>
            </w:pPr>
          </w:p>
        </w:tc>
        <w:tc>
          <w:tcPr>
            <w:tcW w:w="910"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462"/>
        <w:gridCol w:w="4000"/>
        <w:gridCol w:w="858"/>
        <w:gridCol w:w="1264"/>
        <w:gridCol w:w="1181"/>
        <w:gridCol w:w="1181"/>
        <w:gridCol w:w="2002"/>
        <w:gridCol w:w="23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2122"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6720"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5"/>
            </w:pPr>
            <w:r>
              <w:t>序号</w:t>
            </w:r>
          </w:p>
        </w:tc>
        <w:tc>
          <w:tcPr>
            <w:tcW w:w="5462" w:type="dxa"/>
            <w:gridSpan w:val="2"/>
            <w:vAlign w:val="center"/>
          </w:tcPr>
          <w:p>
            <w:pPr>
              <w:pStyle w:val="15"/>
            </w:pPr>
            <w:r>
              <w:t>功能分类科目</w:t>
            </w:r>
          </w:p>
        </w:tc>
        <w:tc>
          <w:tcPr>
            <w:tcW w:w="858" w:type="dxa"/>
            <w:vMerge w:val="restart"/>
            <w:vAlign w:val="center"/>
          </w:tcPr>
          <w:p>
            <w:pPr>
              <w:pStyle w:val="15"/>
            </w:pPr>
            <w:r>
              <w:t>合计</w:t>
            </w:r>
          </w:p>
        </w:tc>
        <w:tc>
          <w:tcPr>
            <w:tcW w:w="1264" w:type="dxa"/>
            <w:vMerge w:val="restart"/>
            <w:vAlign w:val="center"/>
          </w:tcPr>
          <w:p>
            <w:pPr>
              <w:pStyle w:val="15"/>
            </w:pPr>
            <w:r>
              <w:t>基本支出</w:t>
            </w:r>
          </w:p>
        </w:tc>
        <w:tc>
          <w:tcPr>
            <w:tcW w:w="1181" w:type="dxa"/>
            <w:vMerge w:val="restart"/>
            <w:vAlign w:val="center"/>
          </w:tcPr>
          <w:p>
            <w:pPr>
              <w:pStyle w:val="15"/>
            </w:pPr>
            <w:r>
              <w:t>项目支出</w:t>
            </w:r>
          </w:p>
        </w:tc>
        <w:tc>
          <w:tcPr>
            <w:tcW w:w="1181" w:type="dxa"/>
            <w:vMerge w:val="restart"/>
            <w:vAlign w:val="center"/>
          </w:tcPr>
          <w:p>
            <w:pPr>
              <w:pStyle w:val="15"/>
            </w:pPr>
            <w:r>
              <w:t>经营支出</w:t>
            </w:r>
          </w:p>
        </w:tc>
        <w:tc>
          <w:tcPr>
            <w:tcW w:w="2002" w:type="dxa"/>
            <w:vMerge w:val="restart"/>
            <w:vAlign w:val="center"/>
          </w:tcPr>
          <w:p>
            <w:pPr>
              <w:pStyle w:val="15"/>
            </w:pPr>
            <w:r>
              <w:t>上解上级     支出</w:t>
            </w:r>
          </w:p>
        </w:tc>
        <w:tc>
          <w:tcPr>
            <w:tcW w:w="2356"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462" w:type="dxa"/>
            <w:vAlign w:val="center"/>
          </w:tcPr>
          <w:p>
            <w:pPr>
              <w:pStyle w:val="15"/>
            </w:pPr>
            <w:r>
              <w:t>科目编码</w:t>
            </w:r>
          </w:p>
        </w:tc>
        <w:tc>
          <w:tcPr>
            <w:tcW w:w="4000" w:type="dxa"/>
            <w:vAlign w:val="center"/>
          </w:tcPr>
          <w:p>
            <w:pPr>
              <w:pStyle w:val="15"/>
            </w:pPr>
            <w:r>
              <w:t>科目名称</w:t>
            </w:r>
          </w:p>
        </w:tc>
        <w:tc>
          <w:tcPr>
            <w:tcW w:w="858" w:type="dxa"/>
            <w:vMerge w:val="continue"/>
          </w:tcPr>
          <w:p/>
        </w:tc>
        <w:tc>
          <w:tcPr>
            <w:tcW w:w="1264" w:type="dxa"/>
            <w:vMerge w:val="continue"/>
          </w:tcPr>
          <w:p/>
        </w:tc>
        <w:tc>
          <w:tcPr>
            <w:tcW w:w="1181" w:type="dxa"/>
            <w:vMerge w:val="continue"/>
          </w:tcPr>
          <w:p/>
        </w:tc>
        <w:tc>
          <w:tcPr>
            <w:tcW w:w="1181" w:type="dxa"/>
            <w:vMerge w:val="continue"/>
          </w:tcPr>
          <w:p/>
        </w:tc>
        <w:tc>
          <w:tcPr>
            <w:tcW w:w="2002" w:type="dxa"/>
            <w:vMerge w:val="continue"/>
          </w:tcPr>
          <w:p/>
        </w:tc>
        <w:tc>
          <w:tcPr>
            <w:tcW w:w="23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5"/>
            </w:pPr>
            <w:r>
              <w:t>栏次</w:t>
            </w:r>
          </w:p>
        </w:tc>
        <w:tc>
          <w:tcPr>
            <w:tcW w:w="1462" w:type="dxa"/>
            <w:vAlign w:val="center"/>
          </w:tcPr>
          <w:p>
            <w:pPr>
              <w:pStyle w:val="15"/>
            </w:pPr>
            <w:r>
              <w:t>1</w:t>
            </w:r>
          </w:p>
        </w:tc>
        <w:tc>
          <w:tcPr>
            <w:tcW w:w="4000" w:type="dxa"/>
            <w:vAlign w:val="center"/>
          </w:tcPr>
          <w:p>
            <w:pPr>
              <w:pStyle w:val="15"/>
            </w:pPr>
            <w:r>
              <w:t>2</w:t>
            </w:r>
          </w:p>
        </w:tc>
        <w:tc>
          <w:tcPr>
            <w:tcW w:w="858" w:type="dxa"/>
            <w:vAlign w:val="center"/>
          </w:tcPr>
          <w:p>
            <w:pPr>
              <w:pStyle w:val="15"/>
            </w:pPr>
            <w:r>
              <w:t>3</w:t>
            </w:r>
          </w:p>
        </w:tc>
        <w:tc>
          <w:tcPr>
            <w:tcW w:w="1264" w:type="dxa"/>
            <w:vAlign w:val="center"/>
          </w:tcPr>
          <w:p>
            <w:pPr>
              <w:pStyle w:val="15"/>
            </w:pPr>
            <w:r>
              <w:t>4</w:t>
            </w:r>
          </w:p>
        </w:tc>
        <w:tc>
          <w:tcPr>
            <w:tcW w:w="1181" w:type="dxa"/>
            <w:vAlign w:val="center"/>
          </w:tcPr>
          <w:p>
            <w:pPr>
              <w:pStyle w:val="15"/>
            </w:pPr>
            <w:r>
              <w:t>5</w:t>
            </w:r>
          </w:p>
        </w:tc>
        <w:tc>
          <w:tcPr>
            <w:tcW w:w="1181" w:type="dxa"/>
            <w:vAlign w:val="center"/>
          </w:tcPr>
          <w:p>
            <w:pPr>
              <w:pStyle w:val="15"/>
            </w:pPr>
            <w:r>
              <w:t>6</w:t>
            </w:r>
          </w:p>
        </w:tc>
        <w:tc>
          <w:tcPr>
            <w:tcW w:w="2002" w:type="dxa"/>
            <w:vAlign w:val="center"/>
          </w:tcPr>
          <w:p>
            <w:pPr>
              <w:pStyle w:val="15"/>
            </w:pPr>
            <w:r>
              <w:t>7</w:t>
            </w:r>
          </w:p>
        </w:tc>
        <w:tc>
          <w:tcPr>
            <w:tcW w:w="2356"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w:t>
            </w:r>
          </w:p>
        </w:tc>
        <w:tc>
          <w:tcPr>
            <w:tcW w:w="1462" w:type="dxa"/>
            <w:vAlign w:val="center"/>
          </w:tcPr>
          <w:p>
            <w:pPr>
              <w:pStyle w:val="21"/>
            </w:pPr>
          </w:p>
        </w:tc>
        <w:tc>
          <w:tcPr>
            <w:tcW w:w="4000" w:type="dxa"/>
            <w:vAlign w:val="center"/>
          </w:tcPr>
          <w:p>
            <w:pPr>
              <w:pStyle w:val="19"/>
            </w:pPr>
            <w:r>
              <w:t>合计</w:t>
            </w:r>
          </w:p>
        </w:tc>
        <w:tc>
          <w:tcPr>
            <w:tcW w:w="858"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170.34</w:t>
            </w:r>
          </w:p>
        </w:tc>
        <w:tc>
          <w:tcPr>
            <w:tcW w:w="1264"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133.22</w:t>
            </w:r>
          </w:p>
        </w:tc>
        <w:tc>
          <w:tcPr>
            <w:tcW w:w="1181"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keepNext w:val="0"/>
              <w:keepLines w:val="0"/>
              <w:widowControl/>
              <w:suppressLineNumbers w:val="0"/>
              <w:jc w:val="both"/>
              <w:textAlignment w:val="top"/>
            </w:pPr>
          </w:p>
        </w:tc>
        <w:tc>
          <w:tcPr>
            <w:tcW w:w="2002" w:type="dxa"/>
            <w:vAlign w:val="center"/>
          </w:tcPr>
          <w:p>
            <w:pPr>
              <w:pStyle w:val="20"/>
            </w:pPr>
          </w:p>
        </w:tc>
        <w:tc>
          <w:tcPr>
            <w:tcW w:w="235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2</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一般公共服务支出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3</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20132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组织事务</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4</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2013299</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其他组织事务支出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5</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社会保障和就业支出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6</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行政事业单位养老支出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712" w:type="dxa"/>
            <w:vAlign w:val="center"/>
          </w:tcPr>
          <w:p>
            <w:pPr>
              <w:pStyle w:val="18"/>
            </w:pPr>
            <w:r>
              <w:t>7</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行政单位离退休</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8</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2080505</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机关事业单位基本养老保险缴费支出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9</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20827</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财政对其他社会保险基金的补助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10</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2082702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财政对工伤保险基金的补助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11</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卫生健康支出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12</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21012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财政对基本医疗保险基金的补助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13</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2101201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财政对职工基本医疗保险基金的补助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14</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住房保障支出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15</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22102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住房改革支出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16</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2210201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住房公积金</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keepNext w:val="0"/>
              <w:keepLines w:val="0"/>
              <w:widowControl/>
              <w:suppressLineNumbers w:val="0"/>
              <w:jc w:val="both"/>
              <w:textAlignment w:val="top"/>
            </w:pPr>
          </w:p>
        </w:tc>
        <w:tc>
          <w:tcPr>
            <w:tcW w:w="2002" w:type="dxa"/>
            <w:vAlign w:val="center"/>
          </w:tcPr>
          <w:p>
            <w:pPr>
              <w:pStyle w:val="16"/>
            </w:pPr>
          </w:p>
        </w:tc>
        <w:tc>
          <w:tcPr>
            <w:tcW w:w="2356"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2602"/>
        <w:gridCol w:w="915"/>
        <w:gridCol w:w="3945"/>
        <w:gridCol w:w="1005"/>
        <w:gridCol w:w="1800"/>
        <w:gridCol w:w="2190"/>
        <w:gridCol w:w="19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11"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 中共</w:t>
            </w:r>
            <w:r>
              <w:t>宁晋县</w:t>
            </w:r>
            <w:r>
              <w:rPr>
                <w:rFonts w:hint="eastAsia"/>
                <w:lang w:eastAsia="zh-CN"/>
              </w:rPr>
              <w:t>委机构编制委员会办公室</w:t>
            </w:r>
          </w:p>
        </w:tc>
        <w:tc>
          <w:tcPr>
            <w:tcW w:w="3945"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6960"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5"/>
            </w:pPr>
            <w:r>
              <w:t>序号</w:t>
            </w:r>
          </w:p>
        </w:tc>
        <w:tc>
          <w:tcPr>
            <w:tcW w:w="3517" w:type="dxa"/>
            <w:gridSpan w:val="2"/>
            <w:vAlign w:val="center"/>
          </w:tcPr>
          <w:p>
            <w:pPr>
              <w:pStyle w:val="15"/>
            </w:pPr>
            <w:r>
              <w:t>收入</w:t>
            </w:r>
          </w:p>
        </w:tc>
        <w:tc>
          <w:tcPr>
            <w:tcW w:w="10905"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continue"/>
          </w:tcPr>
          <w:p/>
        </w:tc>
        <w:tc>
          <w:tcPr>
            <w:tcW w:w="2602" w:type="dxa"/>
            <w:vAlign w:val="center"/>
          </w:tcPr>
          <w:p>
            <w:pPr>
              <w:pStyle w:val="15"/>
            </w:pPr>
            <w:r>
              <w:t>项  目</w:t>
            </w:r>
          </w:p>
        </w:tc>
        <w:tc>
          <w:tcPr>
            <w:tcW w:w="915" w:type="dxa"/>
            <w:vAlign w:val="center"/>
          </w:tcPr>
          <w:p>
            <w:pPr>
              <w:pStyle w:val="15"/>
            </w:pPr>
            <w:r>
              <w:t>金额</w:t>
            </w:r>
          </w:p>
        </w:tc>
        <w:tc>
          <w:tcPr>
            <w:tcW w:w="3945" w:type="dxa"/>
            <w:vAlign w:val="center"/>
          </w:tcPr>
          <w:p>
            <w:pPr>
              <w:pStyle w:val="15"/>
            </w:pPr>
            <w:r>
              <w:t>项  目</w:t>
            </w:r>
          </w:p>
        </w:tc>
        <w:tc>
          <w:tcPr>
            <w:tcW w:w="1005" w:type="dxa"/>
            <w:vAlign w:val="center"/>
          </w:tcPr>
          <w:p>
            <w:pPr>
              <w:pStyle w:val="15"/>
            </w:pPr>
            <w:r>
              <w:t>合计</w:t>
            </w:r>
          </w:p>
        </w:tc>
        <w:tc>
          <w:tcPr>
            <w:tcW w:w="1800" w:type="dxa"/>
            <w:vAlign w:val="center"/>
          </w:tcPr>
          <w:p>
            <w:pPr>
              <w:pStyle w:val="15"/>
            </w:pPr>
            <w:r>
              <w:t>一般公共预算财政拨款</w:t>
            </w:r>
          </w:p>
        </w:tc>
        <w:tc>
          <w:tcPr>
            <w:tcW w:w="2190" w:type="dxa"/>
            <w:vAlign w:val="center"/>
          </w:tcPr>
          <w:p>
            <w:pPr>
              <w:pStyle w:val="15"/>
            </w:pPr>
            <w:r>
              <w:t>政府性基金预算财政    拨款</w:t>
            </w:r>
          </w:p>
        </w:tc>
        <w:tc>
          <w:tcPr>
            <w:tcW w:w="1965"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Align w:val="center"/>
          </w:tcPr>
          <w:p>
            <w:pPr>
              <w:pStyle w:val="15"/>
            </w:pPr>
            <w:r>
              <w:t>栏次</w:t>
            </w:r>
          </w:p>
        </w:tc>
        <w:tc>
          <w:tcPr>
            <w:tcW w:w="2602" w:type="dxa"/>
            <w:vAlign w:val="center"/>
          </w:tcPr>
          <w:p>
            <w:pPr>
              <w:pStyle w:val="15"/>
            </w:pPr>
            <w:r>
              <w:t>1</w:t>
            </w:r>
          </w:p>
        </w:tc>
        <w:tc>
          <w:tcPr>
            <w:tcW w:w="915" w:type="dxa"/>
            <w:vAlign w:val="center"/>
          </w:tcPr>
          <w:p>
            <w:pPr>
              <w:pStyle w:val="15"/>
            </w:pPr>
            <w:r>
              <w:t>2</w:t>
            </w:r>
          </w:p>
        </w:tc>
        <w:tc>
          <w:tcPr>
            <w:tcW w:w="3945" w:type="dxa"/>
            <w:vAlign w:val="center"/>
          </w:tcPr>
          <w:p>
            <w:pPr>
              <w:pStyle w:val="15"/>
            </w:pPr>
            <w:r>
              <w:t>3</w:t>
            </w:r>
          </w:p>
        </w:tc>
        <w:tc>
          <w:tcPr>
            <w:tcW w:w="1005" w:type="dxa"/>
            <w:vAlign w:val="center"/>
          </w:tcPr>
          <w:p>
            <w:pPr>
              <w:pStyle w:val="15"/>
            </w:pPr>
            <w:r>
              <w:t>4</w:t>
            </w:r>
          </w:p>
        </w:tc>
        <w:tc>
          <w:tcPr>
            <w:tcW w:w="1800" w:type="dxa"/>
            <w:vAlign w:val="center"/>
          </w:tcPr>
          <w:p>
            <w:pPr>
              <w:pStyle w:val="15"/>
            </w:pPr>
            <w:r>
              <w:t>5</w:t>
            </w:r>
          </w:p>
        </w:tc>
        <w:tc>
          <w:tcPr>
            <w:tcW w:w="2190" w:type="dxa"/>
            <w:vAlign w:val="center"/>
          </w:tcPr>
          <w:p>
            <w:pPr>
              <w:pStyle w:val="15"/>
            </w:pPr>
            <w:r>
              <w:t>6</w:t>
            </w:r>
          </w:p>
        </w:tc>
        <w:tc>
          <w:tcPr>
            <w:tcW w:w="1965"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w:t>
            </w:r>
          </w:p>
        </w:tc>
        <w:tc>
          <w:tcPr>
            <w:tcW w:w="2602" w:type="dxa"/>
            <w:vAlign w:val="center"/>
          </w:tcPr>
          <w:p>
            <w:pPr>
              <w:pStyle w:val="17"/>
            </w:pPr>
            <w:r>
              <w:t>一、一般公共预算拨款</w:t>
            </w:r>
          </w:p>
        </w:tc>
        <w:tc>
          <w:tcPr>
            <w:tcW w:w="915" w:type="dxa"/>
            <w:vAlign w:val="center"/>
          </w:tcPr>
          <w:p>
            <w:pPr>
              <w:pStyle w:val="16"/>
              <w:jc w:val="both"/>
              <w:rPr>
                <w:rFonts w:hint="default" w:eastAsia="方正书宋_GBK"/>
                <w:lang w:val="en-US" w:eastAsia="zh-CN"/>
              </w:rPr>
            </w:pPr>
            <w:r>
              <w:rPr>
                <w:rFonts w:hint="eastAsia"/>
                <w:lang w:val="en-US" w:eastAsia="zh-CN"/>
              </w:rPr>
              <w:t>170.34</w:t>
            </w:r>
          </w:p>
        </w:tc>
        <w:tc>
          <w:tcPr>
            <w:tcW w:w="3945" w:type="dxa"/>
            <w:vAlign w:val="center"/>
          </w:tcPr>
          <w:p>
            <w:pPr>
              <w:pStyle w:val="17"/>
            </w:pPr>
            <w:r>
              <w:t>一、一般公共服务支出</w:t>
            </w:r>
          </w:p>
        </w:tc>
        <w:tc>
          <w:tcPr>
            <w:tcW w:w="1005" w:type="dxa"/>
            <w:vAlign w:val="center"/>
          </w:tcPr>
          <w:p>
            <w:pPr>
              <w:pStyle w:val="16"/>
              <w:jc w:val="both"/>
              <w:rPr>
                <w:rFonts w:hint="default" w:eastAsia="方正书宋_GBK"/>
                <w:lang w:val="en-US" w:eastAsia="zh-CN"/>
              </w:rPr>
            </w:pPr>
            <w:r>
              <w:rPr>
                <w:rFonts w:hint="eastAsia"/>
                <w:lang w:val="en-US" w:eastAsia="zh-CN"/>
              </w:rPr>
              <w:t>139.25</w:t>
            </w:r>
          </w:p>
        </w:tc>
        <w:tc>
          <w:tcPr>
            <w:tcW w:w="1800" w:type="dxa"/>
            <w:vAlign w:val="center"/>
          </w:tcPr>
          <w:p>
            <w:pPr>
              <w:pStyle w:val="16"/>
              <w:jc w:val="both"/>
              <w:rPr>
                <w:rFonts w:hint="default" w:eastAsia="方正书宋_GBK"/>
                <w:lang w:val="en-US" w:eastAsia="zh-CN"/>
              </w:rPr>
            </w:pPr>
            <w:r>
              <w:rPr>
                <w:rFonts w:hint="eastAsia"/>
                <w:lang w:val="en-US" w:eastAsia="zh-CN"/>
              </w:rPr>
              <w:t>139.25</w:t>
            </w:r>
          </w:p>
        </w:tc>
        <w:tc>
          <w:tcPr>
            <w:tcW w:w="2190" w:type="dxa"/>
            <w:vAlign w:val="center"/>
          </w:tcPr>
          <w:p>
            <w:pPr>
              <w:pStyle w:val="16"/>
              <w:jc w:val="both"/>
              <w:rPr>
                <w:rFonts w:hint="default" w:eastAsia="方正书宋_GBK"/>
                <w:lang w:val="en-US" w:eastAsia="zh-CN"/>
              </w:rPr>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w:t>
            </w:r>
          </w:p>
        </w:tc>
        <w:tc>
          <w:tcPr>
            <w:tcW w:w="2602" w:type="dxa"/>
            <w:vAlign w:val="center"/>
          </w:tcPr>
          <w:p>
            <w:pPr>
              <w:pStyle w:val="17"/>
            </w:pPr>
            <w:r>
              <w:t>二、政府性基金预算拨款</w:t>
            </w:r>
          </w:p>
        </w:tc>
        <w:tc>
          <w:tcPr>
            <w:tcW w:w="915" w:type="dxa"/>
            <w:vAlign w:val="center"/>
          </w:tcPr>
          <w:p>
            <w:pPr>
              <w:pStyle w:val="16"/>
              <w:jc w:val="both"/>
            </w:pPr>
          </w:p>
        </w:tc>
        <w:tc>
          <w:tcPr>
            <w:tcW w:w="3945" w:type="dxa"/>
            <w:vAlign w:val="center"/>
          </w:tcPr>
          <w:p>
            <w:pPr>
              <w:pStyle w:val="17"/>
            </w:pPr>
            <w:r>
              <w:t>二、外交支出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w:t>
            </w:r>
          </w:p>
        </w:tc>
        <w:tc>
          <w:tcPr>
            <w:tcW w:w="2602" w:type="dxa"/>
            <w:vAlign w:val="center"/>
          </w:tcPr>
          <w:p>
            <w:pPr>
              <w:pStyle w:val="17"/>
            </w:pPr>
            <w:r>
              <w:t>三、国有资本经营预算拨款</w:t>
            </w:r>
          </w:p>
        </w:tc>
        <w:tc>
          <w:tcPr>
            <w:tcW w:w="915" w:type="dxa"/>
            <w:vAlign w:val="center"/>
          </w:tcPr>
          <w:p>
            <w:pPr>
              <w:pStyle w:val="16"/>
            </w:pPr>
          </w:p>
        </w:tc>
        <w:tc>
          <w:tcPr>
            <w:tcW w:w="3945" w:type="dxa"/>
            <w:vAlign w:val="center"/>
          </w:tcPr>
          <w:p>
            <w:pPr>
              <w:pStyle w:val="17"/>
            </w:pPr>
            <w:r>
              <w:t>三、国防支出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4</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四、公共安全支出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5</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五、教育支出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6</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六、科学技术支出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7</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七、文化旅游体育与传媒支出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8</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八、社会保障和就业支出</w:t>
            </w:r>
          </w:p>
        </w:tc>
        <w:tc>
          <w:tcPr>
            <w:tcW w:w="1005" w:type="dxa"/>
            <w:vAlign w:val="center"/>
          </w:tcPr>
          <w:p>
            <w:pPr>
              <w:pStyle w:val="16"/>
              <w:jc w:val="both"/>
              <w:rPr>
                <w:rFonts w:hint="default" w:eastAsia="方正书宋_GBK"/>
                <w:lang w:val="en-US" w:eastAsia="zh-CN"/>
              </w:rPr>
            </w:pPr>
            <w:r>
              <w:rPr>
                <w:rFonts w:hint="eastAsia"/>
                <w:lang w:val="en-US" w:eastAsia="zh-CN"/>
              </w:rPr>
              <w:t>14.75</w:t>
            </w:r>
          </w:p>
        </w:tc>
        <w:tc>
          <w:tcPr>
            <w:tcW w:w="1800" w:type="dxa"/>
            <w:vAlign w:val="center"/>
          </w:tcPr>
          <w:p>
            <w:pPr>
              <w:pStyle w:val="16"/>
              <w:jc w:val="both"/>
              <w:rPr>
                <w:rFonts w:hint="default" w:eastAsia="方正书宋_GBK"/>
                <w:lang w:val="en-US" w:eastAsia="zh-CN"/>
              </w:rPr>
            </w:pPr>
            <w:r>
              <w:rPr>
                <w:rFonts w:hint="eastAsia"/>
                <w:lang w:val="en-US" w:eastAsia="zh-CN"/>
              </w:rPr>
              <w:t>14.75</w:t>
            </w: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9</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九、社会保险基金支出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10</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十、卫生健康支出</w:t>
            </w:r>
          </w:p>
        </w:tc>
        <w:tc>
          <w:tcPr>
            <w:tcW w:w="1005" w:type="dxa"/>
            <w:vAlign w:val="center"/>
          </w:tcPr>
          <w:p>
            <w:pPr>
              <w:pStyle w:val="16"/>
              <w:jc w:val="both"/>
              <w:rPr>
                <w:rFonts w:hint="default" w:eastAsia="方正书宋_GBK"/>
                <w:lang w:val="en-US" w:eastAsia="zh-CN"/>
              </w:rPr>
            </w:pPr>
            <w:r>
              <w:rPr>
                <w:rFonts w:hint="eastAsia"/>
                <w:lang w:val="en-US" w:eastAsia="zh-CN"/>
              </w:rPr>
              <w:t>6.13</w:t>
            </w:r>
          </w:p>
        </w:tc>
        <w:tc>
          <w:tcPr>
            <w:tcW w:w="1800" w:type="dxa"/>
            <w:vAlign w:val="center"/>
          </w:tcPr>
          <w:p>
            <w:pPr>
              <w:pStyle w:val="16"/>
              <w:jc w:val="both"/>
              <w:rPr>
                <w:rFonts w:hint="default" w:eastAsia="方正书宋_GBK"/>
                <w:lang w:val="en-US" w:eastAsia="zh-CN"/>
              </w:rPr>
            </w:pPr>
            <w:r>
              <w:rPr>
                <w:rFonts w:hint="eastAsia"/>
                <w:lang w:val="en-US" w:eastAsia="zh-CN"/>
              </w:rPr>
              <w:t>6.13</w:t>
            </w: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11</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十一、节能环保支出</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12</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十二、城乡社区支出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13</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十三、农林水支出</w:t>
            </w:r>
          </w:p>
        </w:tc>
        <w:tc>
          <w:tcPr>
            <w:tcW w:w="1005" w:type="dxa"/>
            <w:vAlign w:val="center"/>
          </w:tcPr>
          <w:p>
            <w:pPr>
              <w:pStyle w:val="16"/>
              <w:jc w:val="center"/>
              <w:rPr>
                <w:rFonts w:hint="default" w:eastAsia="方正书宋_GBK"/>
                <w:lang w:val="en-US" w:eastAsia="zh-CN"/>
              </w:rPr>
            </w:pPr>
          </w:p>
        </w:tc>
        <w:tc>
          <w:tcPr>
            <w:tcW w:w="1800" w:type="dxa"/>
            <w:vAlign w:val="center"/>
          </w:tcPr>
          <w:p>
            <w:pPr>
              <w:pStyle w:val="16"/>
              <w:jc w:val="both"/>
              <w:rPr>
                <w:rFonts w:hint="default" w:eastAsia="方正书宋_GBK"/>
                <w:lang w:val="en-US" w:eastAsia="zh-CN"/>
              </w:rPr>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14</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十四、交通运输支出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15</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十五、资源勘探工业信息等支出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16</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十六、商业服务业等支出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17</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十七、金融支出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18</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十八、援助其他地区支出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19</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十九、自然资源海洋气象等支出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20</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二十、住房保障支出</w:t>
            </w:r>
          </w:p>
        </w:tc>
        <w:tc>
          <w:tcPr>
            <w:tcW w:w="1005" w:type="dxa"/>
            <w:vAlign w:val="center"/>
          </w:tcPr>
          <w:p>
            <w:pPr>
              <w:pStyle w:val="16"/>
              <w:jc w:val="center"/>
              <w:rPr>
                <w:rFonts w:hint="default" w:eastAsia="方正书宋_GBK"/>
                <w:lang w:val="en-US" w:eastAsia="zh-CN"/>
              </w:rPr>
            </w:pPr>
            <w:r>
              <w:rPr>
                <w:rFonts w:hint="eastAsia"/>
                <w:lang w:val="en-US" w:eastAsia="zh-CN"/>
              </w:rPr>
              <w:t>10.21</w:t>
            </w:r>
          </w:p>
        </w:tc>
        <w:tc>
          <w:tcPr>
            <w:tcW w:w="1800" w:type="dxa"/>
            <w:vAlign w:val="center"/>
          </w:tcPr>
          <w:p>
            <w:pPr>
              <w:pStyle w:val="16"/>
              <w:jc w:val="center"/>
              <w:rPr>
                <w:rFonts w:hint="default" w:eastAsia="方正书宋_GBK"/>
                <w:lang w:val="en-US" w:eastAsia="zh-CN"/>
              </w:rPr>
            </w:pPr>
            <w:r>
              <w:rPr>
                <w:rFonts w:hint="eastAsia"/>
                <w:lang w:val="en-US" w:eastAsia="zh-CN"/>
              </w:rPr>
              <w:t>10.21</w:t>
            </w: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21</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二十一、粮油物资储备支出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22</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二十二、国有资本经营预算支出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23</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二十三、灾害防治及应急管理支出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24</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二十四、预备费</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25</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二十五、其他支出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26</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二十六、转移性支出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27</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二十七、灾害防治及应急管理共同财政事权转移支付支出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28</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二十八、债务还本支出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29</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二十九、债务付息支出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30</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三十、债务发行费用支出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31</w:t>
            </w:r>
          </w:p>
        </w:tc>
        <w:tc>
          <w:tcPr>
            <w:tcW w:w="2602" w:type="dxa"/>
            <w:vAlign w:val="center"/>
          </w:tcPr>
          <w:p>
            <w:pPr>
              <w:pStyle w:val="17"/>
            </w:pPr>
          </w:p>
        </w:tc>
        <w:tc>
          <w:tcPr>
            <w:tcW w:w="915" w:type="dxa"/>
            <w:vAlign w:val="center"/>
          </w:tcPr>
          <w:p>
            <w:pPr>
              <w:pStyle w:val="16"/>
            </w:pPr>
          </w:p>
        </w:tc>
        <w:tc>
          <w:tcPr>
            <w:tcW w:w="3945" w:type="dxa"/>
            <w:vAlign w:val="center"/>
          </w:tcPr>
          <w:p>
            <w:pPr>
              <w:pStyle w:val="17"/>
            </w:pPr>
            <w:r>
              <w:t>三十一、抗疫特别国债安排的支出</w:t>
            </w:r>
          </w:p>
        </w:tc>
        <w:tc>
          <w:tcPr>
            <w:tcW w:w="1005" w:type="dxa"/>
            <w:vAlign w:val="center"/>
          </w:tcPr>
          <w:p>
            <w:pPr>
              <w:pStyle w:val="16"/>
            </w:pPr>
          </w:p>
        </w:tc>
        <w:tc>
          <w:tcPr>
            <w:tcW w:w="1800" w:type="dxa"/>
            <w:vAlign w:val="center"/>
          </w:tcPr>
          <w:p>
            <w:pPr>
              <w:pStyle w:val="16"/>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32</w:t>
            </w:r>
          </w:p>
        </w:tc>
        <w:tc>
          <w:tcPr>
            <w:tcW w:w="2602" w:type="dxa"/>
            <w:vAlign w:val="center"/>
          </w:tcPr>
          <w:p>
            <w:pPr>
              <w:pStyle w:val="19"/>
            </w:pPr>
            <w:r>
              <w:t>本年收入合计</w:t>
            </w:r>
          </w:p>
        </w:tc>
        <w:tc>
          <w:tcPr>
            <w:tcW w:w="915" w:type="dxa"/>
            <w:vAlign w:val="center"/>
          </w:tcPr>
          <w:p>
            <w:pPr>
              <w:pStyle w:val="20"/>
              <w:jc w:val="both"/>
              <w:rPr>
                <w:rFonts w:hint="default" w:eastAsia="方正书宋_GBK"/>
                <w:sz w:val="18"/>
                <w:szCs w:val="18"/>
                <w:lang w:val="en-US" w:eastAsia="zh-CN"/>
              </w:rPr>
            </w:pPr>
            <w:r>
              <w:rPr>
                <w:rFonts w:hint="eastAsia"/>
                <w:sz w:val="18"/>
                <w:szCs w:val="18"/>
                <w:lang w:val="en-US" w:eastAsia="zh-CN"/>
              </w:rPr>
              <w:t>170.34</w:t>
            </w:r>
          </w:p>
        </w:tc>
        <w:tc>
          <w:tcPr>
            <w:tcW w:w="3945" w:type="dxa"/>
            <w:vAlign w:val="center"/>
          </w:tcPr>
          <w:p>
            <w:pPr>
              <w:pStyle w:val="19"/>
            </w:pPr>
            <w:r>
              <w:t>本年支出合计</w:t>
            </w:r>
          </w:p>
        </w:tc>
        <w:tc>
          <w:tcPr>
            <w:tcW w:w="1005" w:type="dxa"/>
            <w:vAlign w:val="center"/>
          </w:tcPr>
          <w:p>
            <w:pPr>
              <w:pStyle w:val="20"/>
              <w:jc w:val="both"/>
              <w:rPr>
                <w:rFonts w:hint="default" w:eastAsia="方正书宋_GBK"/>
                <w:sz w:val="18"/>
                <w:szCs w:val="18"/>
                <w:lang w:val="en-US" w:eastAsia="zh-CN"/>
              </w:rPr>
            </w:pPr>
            <w:r>
              <w:rPr>
                <w:rFonts w:hint="eastAsia"/>
                <w:sz w:val="18"/>
                <w:szCs w:val="18"/>
                <w:lang w:val="en-US" w:eastAsia="zh-CN"/>
              </w:rPr>
              <w:t>170.34</w:t>
            </w:r>
          </w:p>
        </w:tc>
        <w:tc>
          <w:tcPr>
            <w:tcW w:w="1800" w:type="dxa"/>
            <w:vAlign w:val="center"/>
          </w:tcPr>
          <w:p>
            <w:pPr>
              <w:pStyle w:val="20"/>
              <w:jc w:val="both"/>
              <w:rPr>
                <w:rFonts w:hint="default" w:eastAsia="方正书宋_GBK"/>
                <w:sz w:val="18"/>
                <w:szCs w:val="18"/>
                <w:lang w:val="en-US" w:eastAsia="zh-CN"/>
              </w:rPr>
            </w:pPr>
            <w:r>
              <w:rPr>
                <w:rFonts w:hint="eastAsia"/>
                <w:sz w:val="18"/>
                <w:szCs w:val="18"/>
                <w:lang w:val="en-US" w:eastAsia="zh-CN"/>
              </w:rPr>
              <w:t>170.34</w:t>
            </w:r>
          </w:p>
        </w:tc>
        <w:tc>
          <w:tcPr>
            <w:tcW w:w="2190" w:type="dxa"/>
            <w:vAlign w:val="center"/>
          </w:tcPr>
          <w:p>
            <w:pPr>
              <w:pStyle w:val="20"/>
            </w:pPr>
          </w:p>
        </w:tc>
        <w:tc>
          <w:tcPr>
            <w:tcW w:w="196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33</w:t>
            </w:r>
          </w:p>
        </w:tc>
        <w:tc>
          <w:tcPr>
            <w:tcW w:w="2602" w:type="dxa"/>
            <w:vAlign w:val="center"/>
          </w:tcPr>
          <w:p>
            <w:pPr>
              <w:pStyle w:val="17"/>
            </w:pPr>
            <w:r>
              <w:t>年初财政拨款结转和结余</w:t>
            </w:r>
          </w:p>
        </w:tc>
        <w:tc>
          <w:tcPr>
            <w:tcW w:w="915" w:type="dxa"/>
            <w:vAlign w:val="center"/>
          </w:tcPr>
          <w:p>
            <w:pPr>
              <w:pStyle w:val="16"/>
              <w:jc w:val="both"/>
            </w:pPr>
          </w:p>
        </w:tc>
        <w:tc>
          <w:tcPr>
            <w:tcW w:w="3945" w:type="dxa"/>
            <w:vAlign w:val="center"/>
          </w:tcPr>
          <w:p>
            <w:pPr>
              <w:pStyle w:val="17"/>
            </w:pPr>
            <w:r>
              <w:t>年末财政拨款结转和结余</w:t>
            </w: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34</w:t>
            </w:r>
          </w:p>
        </w:tc>
        <w:tc>
          <w:tcPr>
            <w:tcW w:w="2602" w:type="dxa"/>
            <w:vAlign w:val="center"/>
          </w:tcPr>
          <w:p>
            <w:pPr>
              <w:pStyle w:val="17"/>
            </w:pPr>
            <w:r>
              <w:t>一、一般公共预算拨款</w:t>
            </w:r>
          </w:p>
        </w:tc>
        <w:tc>
          <w:tcPr>
            <w:tcW w:w="915" w:type="dxa"/>
            <w:vAlign w:val="center"/>
          </w:tcPr>
          <w:p>
            <w:pPr>
              <w:pStyle w:val="16"/>
              <w:jc w:val="both"/>
            </w:pPr>
          </w:p>
        </w:tc>
        <w:tc>
          <w:tcPr>
            <w:tcW w:w="3945" w:type="dxa"/>
            <w:vAlign w:val="center"/>
          </w:tcPr>
          <w:p>
            <w:pPr>
              <w:pStyle w:val="17"/>
            </w:pP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35</w:t>
            </w:r>
          </w:p>
        </w:tc>
        <w:tc>
          <w:tcPr>
            <w:tcW w:w="2602" w:type="dxa"/>
            <w:vAlign w:val="center"/>
          </w:tcPr>
          <w:p>
            <w:pPr>
              <w:pStyle w:val="17"/>
            </w:pPr>
            <w:r>
              <w:t>二、政府性基金预算拨款</w:t>
            </w:r>
          </w:p>
        </w:tc>
        <w:tc>
          <w:tcPr>
            <w:tcW w:w="915" w:type="dxa"/>
            <w:vAlign w:val="center"/>
          </w:tcPr>
          <w:p>
            <w:pPr>
              <w:pStyle w:val="16"/>
              <w:jc w:val="both"/>
            </w:pPr>
          </w:p>
        </w:tc>
        <w:tc>
          <w:tcPr>
            <w:tcW w:w="3945" w:type="dxa"/>
            <w:vAlign w:val="center"/>
          </w:tcPr>
          <w:p>
            <w:pPr>
              <w:pStyle w:val="17"/>
            </w:pP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36</w:t>
            </w:r>
          </w:p>
        </w:tc>
        <w:tc>
          <w:tcPr>
            <w:tcW w:w="2602" w:type="dxa"/>
            <w:vAlign w:val="center"/>
          </w:tcPr>
          <w:p>
            <w:pPr>
              <w:pStyle w:val="17"/>
            </w:pPr>
            <w:r>
              <w:t>三、国有资本经营预算拨款</w:t>
            </w:r>
          </w:p>
        </w:tc>
        <w:tc>
          <w:tcPr>
            <w:tcW w:w="915" w:type="dxa"/>
            <w:vAlign w:val="center"/>
          </w:tcPr>
          <w:p>
            <w:pPr>
              <w:pStyle w:val="16"/>
              <w:jc w:val="both"/>
            </w:pPr>
          </w:p>
        </w:tc>
        <w:tc>
          <w:tcPr>
            <w:tcW w:w="3945" w:type="dxa"/>
            <w:vAlign w:val="center"/>
          </w:tcPr>
          <w:p>
            <w:pPr>
              <w:pStyle w:val="17"/>
            </w:pPr>
          </w:p>
        </w:tc>
        <w:tc>
          <w:tcPr>
            <w:tcW w:w="1005" w:type="dxa"/>
            <w:vAlign w:val="center"/>
          </w:tcPr>
          <w:p>
            <w:pPr>
              <w:pStyle w:val="16"/>
              <w:jc w:val="both"/>
            </w:pPr>
          </w:p>
        </w:tc>
        <w:tc>
          <w:tcPr>
            <w:tcW w:w="1800" w:type="dxa"/>
            <w:vAlign w:val="center"/>
          </w:tcPr>
          <w:p>
            <w:pPr>
              <w:pStyle w:val="16"/>
              <w:jc w:val="both"/>
            </w:pPr>
          </w:p>
        </w:tc>
        <w:tc>
          <w:tcPr>
            <w:tcW w:w="2190" w:type="dxa"/>
            <w:vAlign w:val="center"/>
          </w:tcPr>
          <w:p>
            <w:pPr>
              <w:pStyle w:val="16"/>
            </w:pPr>
          </w:p>
        </w:tc>
        <w:tc>
          <w:tcPr>
            <w:tcW w:w="19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8"/>
            </w:pPr>
            <w:r>
              <w:t>37</w:t>
            </w:r>
          </w:p>
        </w:tc>
        <w:tc>
          <w:tcPr>
            <w:tcW w:w="2602" w:type="dxa"/>
            <w:vAlign w:val="center"/>
          </w:tcPr>
          <w:p>
            <w:pPr>
              <w:pStyle w:val="19"/>
            </w:pPr>
            <w:r>
              <w:t>收入总计</w:t>
            </w:r>
          </w:p>
        </w:tc>
        <w:tc>
          <w:tcPr>
            <w:tcW w:w="915" w:type="dxa"/>
            <w:vAlign w:val="center"/>
          </w:tcPr>
          <w:p>
            <w:pPr>
              <w:pStyle w:val="20"/>
              <w:jc w:val="both"/>
              <w:rPr>
                <w:rFonts w:hint="default" w:eastAsia="方正书宋_GBK"/>
                <w:sz w:val="18"/>
                <w:szCs w:val="18"/>
                <w:lang w:val="en-US" w:eastAsia="zh-CN"/>
              </w:rPr>
            </w:pPr>
            <w:r>
              <w:rPr>
                <w:rFonts w:hint="eastAsia"/>
                <w:sz w:val="18"/>
                <w:szCs w:val="18"/>
                <w:lang w:val="en-US" w:eastAsia="zh-CN"/>
              </w:rPr>
              <w:t>170.34</w:t>
            </w:r>
          </w:p>
        </w:tc>
        <w:tc>
          <w:tcPr>
            <w:tcW w:w="3945" w:type="dxa"/>
            <w:vAlign w:val="center"/>
          </w:tcPr>
          <w:p>
            <w:pPr>
              <w:pStyle w:val="19"/>
            </w:pPr>
            <w:r>
              <w:t>支出总计</w:t>
            </w:r>
          </w:p>
        </w:tc>
        <w:tc>
          <w:tcPr>
            <w:tcW w:w="1005" w:type="dxa"/>
            <w:vAlign w:val="center"/>
          </w:tcPr>
          <w:p>
            <w:pPr>
              <w:pStyle w:val="20"/>
              <w:ind w:firstLine="0" w:firstLineChars="0"/>
              <w:jc w:val="both"/>
              <w:rPr>
                <w:rFonts w:hint="default" w:eastAsia="方正书宋_GBK"/>
                <w:sz w:val="18"/>
                <w:szCs w:val="18"/>
                <w:lang w:val="en-US" w:eastAsia="zh-CN"/>
              </w:rPr>
            </w:pPr>
            <w:r>
              <w:rPr>
                <w:rFonts w:hint="eastAsia"/>
                <w:sz w:val="18"/>
                <w:szCs w:val="18"/>
                <w:lang w:val="en-US" w:eastAsia="zh-CN"/>
              </w:rPr>
              <w:t>170.34</w:t>
            </w:r>
          </w:p>
        </w:tc>
        <w:tc>
          <w:tcPr>
            <w:tcW w:w="1800" w:type="dxa"/>
            <w:vAlign w:val="center"/>
          </w:tcPr>
          <w:p>
            <w:pPr>
              <w:pStyle w:val="20"/>
              <w:ind w:firstLine="0" w:firstLineChars="0"/>
              <w:jc w:val="both"/>
              <w:rPr>
                <w:rFonts w:hint="default" w:eastAsia="方正书宋_GBK"/>
                <w:sz w:val="18"/>
                <w:szCs w:val="18"/>
                <w:lang w:val="en-US" w:eastAsia="zh-CN"/>
              </w:rPr>
            </w:pPr>
            <w:r>
              <w:rPr>
                <w:rFonts w:hint="eastAsia"/>
                <w:sz w:val="18"/>
                <w:szCs w:val="18"/>
                <w:lang w:val="en-US" w:eastAsia="zh-CN"/>
              </w:rPr>
              <w:t>170.34</w:t>
            </w:r>
          </w:p>
        </w:tc>
        <w:tc>
          <w:tcPr>
            <w:tcW w:w="2190" w:type="dxa"/>
            <w:vAlign w:val="center"/>
          </w:tcPr>
          <w:p>
            <w:pPr>
              <w:pStyle w:val="20"/>
            </w:pPr>
          </w:p>
        </w:tc>
        <w:tc>
          <w:tcPr>
            <w:tcW w:w="1965"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3712"/>
        <w:gridCol w:w="2190"/>
        <w:gridCol w:w="1546"/>
        <w:gridCol w:w="1546"/>
        <w:gridCol w:w="1548"/>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1"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2190"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6345"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5"/>
            </w:pPr>
            <w:r>
              <w:t>序号</w:t>
            </w:r>
          </w:p>
        </w:tc>
        <w:tc>
          <w:tcPr>
            <w:tcW w:w="5454" w:type="dxa"/>
            <w:gridSpan w:val="2"/>
            <w:vAlign w:val="center"/>
          </w:tcPr>
          <w:p>
            <w:pPr>
              <w:pStyle w:val="15"/>
            </w:pPr>
            <w:r>
              <w:rPr>
                <w:rFonts w:hint="eastAsia"/>
                <w:lang w:eastAsia="zh-CN"/>
              </w:rPr>
              <w:t>支出</w:t>
            </w:r>
            <w:r>
              <w:t>功能分类科目</w:t>
            </w:r>
          </w:p>
        </w:tc>
        <w:tc>
          <w:tcPr>
            <w:tcW w:w="2190" w:type="dxa"/>
            <w:vMerge w:val="restart"/>
            <w:vAlign w:val="center"/>
          </w:tcPr>
          <w:p>
            <w:pPr>
              <w:pStyle w:val="15"/>
            </w:pPr>
            <w:r>
              <w:t>合计</w:t>
            </w:r>
          </w:p>
        </w:tc>
        <w:tc>
          <w:tcPr>
            <w:tcW w:w="4640" w:type="dxa"/>
            <w:gridSpan w:val="3"/>
            <w:vAlign w:val="center"/>
          </w:tcPr>
          <w:p>
            <w:pPr>
              <w:pStyle w:val="15"/>
            </w:pPr>
            <w:r>
              <w:t>基本支出</w:t>
            </w:r>
          </w:p>
        </w:tc>
        <w:tc>
          <w:tcPr>
            <w:tcW w:w="1705"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1027" w:type="dxa"/>
            <w:vMerge w:val="continue"/>
          </w:tcPr>
          <w:p/>
        </w:tc>
        <w:tc>
          <w:tcPr>
            <w:tcW w:w="1742" w:type="dxa"/>
            <w:vAlign w:val="center"/>
          </w:tcPr>
          <w:p>
            <w:pPr>
              <w:pStyle w:val="15"/>
            </w:pPr>
            <w:r>
              <w:t>科目编码</w:t>
            </w:r>
          </w:p>
        </w:tc>
        <w:tc>
          <w:tcPr>
            <w:tcW w:w="3712" w:type="dxa"/>
            <w:vAlign w:val="center"/>
          </w:tcPr>
          <w:p>
            <w:pPr>
              <w:pStyle w:val="15"/>
            </w:pPr>
            <w:r>
              <w:t>科目名称</w:t>
            </w:r>
          </w:p>
        </w:tc>
        <w:tc>
          <w:tcPr>
            <w:tcW w:w="2190" w:type="dxa"/>
            <w:vMerge w:val="continue"/>
          </w:tcPr>
          <w:p/>
        </w:tc>
        <w:tc>
          <w:tcPr>
            <w:tcW w:w="1546" w:type="dxa"/>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小计</w:t>
            </w:r>
          </w:p>
        </w:tc>
        <w:tc>
          <w:tcPr>
            <w:tcW w:w="1546" w:type="dxa"/>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人员经费</w:t>
            </w:r>
          </w:p>
        </w:tc>
        <w:tc>
          <w:tcPr>
            <w:tcW w:w="1548" w:type="dxa"/>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公用经费</w:t>
            </w: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5"/>
            </w:pPr>
            <w:r>
              <w:t>栏次</w:t>
            </w:r>
          </w:p>
        </w:tc>
        <w:tc>
          <w:tcPr>
            <w:tcW w:w="1742" w:type="dxa"/>
            <w:vAlign w:val="center"/>
          </w:tcPr>
          <w:p>
            <w:pPr>
              <w:pStyle w:val="15"/>
            </w:pPr>
            <w:r>
              <w:t>1</w:t>
            </w:r>
          </w:p>
        </w:tc>
        <w:tc>
          <w:tcPr>
            <w:tcW w:w="3712" w:type="dxa"/>
            <w:vAlign w:val="center"/>
          </w:tcPr>
          <w:p>
            <w:pPr>
              <w:pStyle w:val="15"/>
            </w:pPr>
            <w:r>
              <w:t>2</w:t>
            </w:r>
          </w:p>
        </w:tc>
        <w:tc>
          <w:tcPr>
            <w:tcW w:w="2190" w:type="dxa"/>
            <w:vAlign w:val="center"/>
          </w:tcPr>
          <w:p>
            <w:pPr>
              <w:pStyle w:val="15"/>
            </w:pPr>
            <w:r>
              <w:t>3</w:t>
            </w:r>
          </w:p>
        </w:tc>
        <w:tc>
          <w:tcPr>
            <w:tcW w:w="1546" w:type="dxa"/>
            <w:vAlign w:val="center"/>
          </w:tcPr>
          <w:p>
            <w:pPr>
              <w:pStyle w:val="15"/>
            </w:pPr>
            <w:r>
              <w:t>4</w:t>
            </w:r>
          </w:p>
        </w:tc>
        <w:tc>
          <w:tcPr>
            <w:tcW w:w="1546" w:type="dxa"/>
            <w:vAlign w:val="center"/>
          </w:tcPr>
          <w:p>
            <w:pPr>
              <w:pStyle w:val="15"/>
              <w:rPr>
                <w:rFonts w:hint="eastAsia" w:eastAsia="方正书宋_GBK"/>
                <w:lang w:val="en-US" w:eastAsia="zh-CN"/>
              </w:rPr>
            </w:pPr>
            <w:r>
              <w:rPr>
                <w:rFonts w:hint="eastAsia"/>
                <w:lang w:val="en-US" w:eastAsia="zh-CN"/>
              </w:rPr>
              <w:t>5</w:t>
            </w:r>
          </w:p>
        </w:tc>
        <w:tc>
          <w:tcPr>
            <w:tcW w:w="1548" w:type="dxa"/>
            <w:vAlign w:val="center"/>
          </w:tcPr>
          <w:p>
            <w:pPr>
              <w:pStyle w:val="15"/>
              <w:rPr>
                <w:rFonts w:hint="eastAsia" w:eastAsia="方正书宋_GBK"/>
                <w:lang w:val="en-US" w:eastAsia="zh-CN"/>
              </w:rPr>
            </w:pPr>
            <w:r>
              <w:rPr>
                <w:rFonts w:hint="eastAsia"/>
                <w:lang w:val="en-US" w:eastAsia="zh-CN"/>
              </w:rPr>
              <w:t>6</w:t>
            </w:r>
          </w:p>
        </w:tc>
        <w:tc>
          <w:tcPr>
            <w:tcW w:w="1705" w:type="dxa"/>
            <w:vAlign w:val="center"/>
          </w:tcPr>
          <w:p>
            <w:pPr>
              <w:pStyle w:val="15"/>
              <w:rPr>
                <w:rFonts w:hint="eastAsia" w:eastAsia="方正书宋_GBK"/>
                <w:lang w:val="en-US" w:eastAsia="zh-CN"/>
              </w:rPr>
            </w:pP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w:t>
            </w:r>
          </w:p>
        </w:tc>
        <w:tc>
          <w:tcPr>
            <w:tcW w:w="1742" w:type="dxa"/>
            <w:vAlign w:val="center"/>
          </w:tcPr>
          <w:p>
            <w:pPr>
              <w:pStyle w:val="21"/>
            </w:pPr>
          </w:p>
        </w:tc>
        <w:tc>
          <w:tcPr>
            <w:tcW w:w="3712" w:type="dxa"/>
            <w:vAlign w:val="center"/>
          </w:tcPr>
          <w:p>
            <w:pPr>
              <w:pStyle w:val="19"/>
            </w:pPr>
            <w:r>
              <w:t>合计</w:t>
            </w:r>
          </w:p>
        </w:tc>
        <w:tc>
          <w:tcPr>
            <w:tcW w:w="2190"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170.34</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133.22</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123.25</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9.97</w:t>
            </w:r>
          </w:p>
        </w:tc>
        <w:tc>
          <w:tcPr>
            <w:tcW w:w="1705"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2</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201</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一般公共服务支出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139.25</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92.16</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9.97</w:t>
            </w: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3</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20132</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组织事务</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139.25</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92.16</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9.97</w:t>
            </w: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4</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2013299</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其他组织事务支出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139.25</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92.16</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9.97</w:t>
            </w: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5</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208</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社会保障和就业支出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14.75</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14.75</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14.75</w:t>
            </w:r>
          </w:p>
        </w:tc>
        <w:tc>
          <w:tcPr>
            <w:tcW w:w="1548"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6</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20805</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行政事业单位养老支出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14.32</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14.32</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14.32</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7</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2080501</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行政单位离退休</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0.70</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0.70</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0.70</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8</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2080505</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机关事业单位基本养老保险缴费支出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13.62</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13.62</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13.62</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9</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20827</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财政对其他社会保险基金的补助</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10</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2082702</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财政对工伤保险基金的补助</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11</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210</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卫生健康支出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12</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21012</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财政对基本医疗保险基金的补助</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13</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2101201</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财政对职工基本医疗保险基金的补助</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14</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221</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住房保障支出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15</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22102</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住房改革支出</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16</w:t>
            </w:r>
          </w:p>
        </w:tc>
        <w:tc>
          <w:tcPr>
            <w:tcW w:w="174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2210201</w:t>
            </w:r>
          </w:p>
        </w:tc>
        <w:tc>
          <w:tcPr>
            <w:tcW w:w="3712"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住房公积金</w:t>
            </w:r>
          </w:p>
        </w:tc>
        <w:tc>
          <w:tcPr>
            <w:tcW w:w="2190"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6"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548"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c>
          <w:tcPr>
            <w:tcW w:w="170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1"/>
        <w:gridCol w:w="1763"/>
        <w:gridCol w:w="5501"/>
        <w:gridCol w:w="3165"/>
        <w:gridCol w:w="1763"/>
        <w:gridCol w:w="1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3165"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352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restart"/>
            <w:vAlign w:val="center"/>
          </w:tcPr>
          <w:p>
            <w:pPr>
              <w:pStyle w:val="15"/>
            </w:pPr>
            <w:r>
              <w:t>序号</w:t>
            </w:r>
          </w:p>
        </w:tc>
        <w:tc>
          <w:tcPr>
            <w:tcW w:w="7264" w:type="dxa"/>
            <w:gridSpan w:val="2"/>
            <w:vAlign w:val="center"/>
          </w:tcPr>
          <w:p>
            <w:pPr>
              <w:pStyle w:val="15"/>
            </w:pPr>
            <w:r>
              <w:t>支出部门经济分类科目</w:t>
            </w:r>
          </w:p>
        </w:tc>
        <w:tc>
          <w:tcPr>
            <w:tcW w:w="6691"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continue"/>
          </w:tcPr>
          <w:p/>
        </w:tc>
        <w:tc>
          <w:tcPr>
            <w:tcW w:w="1763" w:type="dxa"/>
            <w:vAlign w:val="center"/>
          </w:tcPr>
          <w:p>
            <w:pPr>
              <w:pStyle w:val="15"/>
            </w:pPr>
            <w:r>
              <w:t>科目编码</w:t>
            </w:r>
          </w:p>
        </w:tc>
        <w:tc>
          <w:tcPr>
            <w:tcW w:w="5501" w:type="dxa"/>
            <w:vAlign w:val="center"/>
          </w:tcPr>
          <w:p>
            <w:pPr>
              <w:pStyle w:val="15"/>
            </w:pPr>
            <w:r>
              <w:t>科目名称</w:t>
            </w:r>
          </w:p>
        </w:tc>
        <w:tc>
          <w:tcPr>
            <w:tcW w:w="3165" w:type="dxa"/>
            <w:vAlign w:val="center"/>
          </w:tcPr>
          <w:p>
            <w:pPr>
              <w:pStyle w:val="15"/>
            </w:pPr>
            <w:r>
              <w:t>合计</w:t>
            </w:r>
          </w:p>
        </w:tc>
        <w:tc>
          <w:tcPr>
            <w:tcW w:w="1763" w:type="dxa"/>
            <w:vAlign w:val="center"/>
          </w:tcPr>
          <w:p>
            <w:pPr>
              <w:pStyle w:val="15"/>
            </w:pPr>
            <w:r>
              <w:t>人员经费</w:t>
            </w:r>
          </w:p>
        </w:tc>
        <w:tc>
          <w:tcPr>
            <w:tcW w:w="176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Align w:val="center"/>
          </w:tcPr>
          <w:p>
            <w:pPr>
              <w:pStyle w:val="15"/>
            </w:pPr>
            <w:r>
              <w:t>栏次</w:t>
            </w:r>
          </w:p>
        </w:tc>
        <w:tc>
          <w:tcPr>
            <w:tcW w:w="1763" w:type="dxa"/>
            <w:vAlign w:val="center"/>
          </w:tcPr>
          <w:p>
            <w:pPr>
              <w:pStyle w:val="15"/>
            </w:pPr>
            <w:r>
              <w:t>1</w:t>
            </w:r>
          </w:p>
        </w:tc>
        <w:tc>
          <w:tcPr>
            <w:tcW w:w="5501" w:type="dxa"/>
            <w:vAlign w:val="center"/>
          </w:tcPr>
          <w:p>
            <w:pPr>
              <w:pStyle w:val="15"/>
            </w:pPr>
            <w:r>
              <w:t>2</w:t>
            </w:r>
          </w:p>
        </w:tc>
        <w:tc>
          <w:tcPr>
            <w:tcW w:w="3165" w:type="dxa"/>
            <w:vAlign w:val="center"/>
          </w:tcPr>
          <w:p>
            <w:pPr>
              <w:pStyle w:val="15"/>
            </w:pPr>
            <w:r>
              <w:t>3</w:t>
            </w:r>
          </w:p>
        </w:tc>
        <w:tc>
          <w:tcPr>
            <w:tcW w:w="1763" w:type="dxa"/>
            <w:vAlign w:val="center"/>
          </w:tcPr>
          <w:p>
            <w:pPr>
              <w:pStyle w:val="15"/>
            </w:pPr>
            <w:r>
              <w:t>4</w:t>
            </w:r>
          </w:p>
        </w:tc>
        <w:tc>
          <w:tcPr>
            <w:tcW w:w="176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3165"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133.22</w:t>
            </w:r>
          </w:p>
        </w:tc>
        <w:tc>
          <w:tcPr>
            <w:tcW w:w="1763"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123.25</w:t>
            </w:r>
          </w:p>
        </w:tc>
        <w:tc>
          <w:tcPr>
            <w:tcW w:w="1763"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301</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工资福利支出</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122.55</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122.55</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30101</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基本工资</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92.16</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92.16</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30108</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机关事业单位基本养老保险缴费</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13.62</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13.62</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30110</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城镇职工基本医疗保险缴费</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6.13</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30112</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其他社会保障缴费</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0.43</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30113</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住房公积金</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10.21</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302</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商品和服务支出</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9.97</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30201</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办公费</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3.43</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30207</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邮电费</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2.36</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30228</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工会经费</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0.98</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30239</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其他交通费用</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3.20</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303</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对个人和家庭的补助</w:t>
            </w:r>
          </w:p>
        </w:tc>
        <w:tc>
          <w:tcPr>
            <w:tcW w:w="3165"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0.70</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0.70</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30302</w:t>
            </w:r>
          </w:p>
        </w:tc>
        <w:tc>
          <w:tcPr>
            <w:tcW w:w="5501"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退休费</w:t>
            </w:r>
          </w:p>
        </w:tc>
        <w:tc>
          <w:tcPr>
            <w:tcW w:w="3165"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0.70</w:t>
            </w:r>
          </w:p>
        </w:tc>
        <w:tc>
          <w:tcPr>
            <w:tcW w:w="1763" w:type="dxa"/>
            <w:vAlign w:val="center"/>
          </w:tcPr>
          <w:p>
            <w:pPr>
              <w:keepNext w:val="0"/>
              <w:keepLines w:val="0"/>
              <w:widowControl/>
              <w:suppressLineNumbers w:val="0"/>
              <w:jc w:val="both"/>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0.70</w:t>
            </w:r>
          </w:p>
        </w:tc>
        <w:tc>
          <w:tcPr>
            <w:tcW w:w="1763"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1"/>
        <w:gridCol w:w="2793"/>
        <w:gridCol w:w="2790"/>
        <w:gridCol w:w="3667"/>
        <w:gridCol w:w="2042"/>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4"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3667"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4085"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restart"/>
            <w:vAlign w:val="center"/>
          </w:tcPr>
          <w:p>
            <w:pPr>
              <w:pStyle w:val="15"/>
            </w:pPr>
            <w:r>
              <w:t>序号</w:t>
            </w:r>
          </w:p>
        </w:tc>
        <w:tc>
          <w:tcPr>
            <w:tcW w:w="5583" w:type="dxa"/>
            <w:gridSpan w:val="2"/>
            <w:vAlign w:val="center"/>
          </w:tcPr>
          <w:p>
            <w:pPr>
              <w:pStyle w:val="15"/>
            </w:pPr>
            <w:r>
              <w:t>功能分类科目</w:t>
            </w:r>
          </w:p>
        </w:tc>
        <w:tc>
          <w:tcPr>
            <w:tcW w:w="3667" w:type="dxa"/>
            <w:vMerge w:val="restart"/>
            <w:vAlign w:val="center"/>
          </w:tcPr>
          <w:p>
            <w:pPr>
              <w:pStyle w:val="15"/>
            </w:pPr>
            <w:r>
              <w:t>合计</w:t>
            </w:r>
          </w:p>
        </w:tc>
        <w:tc>
          <w:tcPr>
            <w:tcW w:w="2042" w:type="dxa"/>
            <w:vMerge w:val="restart"/>
            <w:vAlign w:val="center"/>
          </w:tcPr>
          <w:p>
            <w:pPr>
              <w:pStyle w:val="15"/>
            </w:pPr>
            <w:r>
              <w:t>基本支出</w:t>
            </w:r>
          </w:p>
        </w:tc>
        <w:tc>
          <w:tcPr>
            <w:tcW w:w="20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continue"/>
          </w:tcPr>
          <w:p/>
        </w:tc>
        <w:tc>
          <w:tcPr>
            <w:tcW w:w="2793" w:type="dxa"/>
            <w:vAlign w:val="center"/>
          </w:tcPr>
          <w:p>
            <w:pPr>
              <w:pStyle w:val="15"/>
            </w:pPr>
            <w:r>
              <w:t>科目编码</w:t>
            </w:r>
          </w:p>
        </w:tc>
        <w:tc>
          <w:tcPr>
            <w:tcW w:w="2790" w:type="dxa"/>
            <w:vAlign w:val="center"/>
          </w:tcPr>
          <w:p>
            <w:pPr>
              <w:pStyle w:val="15"/>
            </w:pPr>
            <w:r>
              <w:t>科目名称</w:t>
            </w:r>
          </w:p>
        </w:tc>
        <w:tc>
          <w:tcPr>
            <w:tcW w:w="3667" w:type="dxa"/>
            <w:vMerge w:val="continue"/>
          </w:tcPr>
          <w:p/>
        </w:tc>
        <w:tc>
          <w:tcPr>
            <w:tcW w:w="2042" w:type="dxa"/>
            <w:vMerge w:val="continue"/>
          </w:tcPr>
          <w:p/>
        </w:tc>
        <w:tc>
          <w:tcPr>
            <w:tcW w:w="20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Align w:val="center"/>
          </w:tcPr>
          <w:p>
            <w:pPr>
              <w:pStyle w:val="15"/>
            </w:pPr>
            <w:r>
              <w:t>栏次</w:t>
            </w:r>
          </w:p>
        </w:tc>
        <w:tc>
          <w:tcPr>
            <w:tcW w:w="2793" w:type="dxa"/>
            <w:vAlign w:val="center"/>
          </w:tcPr>
          <w:p>
            <w:pPr>
              <w:pStyle w:val="15"/>
            </w:pPr>
            <w:r>
              <w:t>1</w:t>
            </w:r>
          </w:p>
        </w:tc>
        <w:tc>
          <w:tcPr>
            <w:tcW w:w="2790" w:type="dxa"/>
            <w:vAlign w:val="center"/>
          </w:tcPr>
          <w:p>
            <w:pPr>
              <w:pStyle w:val="15"/>
            </w:pPr>
            <w:r>
              <w:t>2</w:t>
            </w:r>
          </w:p>
        </w:tc>
        <w:tc>
          <w:tcPr>
            <w:tcW w:w="3667" w:type="dxa"/>
            <w:vAlign w:val="center"/>
          </w:tcPr>
          <w:p>
            <w:pPr>
              <w:pStyle w:val="15"/>
            </w:pPr>
            <w:r>
              <w:t>3</w:t>
            </w:r>
          </w:p>
        </w:tc>
        <w:tc>
          <w:tcPr>
            <w:tcW w:w="2042" w:type="dxa"/>
            <w:vAlign w:val="center"/>
          </w:tcPr>
          <w:p>
            <w:pPr>
              <w:pStyle w:val="15"/>
            </w:pPr>
            <w:r>
              <w:t>4</w:t>
            </w:r>
          </w:p>
        </w:tc>
        <w:tc>
          <w:tcPr>
            <w:tcW w:w="20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1" w:type="dxa"/>
            <w:vAlign w:val="center"/>
          </w:tcPr>
          <w:p>
            <w:pPr>
              <w:pStyle w:val="18"/>
            </w:pPr>
          </w:p>
        </w:tc>
        <w:tc>
          <w:tcPr>
            <w:tcW w:w="2793" w:type="dxa"/>
            <w:vAlign w:val="center"/>
          </w:tcPr>
          <w:p>
            <w:pPr>
              <w:pStyle w:val="17"/>
            </w:pPr>
          </w:p>
        </w:tc>
        <w:tc>
          <w:tcPr>
            <w:tcW w:w="2790" w:type="dxa"/>
            <w:vAlign w:val="center"/>
          </w:tcPr>
          <w:p>
            <w:pPr>
              <w:pStyle w:val="17"/>
            </w:pPr>
          </w:p>
        </w:tc>
        <w:tc>
          <w:tcPr>
            <w:tcW w:w="3667" w:type="dxa"/>
            <w:vAlign w:val="center"/>
          </w:tcPr>
          <w:p>
            <w:pPr>
              <w:pStyle w:val="16"/>
            </w:pPr>
          </w:p>
        </w:tc>
        <w:tc>
          <w:tcPr>
            <w:tcW w:w="2042" w:type="dxa"/>
            <w:vAlign w:val="center"/>
          </w:tcPr>
          <w:p>
            <w:pPr>
              <w:pStyle w:val="16"/>
            </w:pPr>
          </w:p>
        </w:tc>
        <w:tc>
          <w:tcPr>
            <w:tcW w:w="204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2503"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5"/>
            </w:pPr>
            <w:r>
              <w:t>序号</w:t>
            </w:r>
          </w:p>
        </w:tc>
        <w:tc>
          <w:tcPr>
            <w:tcW w:w="5005" w:type="dxa"/>
            <w:gridSpan w:val="2"/>
            <w:vAlign w:val="center"/>
          </w:tcPr>
          <w:p>
            <w:pPr>
              <w:pStyle w:val="15"/>
            </w:pPr>
            <w:r>
              <w:t>功能分类科目</w:t>
            </w:r>
          </w:p>
        </w:tc>
        <w:tc>
          <w:tcPr>
            <w:tcW w:w="2503" w:type="dxa"/>
            <w:vMerge w:val="restart"/>
            <w:vAlign w:val="center"/>
          </w:tcPr>
          <w:p>
            <w:pPr>
              <w:pStyle w:val="15"/>
            </w:pPr>
            <w:r>
              <w:t>合计</w:t>
            </w:r>
          </w:p>
        </w:tc>
        <w:tc>
          <w:tcPr>
            <w:tcW w:w="2502" w:type="dxa"/>
            <w:vMerge w:val="restart"/>
            <w:vAlign w:val="center"/>
          </w:tcPr>
          <w:p>
            <w:pPr>
              <w:pStyle w:val="15"/>
            </w:pPr>
            <w:r>
              <w:t>基本支出</w:t>
            </w:r>
          </w:p>
        </w:tc>
        <w:tc>
          <w:tcPr>
            <w:tcW w:w="250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5"/>
            </w:pPr>
            <w:r>
              <w:t>科目编码</w:t>
            </w:r>
          </w:p>
        </w:tc>
        <w:tc>
          <w:tcPr>
            <w:tcW w:w="2502" w:type="dxa"/>
            <w:vAlign w:val="center"/>
          </w:tcPr>
          <w:p>
            <w:pPr>
              <w:pStyle w:val="15"/>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5"/>
            </w:pPr>
            <w:r>
              <w:t>栏次</w:t>
            </w:r>
          </w:p>
        </w:tc>
        <w:tc>
          <w:tcPr>
            <w:tcW w:w="2503" w:type="dxa"/>
            <w:vAlign w:val="center"/>
          </w:tcPr>
          <w:p>
            <w:pPr>
              <w:pStyle w:val="15"/>
            </w:pPr>
            <w:r>
              <w:t>1</w:t>
            </w:r>
          </w:p>
        </w:tc>
        <w:tc>
          <w:tcPr>
            <w:tcW w:w="2502" w:type="dxa"/>
            <w:vAlign w:val="center"/>
          </w:tcPr>
          <w:p>
            <w:pPr>
              <w:pStyle w:val="15"/>
            </w:pPr>
            <w:r>
              <w:t>2</w:t>
            </w:r>
          </w:p>
        </w:tc>
        <w:tc>
          <w:tcPr>
            <w:tcW w:w="2503" w:type="dxa"/>
            <w:vAlign w:val="center"/>
          </w:tcPr>
          <w:p>
            <w:pPr>
              <w:pStyle w:val="15"/>
            </w:pPr>
            <w:r>
              <w:t>3</w:t>
            </w:r>
          </w:p>
        </w:tc>
        <w:tc>
          <w:tcPr>
            <w:tcW w:w="2502" w:type="dxa"/>
            <w:vAlign w:val="center"/>
          </w:tcPr>
          <w:p>
            <w:pPr>
              <w:pStyle w:val="15"/>
            </w:pPr>
            <w:r>
              <w:t>4</w:t>
            </w:r>
          </w:p>
        </w:tc>
        <w:tc>
          <w:tcPr>
            <w:tcW w:w="250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8"/>
            </w:pPr>
          </w:p>
        </w:tc>
        <w:tc>
          <w:tcPr>
            <w:tcW w:w="2503" w:type="dxa"/>
            <w:vAlign w:val="center"/>
          </w:tcPr>
          <w:p>
            <w:pPr>
              <w:pStyle w:val="17"/>
            </w:pPr>
          </w:p>
        </w:tc>
        <w:tc>
          <w:tcPr>
            <w:tcW w:w="2502"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225中共</w:t>
            </w:r>
            <w:r>
              <w:t>宁晋县</w:t>
            </w:r>
            <w:r>
              <w:rPr>
                <w:rFonts w:hint="eastAsia"/>
                <w:lang w:eastAsia="zh-CN"/>
              </w:rPr>
              <w:t>委机构编制委员会办公室</w:t>
            </w:r>
          </w:p>
        </w:tc>
        <w:tc>
          <w:tcPr>
            <w:tcW w:w="2503"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5"/>
            </w:pPr>
            <w:r>
              <w:t>序号</w:t>
            </w:r>
          </w:p>
        </w:tc>
        <w:tc>
          <w:tcPr>
            <w:tcW w:w="2502" w:type="dxa"/>
            <w:vMerge w:val="restart"/>
            <w:vAlign w:val="center"/>
          </w:tcPr>
          <w:p>
            <w:pPr>
              <w:pStyle w:val="15"/>
            </w:pPr>
            <w:r>
              <w:t>项  目</w:t>
            </w:r>
          </w:p>
        </w:tc>
        <w:tc>
          <w:tcPr>
            <w:tcW w:w="10011" w:type="dxa"/>
            <w:gridSpan w:val="5"/>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5"/>
            </w:pPr>
            <w:r>
              <w:t>合计</w:t>
            </w:r>
          </w:p>
        </w:tc>
        <w:tc>
          <w:tcPr>
            <w:tcW w:w="2502" w:type="dxa"/>
            <w:vAlign w:val="center"/>
          </w:tcPr>
          <w:p>
            <w:pPr>
              <w:pStyle w:val="15"/>
            </w:pPr>
            <w:r>
              <w:t>一般公共预算              财政拨款</w:t>
            </w:r>
          </w:p>
        </w:tc>
        <w:tc>
          <w:tcPr>
            <w:tcW w:w="2503" w:type="dxa"/>
            <w:gridSpan w:val="2"/>
            <w:vAlign w:val="center"/>
          </w:tcPr>
          <w:p>
            <w:pPr>
              <w:pStyle w:val="15"/>
            </w:pPr>
            <w:r>
              <w:t>政府性基金                  预算拨款</w:t>
            </w:r>
          </w:p>
        </w:tc>
        <w:tc>
          <w:tcPr>
            <w:tcW w:w="250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5"/>
            </w:pPr>
            <w:r>
              <w:t>栏次</w:t>
            </w:r>
          </w:p>
        </w:tc>
        <w:tc>
          <w:tcPr>
            <w:tcW w:w="2502" w:type="dxa"/>
            <w:vAlign w:val="center"/>
          </w:tcPr>
          <w:p>
            <w:pPr>
              <w:pStyle w:val="15"/>
            </w:pPr>
            <w:r>
              <w:t>1</w:t>
            </w:r>
          </w:p>
        </w:tc>
        <w:tc>
          <w:tcPr>
            <w:tcW w:w="2503" w:type="dxa"/>
            <w:vAlign w:val="center"/>
          </w:tcPr>
          <w:p>
            <w:pPr>
              <w:pStyle w:val="15"/>
            </w:pPr>
            <w:r>
              <w:t>2</w:t>
            </w:r>
          </w:p>
        </w:tc>
        <w:tc>
          <w:tcPr>
            <w:tcW w:w="2502" w:type="dxa"/>
            <w:vAlign w:val="center"/>
          </w:tcPr>
          <w:p>
            <w:pPr>
              <w:pStyle w:val="15"/>
            </w:pPr>
            <w:r>
              <w:t>3</w:t>
            </w:r>
          </w:p>
        </w:tc>
        <w:tc>
          <w:tcPr>
            <w:tcW w:w="2503" w:type="dxa"/>
            <w:gridSpan w:val="2"/>
            <w:vAlign w:val="center"/>
          </w:tcPr>
          <w:p>
            <w:pPr>
              <w:pStyle w:val="15"/>
            </w:pPr>
            <w:r>
              <w:t>4</w:t>
            </w:r>
          </w:p>
        </w:tc>
        <w:tc>
          <w:tcPr>
            <w:tcW w:w="250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8"/>
            </w:pPr>
          </w:p>
        </w:tc>
        <w:tc>
          <w:tcPr>
            <w:tcW w:w="2502"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gridSpan w:val="2"/>
            <w:vAlign w:val="center"/>
          </w:tcPr>
          <w:p>
            <w:pPr>
              <w:pStyle w:val="16"/>
            </w:pPr>
          </w:p>
        </w:tc>
        <w:tc>
          <w:tcPr>
            <w:tcW w:w="2503" w:type="dxa"/>
            <w:vAlign w:val="center"/>
          </w:tcPr>
          <w:p>
            <w:pPr>
              <w:pStyle w:val="16"/>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pPr>
      <w:r>
        <w:rPr>
          <w:rFonts w:ascii="方正小标宋_GBK" w:hAnsi="方正小标宋_GBK" w:eastAsia="方正小标宋_GBK" w:cs="方正小标宋_GBK"/>
          <w:color w:val="000000"/>
          <w:sz w:val="44"/>
        </w:rPr>
        <w:t>中共宁晋县委机构编制委员会办公室202</w:t>
      </w:r>
      <w:r>
        <w:rPr>
          <w:rFonts w:hint="eastAsia" w:ascii="方正小标宋_GBK" w:hAnsi="方正小标宋_GBK" w:eastAsia="方正小标宋_GBK" w:cs="方正小标宋_GBK"/>
          <w:color w:val="000000"/>
          <w:sz w:val="44"/>
          <w:lang w:val="en-US" w:eastAsia="zh-CN"/>
        </w:rPr>
        <w:t>1</w:t>
      </w:r>
      <w:r>
        <w:rPr>
          <w:rFonts w:ascii="方正小标宋_GBK" w:hAnsi="方正小标宋_GBK" w:eastAsia="方正小标宋_GBK" w:cs="方正小标宋_GBK"/>
          <w:color w:val="000000"/>
          <w:sz w:val="44"/>
        </w:rPr>
        <w:t>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按照《预算法》、《地方预决算公开操作规程》和《关于进一步推进预算公开工作的实施意见》规定，现将中共宁晋县委机构编制委员会办公室202</w:t>
      </w:r>
      <w:r>
        <w:rPr>
          <w:rFonts w:hint="eastAsia" w:eastAsia="方正仿宋_GBK" w:cs="Times New Roman"/>
          <w:color w:val="000000"/>
          <w:sz w:val="28"/>
          <w:lang w:val="en-US" w:eastAsia="zh-CN"/>
        </w:rPr>
        <w:t>1</w:t>
      </w:r>
      <w:r>
        <w:rPr>
          <w:rFonts w:ascii="Times New Roman" w:hAnsi="Times New Roman" w:eastAsia="方正仿宋_GBK" w:cs="Times New Roman"/>
          <w:color w:val="000000"/>
          <w:sz w:val="28"/>
        </w:rPr>
        <w:t>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2"/>
      </w:pPr>
      <w:r>
        <w:t>（一）贯彻落实党中央和省委、市委、县委关于行政管理体制和机构改革以及机构编制管理的政策法规，组织拟订相关政策措施并监督实施。管理和指导各级党委、人大、政府，政协、监委、人民团体机关以及全县事业单位的机构编制工作。</w:t>
      </w:r>
    </w:p>
    <w:p>
      <w:pPr>
        <w:pStyle w:val="22"/>
      </w:pPr>
      <w:r>
        <w:t>（二）组织拟订全县行政管理体制改革和县委、县政府机构改革方案并组织实施；组织拟订乡镇（区）、街道机构改革方案并组织实施；负责全县行政管理体制和机构改革以及机构编制管理工作。负责行政执法体制改革工作。</w:t>
      </w:r>
    </w:p>
    <w:p>
      <w:pPr>
        <w:pStyle w:val="22"/>
      </w:pPr>
      <w:r>
        <w:t>（三）协调县委、县政府各部门的职能配置及其调整。协调县委、县政府部门之间以及县直部门与乡镇（区）、街道之间的职责分工。</w:t>
      </w:r>
    </w:p>
    <w:p>
      <w:pPr>
        <w:pStyle w:val="22"/>
      </w:pPr>
      <w:r>
        <w:t>（四）审核或审批县委、县政府各部门及各部门派出机构的职能配置、机构设置、人员编制和领导职数；审核县人大、县政协、县监委和县级人民团体机关的职能配置、机构设置、人员编制和领导职数；审核乡镇（区）、街道的职能配置、机构设置、人员编制和领导职数。</w:t>
      </w:r>
    </w:p>
    <w:p>
      <w:pPr>
        <w:pStyle w:val="22"/>
      </w:pPr>
      <w:r>
        <w:t>（五）审核或审批县直部门和乡镇（区）、街道党（工）委、政府（管委会、办事处）机构设置和调整事宜；审核县人大、政协、监委和各人民团体机关机构设置和调整事宜；审核县乡机构编制分类；负责需要承办的中央和国家机关、省、市垂直管理部门或双重管理部门（单位）机构编制有关事宜。</w:t>
      </w:r>
    </w:p>
    <w:p>
      <w:pPr>
        <w:pStyle w:val="22"/>
      </w:pPr>
      <w:r>
        <w:t>（六）组织拟订全县事业单位管理体制和机构改革方案。落实各类事业单位人员编制标准，组织拟订全县各类事业单位机构编制管理办法，负责推进事业单位机构编制标准体系建设；审核或审批县委、县政府直属事业单位、县直部门和乡镇（区）、街道所属事业单位的机构编制事宜；负责全县事业单位管理体制改革和机构编制管理工作；负责全县党政群机关统一社会信用代码赋码管理工作，负责全县事业单位法人登记的监督检查工作。</w:t>
      </w:r>
    </w:p>
    <w:p>
      <w:pPr>
        <w:pStyle w:val="22"/>
      </w:pPr>
      <w:r>
        <w:t>（七）负责全县开发区（园区）行政管理体制改革工作，组织拟订开发区（园区）机构编制管理办法并组织实施，审核开发区（园区）职能配置、机构设置、人员编制和领导职数。</w:t>
      </w:r>
    </w:p>
    <w:p>
      <w:pPr>
        <w:pStyle w:val="22"/>
      </w:pPr>
      <w:r>
        <w:t>（八）负责对全县机构编制的总量控制和动态管理。会同有关部门负责机构编制实名制工作；负责机关事业单位编制使用核准；建立健全机构编制部门与有关部门间的协调配合约束机制。</w:t>
      </w:r>
    </w:p>
    <w:p>
      <w:pPr>
        <w:pStyle w:val="22"/>
      </w:pPr>
      <w:r>
        <w:t>（九）负责对各级行政、事业单位管理体制和机构改革及机构编制执行情况的跟踪评估和监督检查。负责受理违反机构编制法规、纪律的检举、控告和投诉，对违反机构编制法规、纪律问题进行调查处理。</w:t>
      </w:r>
    </w:p>
    <w:p>
      <w:pPr>
        <w:pStyle w:val="22"/>
      </w:pPr>
      <w:r>
        <w:t>（十）负责全县机构编制电子政务和信息化工作。负责全县机构编制统计工作；负责机构编制网站的建设管理以及网络安全工作；负责全县党政群机关、事业单位和其他非营利性单位网上名称管理工作。负责本部门电子政务建设和信息化建设工作。</w:t>
      </w:r>
    </w:p>
    <w:p>
      <w:pPr>
        <w:pStyle w:val="22"/>
      </w:pPr>
      <w:r>
        <w:t>（十一）组织开展行政管理体制改革及机构编制管理创新基础性和前瞻性研究。</w:t>
      </w:r>
    </w:p>
    <w:p>
      <w:pPr>
        <w:pStyle w:val="22"/>
      </w:pPr>
      <w:r>
        <w:t>（十二）完成县委和县委机构编制委员会交办的其他任务。</w:t>
      </w:r>
    </w:p>
    <w:p>
      <w:pPr>
        <w:pStyle w:val="22"/>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中共宁晋县委机构编制委员会办公室</w:t>
            </w:r>
          </w:p>
        </w:tc>
        <w:tc>
          <w:tcPr>
            <w:tcW w:w="1843" w:type="dxa"/>
            <w:vAlign w:val="center"/>
          </w:tcPr>
          <w:p>
            <w:pPr>
              <w:pStyle w:val="18"/>
            </w:pPr>
            <w:r>
              <w:t>行政</w:t>
            </w:r>
          </w:p>
        </w:tc>
        <w:tc>
          <w:tcPr>
            <w:tcW w:w="2126" w:type="dxa"/>
            <w:vAlign w:val="center"/>
          </w:tcPr>
          <w:p>
            <w:pPr>
              <w:pStyle w:val="18"/>
            </w:pPr>
            <w:r>
              <w:t>正科级</w:t>
            </w:r>
          </w:p>
        </w:tc>
        <w:tc>
          <w:tcPr>
            <w:tcW w:w="3827" w:type="dxa"/>
            <w:vAlign w:val="center"/>
          </w:tcPr>
          <w:p>
            <w:pPr>
              <w:pStyle w:val="18"/>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按照预算管理有关规定，目前我省部门预算的编制实行综合预算管理，即全部收入和支出都反映在预算中。中共宁晋县委机构编制委员会办公室机关及所属事业单位的收支包含在部门预算中。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eastAsia="方正仿宋_GBK" w:cs="Times New Roman"/>
          <w:color w:val="000000"/>
          <w:sz w:val="28"/>
          <w:lang w:eastAsia="zh-CN"/>
        </w:rPr>
        <w:t>根据县财政局《关于</w:t>
      </w:r>
      <w:r>
        <w:rPr>
          <w:rFonts w:hint="eastAsia" w:eastAsia="方正仿宋_GBK" w:cs="Times New Roman"/>
          <w:color w:val="000000"/>
          <w:sz w:val="28"/>
          <w:lang w:val="en-US" w:eastAsia="zh-CN"/>
        </w:rPr>
        <w:t>2021年县级部门预算批复</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1</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本部门</w:t>
      </w:r>
      <w:r>
        <w:rPr>
          <w:rFonts w:hint="eastAsia" w:ascii="Times New Roman" w:hAnsi="Times New Roman" w:eastAsia="方正仿宋_GBK" w:cs="Times New Roman"/>
          <w:color w:val="000000"/>
          <w:sz w:val="28"/>
        </w:rPr>
        <w:t>预算</w:t>
      </w:r>
      <w:r>
        <w:rPr>
          <w:rFonts w:hint="eastAsia" w:eastAsia="方正仿宋_GBK" w:cs="Times New Roman"/>
          <w:color w:val="000000"/>
          <w:sz w:val="28"/>
          <w:lang w:eastAsia="zh-CN"/>
        </w:rPr>
        <w:t>总</w:t>
      </w:r>
      <w:r>
        <w:rPr>
          <w:rFonts w:hint="eastAsia" w:ascii="Times New Roman" w:hAnsi="Times New Roman" w:eastAsia="方正仿宋_GBK" w:cs="Times New Roman"/>
          <w:color w:val="000000"/>
          <w:sz w:val="28"/>
        </w:rPr>
        <w:t>收入</w:t>
      </w:r>
      <w:r>
        <w:rPr>
          <w:rFonts w:hint="eastAsia" w:eastAsia="方正仿宋_GBK" w:cs="Times New Roman"/>
          <w:color w:val="000000"/>
          <w:sz w:val="28"/>
          <w:lang w:eastAsia="zh-CN"/>
        </w:rPr>
        <w:t>为</w:t>
      </w:r>
      <w:r>
        <w:rPr>
          <w:rFonts w:hint="eastAsia" w:eastAsia="方正仿宋_GBK" w:cs="Times New Roman"/>
          <w:color w:val="000000"/>
          <w:sz w:val="28"/>
          <w:lang w:val="en-US" w:eastAsia="zh-CN"/>
        </w:rPr>
        <w:t>170.34</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支出说明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1</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本</w:t>
      </w:r>
      <w:r>
        <w:rPr>
          <w:rFonts w:hint="eastAsia" w:ascii="Times New Roman" w:hAnsi="Times New Roman" w:eastAsia="方正仿宋_GBK" w:cs="Times New Roman"/>
          <w:color w:val="000000"/>
          <w:sz w:val="28"/>
        </w:rPr>
        <w:t>部门预算</w:t>
      </w:r>
      <w:r>
        <w:rPr>
          <w:rFonts w:hint="eastAsia" w:eastAsia="方正仿宋_GBK" w:cs="Times New Roman"/>
          <w:color w:val="000000"/>
          <w:sz w:val="28"/>
          <w:lang w:eastAsia="zh-CN"/>
        </w:rPr>
        <w:t>总支出</w:t>
      </w:r>
      <w:r>
        <w:rPr>
          <w:rFonts w:hint="eastAsia" w:ascii="Times New Roman" w:hAnsi="Times New Roman" w:eastAsia="方正仿宋_GBK" w:cs="Times New Roman"/>
          <w:color w:val="000000"/>
          <w:sz w:val="28"/>
        </w:rPr>
        <w:t xml:space="preserve">为 </w:t>
      </w:r>
      <w:r>
        <w:rPr>
          <w:rFonts w:hint="eastAsia" w:eastAsia="方正仿宋_GBK" w:cs="Times New Roman"/>
          <w:color w:val="000000"/>
          <w:sz w:val="28"/>
          <w:lang w:val="en-US" w:eastAsia="zh-CN"/>
        </w:rPr>
        <w:t>170.34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133.22</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w:t>
      </w:r>
      <w:r>
        <w:rPr>
          <w:rFonts w:hint="eastAsia" w:eastAsia="方正仿宋_GBK" w:cs="Times New Roman"/>
          <w:color w:val="000000"/>
          <w:sz w:val="28"/>
          <w:lang w:val="en-US" w:eastAsia="zh-CN"/>
        </w:rPr>
        <w:t>23.25</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9.97</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37.12</w:t>
      </w:r>
      <w:r>
        <w:rPr>
          <w:rFonts w:hint="eastAsia" w:ascii="Times New Roman" w:hAnsi="Times New Roman" w:eastAsia="方正仿宋_GBK" w:cs="Times New Roman"/>
          <w:color w:val="000000"/>
          <w:sz w:val="28"/>
        </w:rPr>
        <w:t>万元，全部为本级支出。</w:t>
      </w:r>
    </w:p>
    <w:p>
      <w:pPr>
        <w:spacing w:before="0" w:after="0" w:line="500" w:lineRule="exact"/>
        <w:jc w:val="left"/>
        <w:outlineLvl w:val="9"/>
        <w:rPr>
          <w:rFonts w:hint="default"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 xml:space="preserve">       3、与上年相比增减变化情况</w:t>
      </w:r>
    </w:p>
    <w:p>
      <w:pPr>
        <w:spacing w:before="0" w:after="0" w:line="500" w:lineRule="exact"/>
        <w:ind w:firstLine="560"/>
        <w:jc w:val="left"/>
        <w:outlineLvl w:val="9"/>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1</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本</w:t>
      </w:r>
      <w:r>
        <w:rPr>
          <w:rFonts w:hint="eastAsia" w:ascii="Times New Roman" w:hAnsi="Times New Roman" w:eastAsia="方正仿宋_GBK" w:cs="Times New Roman"/>
          <w:color w:val="000000"/>
          <w:sz w:val="28"/>
        </w:rPr>
        <w:t>部门预算总支出</w:t>
      </w:r>
      <w:r>
        <w:rPr>
          <w:rFonts w:hint="eastAsia" w:eastAsia="方正仿宋_GBK" w:cs="Times New Roman"/>
          <w:color w:val="000000"/>
          <w:sz w:val="28"/>
          <w:lang w:val="en-US" w:eastAsia="zh-CN"/>
        </w:rPr>
        <w:t>170.34</w:t>
      </w:r>
      <w:r>
        <w:rPr>
          <w:rFonts w:hint="eastAsia" w:ascii="Times New Roman" w:hAnsi="Times New Roman" w:eastAsia="方正仿宋_GBK" w:cs="Times New Roman"/>
          <w:color w:val="000000"/>
          <w:sz w:val="28"/>
        </w:rPr>
        <w:t>万元，较2</w:t>
      </w:r>
      <w:r>
        <w:rPr>
          <w:rFonts w:hint="eastAsia" w:ascii="Times New Roman" w:hAnsi="Times New Roman" w:eastAsia="方正仿宋_GBK" w:cs="Times New Roman"/>
          <w:color w:val="000000"/>
          <w:sz w:val="28"/>
          <w:lang w:val="en-US" w:eastAsia="zh-CN"/>
        </w:rPr>
        <w:t>02</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年预算总支出</w:t>
      </w:r>
      <w:r>
        <w:rPr>
          <w:rFonts w:hint="eastAsia" w:ascii="Times New Roman" w:hAnsi="Times New Roman" w:eastAsia="方正仿宋_GBK" w:cs="Times New Roman"/>
          <w:color w:val="000000"/>
          <w:sz w:val="28"/>
          <w:lang w:val="en-US" w:eastAsia="zh-CN"/>
        </w:rPr>
        <w:t>1</w:t>
      </w:r>
      <w:r>
        <w:rPr>
          <w:rFonts w:hint="eastAsia" w:eastAsia="方正仿宋_GBK" w:cs="Times New Roman"/>
          <w:color w:val="000000"/>
          <w:sz w:val="28"/>
          <w:lang w:val="en-US" w:eastAsia="zh-CN"/>
        </w:rPr>
        <w:t>51.27</w:t>
      </w:r>
      <w:r>
        <w:rPr>
          <w:rFonts w:hint="eastAsia" w:ascii="Times New Roman" w:hAnsi="Times New Roman" w:eastAsia="方正仿宋_GBK" w:cs="Times New Roman"/>
          <w:color w:val="000000"/>
          <w:sz w:val="28"/>
        </w:rPr>
        <w:t>万元增加</w:t>
      </w:r>
      <w:r>
        <w:rPr>
          <w:rFonts w:hint="eastAsia" w:eastAsia="方正仿宋_GBK" w:cs="Times New Roman"/>
          <w:color w:val="000000"/>
          <w:sz w:val="28"/>
          <w:lang w:val="en-US" w:eastAsia="zh-CN"/>
        </w:rPr>
        <w:t>19.07</w:t>
      </w:r>
      <w:r>
        <w:rPr>
          <w:rFonts w:hint="eastAsia" w:ascii="Times New Roman" w:hAnsi="Times New Roman" w:eastAsia="方正仿宋_GBK" w:cs="Times New Roman"/>
          <w:color w:val="000000"/>
          <w:sz w:val="28"/>
        </w:rPr>
        <w:t>万元，增</w:t>
      </w:r>
      <w:r>
        <w:rPr>
          <w:rFonts w:hint="eastAsia" w:eastAsia="方正仿宋_GBK" w:cs="Times New Roman"/>
          <w:color w:val="000000"/>
          <w:sz w:val="28"/>
          <w:lang w:eastAsia="zh-CN"/>
        </w:rPr>
        <w:t>长</w:t>
      </w:r>
      <w:r>
        <w:rPr>
          <w:rFonts w:hint="eastAsia" w:eastAsia="方正仿宋_GBK" w:cs="Times New Roman"/>
          <w:color w:val="000000"/>
          <w:sz w:val="28"/>
          <w:lang w:val="en-US" w:eastAsia="zh-CN"/>
        </w:rPr>
        <w:t>12.6</w:t>
      </w:r>
      <w:r>
        <w:rPr>
          <w:rFonts w:hint="eastAsia" w:ascii="Times New Roman" w:hAnsi="Times New Roman" w:eastAsia="方正仿宋_GBK" w:cs="Times New Roman"/>
          <w:color w:val="000000"/>
          <w:sz w:val="28"/>
        </w:rPr>
        <w:t>%。其中，人员经费支出</w:t>
      </w:r>
      <w:r>
        <w:rPr>
          <w:rFonts w:hint="eastAsia" w:ascii="Times New Roman" w:hAnsi="Times New Roman" w:eastAsia="方正仿宋_GBK" w:cs="Times New Roman"/>
          <w:color w:val="000000"/>
          <w:sz w:val="28"/>
          <w:lang w:val="en-US" w:eastAsia="zh-CN"/>
        </w:rPr>
        <w:t>1</w:t>
      </w:r>
      <w:r>
        <w:rPr>
          <w:rFonts w:hint="eastAsia" w:eastAsia="方正仿宋_GBK" w:cs="Times New Roman"/>
          <w:color w:val="000000"/>
          <w:sz w:val="28"/>
          <w:lang w:val="en-US" w:eastAsia="zh-CN"/>
        </w:rPr>
        <w:t>23.25</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12</w:t>
      </w:r>
      <w:r>
        <w:rPr>
          <w:rFonts w:hint="eastAsia" w:eastAsia="方正仿宋_GBK" w:cs="Times New Roman"/>
          <w:color w:val="000000"/>
          <w:sz w:val="28"/>
          <w:lang w:val="en-US" w:eastAsia="zh-CN"/>
        </w:rPr>
        <w:t>2.51</w:t>
      </w:r>
      <w:r>
        <w:rPr>
          <w:rFonts w:hint="eastAsia" w:ascii="Times New Roman" w:hAnsi="Times New Roman" w:eastAsia="方正仿宋_GBK" w:cs="Times New Roman"/>
          <w:color w:val="000000"/>
          <w:sz w:val="28"/>
        </w:rPr>
        <w:t>万元增加</w:t>
      </w:r>
      <w:r>
        <w:rPr>
          <w:rFonts w:hint="eastAsia" w:eastAsia="方正仿宋_GBK" w:cs="Times New Roman"/>
          <w:color w:val="000000"/>
          <w:sz w:val="28"/>
          <w:lang w:val="en-US" w:eastAsia="zh-CN"/>
        </w:rPr>
        <w:t>0.74</w:t>
      </w:r>
      <w:r>
        <w:rPr>
          <w:rFonts w:hint="eastAsia" w:ascii="Times New Roman" w:hAnsi="Times New Roman" w:eastAsia="方正仿宋_GBK" w:cs="Times New Roman"/>
          <w:color w:val="000000"/>
          <w:sz w:val="28"/>
        </w:rPr>
        <w:t>万元，增长</w:t>
      </w:r>
      <w:r>
        <w:rPr>
          <w:rFonts w:hint="eastAsia" w:eastAsia="方正仿宋_GBK" w:cs="Times New Roman"/>
          <w:color w:val="000000"/>
          <w:sz w:val="28"/>
          <w:lang w:val="en-US" w:eastAsia="zh-CN"/>
        </w:rPr>
        <w:t>0.6</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，主要是人员增加；</w:t>
      </w:r>
      <w:r>
        <w:rPr>
          <w:rFonts w:hint="eastAsia" w:ascii="Times New Roman" w:hAnsi="Times New Roman" w:eastAsia="方正仿宋_GBK" w:cs="Times New Roman"/>
          <w:color w:val="000000"/>
          <w:sz w:val="28"/>
        </w:rPr>
        <w:t>日常公用经费支出</w:t>
      </w:r>
      <w:r>
        <w:rPr>
          <w:rFonts w:hint="eastAsia" w:eastAsia="方正仿宋_GBK" w:cs="Times New Roman"/>
          <w:color w:val="000000"/>
          <w:sz w:val="28"/>
          <w:lang w:val="en-US" w:eastAsia="zh-CN"/>
        </w:rPr>
        <w:t>9.97</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val="en-US" w:eastAsia="zh-CN"/>
        </w:rPr>
        <w:t>10.09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0.12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1.2</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w:t>
      </w:r>
      <w:r>
        <w:rPr>
          <w:rFonts w:hint="eastAsia" w:eastAsia="方正仿宋_GBK" w:cs="Times New Roman"/>
          <w:color w:val="000000"/>
          <w:sz w:val="28"/>
          <w:lang w:val="en-US" w:eastAsia="zh-CN"/>
        </w:rPr>
        <w:t>2021年缩减日常公用经费</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val="en-US" w:eastAsia="zh-CN"/>
        </w:rPr>
        <w:t>37.12</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val="en-US" w:eastAsia="zh-CN"/>
        </w:rPr>
        <w:t>18.67</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1</w:t>
      </w:r>
      <w:r>
        <w:rPr>
          <w:rFonts w:hint="eastAsia" w:eastAsia="方正仿宋_GBK" w:cs="Times New Roman"/>
          <w:color w:val="000000"/>
          <w:sz w:val="28"/>
          <w:lang w:val="en-US" w:eastAsia="zh-CN"/>
        </w:rPr>
        <w:t>8.45</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增长</w:t>
      </w:r>
      <w:r>
        <w:rPr>
          <w:rFonts w:hint="eastAsia" w:eastAsia="方正仿宋_GBK" w:cs="Times New Roman"/>
          <w:color w:val="000000"/>
          <w:sz w:val="28"/>
          <w:lang w:val="en-US" w:eastAsia="zh-CN"/>
        </w:rPr>
        <w:t>99</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，主要是项目增加</w:t>
      </w:r>
      <w:r>
        <w:rPr>
          <w:rFonts w:hint="eastAsia"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4"/>
        <w:rPr>
          <w:rFonts w:hint="eastAsia" w:eastAsia="方正仿宋_GBK"/>
          <w:lang w:eastAsia="zh-CN"/>
        </w:rPr>
      </w:pPr>
      <w:r>
        <w:rPr>
          <w:rFonts w:hint="eastAsia"/>
        </w:rPr>
        <w:t>我部门机关202</w:t>
      </w:r>
      <w:r>
        <w:rPr>
          <w:rFonts w:hint="eastAsia"/>
          <w:lang w:val="en-US" w:eastAsia="zh-CN"/>
        </w:rPr>
        <w:t>1</w:t>
      </w:r>
      <w:r>
        <w:rPr>
          <w:rFonts w:hint="eastAsia"/>
        </w:rPr>
        <w:t>年日常公用经费共计安排</w:t>
      </w:r>
      <w:r>
        <w:rPr>
          <w:rFonts w:hint="eastAsia"/>
          <w:lang w:val="en-US" w:eastAsia="zh-CN"/>
        </w:rPr>
        <w:t>9.97</w:t>
      </w:r>
      <w:r>
        <w:rPr>
          <w:rFonts w:hint="eastAsia"/>
        </w:rPr>
        <w:t>万元，较202</w:t>
      </w:r>
      <w:r>
        <w:rPr>
          <w:rFonts w:hint="eastAsia"/>
          <w:lang w:val="en-US" w:eastAsia="zh-CN"/>
        </w:rPr>
        <w:t>0</w:t>
      </w:r>
      <w:r>
        <w:rPr>
          <w:rFonts w:hint="eastAsia"/>
        </w:rPr>
        <w:t>年</w:t>
      </w:r>
      <w:r>
        <w:rPr>
          <w:rFonts w:hint="eastAsia"/>
          <w:lang w:val="en-US" w:eastAsia="zh-CN"/>
        </w:rPr>
        <w:t>10.09</w:t>
      </w:r>
      <w:r>
        <w:rPr>
          <w:rFonts w:hint="eastAsia"/>
        </w:rPr>
        <w:t>万元</w:t>
      </w:r>
      <w:r>
        <w:rPr>
          <w:rFonts w:hint="eastAsia"/>
          <w:lang w:eastAsia="zh-CN"/>
        </w:rPr>
        <w:t>减少</w:t>
      </w:r>
      <w:r>
        <w:rPr>
          <w:rFonts w:hint="eastAsia"/>
          <w:lang w:val="en-US" w:eastAsia="zh-CN"/>
        </w:rPr>
        <w:t>0.12</w:t>
      </w:r>
      <w:r>
        <w:rPr>
          <w:rFonts w:hint="eastAsia"/>
        </w:rPr>
        <w:t>万元，主要是202</w:t>
      </w:r>
      <w:r>
        <w:rPr>
          <w:rFonts w:hint="eastAsia"/>
          <w:lang w:val="en-US" w:eastAsia="zh-CN"/>
        </w:rPr>
        <w:t>1</w:t>
      </w:r>
      <w:r>
        <w:rPr>
          <w:rFonts w:hint="eastAsia"/>
        </w:rPr>
        <w:t>年</w:t>
      </w:r>
      <w:r>
        <w:rPr>
          <w:rFonts w:hint="eastAsia"/>
          <w:lang w:eastAsia="zh-CN"/>
        </w:rPr>
        <w:t>缩减日常公用经费。</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5"/>
      </w:pPr>
      <w:r>
        <w:rPr>
          <w:rFonts w:hint="eastAsia"/>
        </w:rPr>
        <w:t>202</w:t>
      </w:r>
      <w:r>
        <w:rPr>
          <w:rFonts w:hint="eastAsia"/>
          <w:lang w:val="en-US" w:eastAsia="zh-CN"/>
        </w:rPr>
        <w:t>1</w:t>
      </w:r>
      <w:r>
        <w:rPr>
          <w:rFonts w:hint="eastAsia"/>
        </w:rPr>
        <w:t>年“三公”经费预算数为0万元</w:t>
      </w:r>
      <w:r>
        <w:rPr>
          <w:rFonts w:hint="eastAsia"/>
          <w:lang w:eastAsia="zh-CN"/>
        </w:rPr>
        <w:t>，与</w:t>
      </w:r>
      <w:r>
        <w:rPr>
          <w:rFonts w:hint="eastAsia"/>
          <w:lang w:val="en-US" w:eastAsia="zh-CN"/>
        </w:rPr>
        <w:t>2020年相比无变化。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6"/>
      </w:pPr>
      <w:r>
        <w:t>1.进一步强化机构编制工作的主动性、前瞻性。按照既管住编制，又盘活资源，用好资源的总体要求，积极作为，探索更好服务全县经济发展的思路和举措，充分发挥好机构编制的保障作用，积极应对省市对县机构编制的目标考核工作，促进全县机构编制规范管理在上新台阶。</w:t>
      </w:r>
    </w:p>
    <w:p>
      <w:pPr>
        <w:pStyle w:val="26"/>
      </w:pPr>
      <w:r>
        <w:t>2.进一步加大取消下放力度。继续衔接好省、市政府取消下放行政审批事项。在广泛征求意见建议和深入论证的基础上聚焦民营经济、开发区等重点领域，根据省要求，进一步精简市政府各部门行政审批事项。</w:t>
      </w:r>
    </w:p>
    <w:p>
      <w:pPr>
        <w:pStyle w:val="26"/>
      </w:pPr>
      <w:r>
        <w:t>3.认真做好事业单位分类改革各项工作。关注和分析研究国家及省市关于行政体制改革和事业单位分类改革的动向和有关政策规定，为我县各项改革的实施扎实做好准备工作，继续抓好分类推进事业单位改革工作，构建公益服务新格局，完善支持公益事业发展政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7"/>
      </w:pPr>
      <w:r>
        <w:t>1.深化“放管服”行政审批制度改革。一是持续推进简政放权，进一步激发市场活力和社会创造力。二是完善清单管理体系。三推进政府监管体制改革，加快构建事中事后监管体系。四是清理规范审批中介事项和收费，着力规范中介服务行为。五是对简政放权进行专项督查，确保制度落实。六、开展“评估问效”成立专家组，对简政放权重大政策落实情况进行跟踪评估，完成上级督查任务。</w:t>
      </w:r>
    </w:p>
    <w:p>
      <w:pPr>
        <w:pStyle w:val="27"/>
      </w:pPr>
      <w:r>
        <w:t>2.积极开展事业单位登记和机关群团赋码工作。一是深入推进事业单位法人治理结构试点工作。上半年全面完成我县2016年度349个事业单位年度报告公示工作，截止2017年11月份，事业单位法人新设立登记4个，事业单位法人变更登记19个。二是全面完成机关群团统一社会信用代码赋码工作。</w:t>
      </w:r>
    </w:p>
    <w:p>
      <w:pPr>
        <w:pStyle w:val="27"/>
      </w:pPr>
      <w:r>
        <w:t>3.严格机构编制管理，认真落实上级控编减编要求。一是严格执行编制使用核准制度。二是严格落实公开招聘用编备案制度。三是认真落实控编减编工作方案。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8"/>
      </w:pPr>
      <w:r>
        <w:t>1、推进精准放权和精确落地</w:t>
      </w:r>
    </w:p>
    <w:p>
      <w:pPr>
        <w:pStyle w:val="28"/>
      </w:pPr>
      <w:r>
        <w:t>及时衔接落实国家和省取消下放行政审批事项，统一规范取消下放的必经程序、落实责任、效果评估等，加强统筹、横向配套，开展取消下放情况“回头看”。衔接好国务院、省政府清理规范行政审批中介服务事项，动态调整我县中介服务事项清单。</w:t>
      </w:r>
    </w:p>
    <w:p>
      <w:pPr>
        <w:pStyle w:val="28"/>
      </w:pPr>
      <w:r>
        <w:t>2、积极探索行政审批标准化工作</w:t>
      </w:r>
    </w:p>
    <w:p>
      <w:pPr>
        <w:pStyle w:val="28"/>
      </w:pPr>
      <w:r>
        <w:t>依据《行政许可事项编码规则》，将编制县行政许可事项通用目录，推进行政审批标准化建设。</w:t>
      </w:r>
    </w:p>
    <w:p>
      <w:pPr>
        <w:pStyle w:val="28"/>
      </w:pPr>
      <w:r>
        <w:t>3、健全“两个清单”和事中事后监管制度</w:t>
      </w:r>
    </w:p>
    <w:p>
      <w:pPr>
        <w:pStyle w:val="28"/>
        <w:spacing w:line="240" w:lineRule="auto"/>
        <w:ind w:firstLine="0"/>
        <w:rPr>
          <w:rFonts w:hint="eastAsia"/>
          <w:lang w:val="en-US" w:eastAsia="zh-CN"/>
        </w:rPr>
      </w:pPr>
      <w:r>
        <w:t xml:space="preserve">继续深入推行清单制度，实行动态管理，不断完善清单的内容和形式。推动县政府各部门健全完善事中事后监管制度，进一步创新监管机制，规范监管行为，明确监管主体，落实监管责任。                                                               </w:t>
      </w:r>
      <w:r>
        <w:rPr>
          <w:rFonts w:hint="eastAsia"/>
          <w:lang w:val="en-US" w:eastAsia="zh-CN"/>
        </w:rPr>
        <w:t xml:space="preserve">          </w:t>
      </w:r>
      <w:r>
        <w:t xml:space="preserve"> </w:t>
      </w:r>
      <w:r>
        <w:rPr>
          <w:rFonts w:hint="eastAsia"/>
          <w:lang w:val="en-US" w:eastAsia="zh-CN"/>
        </w:rPr>
        <w:t xml:space="preserve">       </w:t>
      </w:r>
    </w:p>
    <w:p>
      <w:pPr>
        <w:pStyle w:val="28"/>
        <w:spacing w:line="240" w:lineRule="auto"/>
        <w:ind w:firstLine="560" w:firstLineChars="200"/>
      </w:pPr>
      <w:r>
        <w:t>4、继续做好控编减编工作</w:t>
      </w:r>
    </w:p>
    <w:p>
      <w:pPr>
        <w:pStyle w:val="28"/>
      </w:pPr>
      <w:r>
        <w:t>进一步落实好控编减编工作方案，强化工作责任，确保党政群机关和事业单位编制总量不突破，确保财政供养人员只减不增。</w:t>
      </w:r>
    </w:p>
    <w:p>
      <w:pPr>
        <w:pStyle w:val="28"/>
      </w:pPr>
      <w:r>
        <w:t>5、继续加强机构编制管理基础建设</w:t>
      </w:r>
    </w:p>
    <w:p>
      <w:pPr>
        <w:pStyle w:val="28"/>
      </w:pPr>
      <w:r>
        <w:t>一是严格落实机构编制实名制管理各项规定，进一步完善机构编制实名制数据库，严格实名制平台信息管理工作。二是完善机构编制统计工作，结合实名制管理做好机构编制统计年报工作。三是做好中文域名注册、网站挂标等工作，争取中文域名注册完成达100%。</w:t>
      </w:r>
    </w:p>
    <w:p>
      <w:pPr>
        <w:pStyle w:val="28"/>
      </w:pPr>
      <w:r>
        <w:t>6、健全完善机构编制规范管理示范县创建工作。</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numPr>
          <w:ilvl w:val="0"/>
          <w:numId w:val="1"/>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行政审批制度改革工作经费绩效目标</w:t>
      </w:r>
    </w:p>
    <w:tbl>
      <w:tblPr>
        <w:tblStyle w:val="8"/>
        <w:tblW w:w="13243" w:type="dxa"/>
        <w:tblInd w:w="93" w:type="dxa"/>
        <w:tblLayout w:type="fixed"/>
        <w:tblCellMar>
          <w:top w:w="0" w:type="dxa"/>
          <w:left w:w="108" w:type="dxa"/>
          <w:bottom w:w="0" w:type="dxa"/>
          <w:right w:w="108" w:type="dxa"/>
        </w:tblCellMar>
      </w:tblPr>
      <w:tblGrid>
        <w:gridCol w:w="1468"/>
        <w:gridCol w:w="1965"/>
        <w:gridCol w:w="2250"/>
        <w:gridCol w:w="1620"/>
        <w:gridCol w:w="1035"/>
        <w:gridCol w:w="1590"/>
        <w:gridCol w:w="3315"/>
      </w:tblGrid>
      <w:tr>
        <w:tblPrEx>
          <w:tblCellMar>
            <w:top w:w="0" w:type="dxa"/>
            <w:left w:w="108" w:type="dxa"/>
            <w:bottom w:w="0" w:type="dxa"/>
            <w:right w:w="108" w:type="dxa"/>
          </w:tblCellMar>
        </w:tblPrEx>
        <w:trPr>
          <w:trHeight w:val="270" w:hRule="atLeast"/>
        </w:trPr>
        <w:tc>
          <w:tcPr>
            <w:tcW w:w="1324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  中共宁晋县委机构编制委员会办公室                                       单位：万元</w:t>
            </w:r>
          </w:p>
        </w:tc>
      </w:tr>
      <w:tr>
        <w:tblPrEx>
          <w:tblCellMar>
            <w:top w:w="0" w:type="dxa"/>
            <w:left w:w="108" w:type="dxa"/>
            <w:bottom w:w="0" w:type="dxa"/>
            <w:right w:w="108" w:type="dxa"/>
          </w:tblCellMar>
        </w:tblPrEx>
        <w:trPr>
          <w:trHeight w:val="500" w:hRule="atLeast"/>
        </w:trPr>
        <w:tc>
          <w:tcPr>
            <w:tcW w:w="146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421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130528211LLZNXLRXMQSO</w:t>
            </w:r>
          </w:p>
        </w:tc>
        <w:tc>
          <w:tcPr>
            <w:tcW w:w="16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594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行政审批制度改革工作经费</w:t>
            </w:r>
          </w:p>
        </w:tc>
      </w:tr>
      <w:tr>
        <w:tblPrEx>
          <w:tblCellMar>
            <w:top w:w="0" w:type="dxa"/>
            <w:left w:w="108" w:type="dxa"/>
            <w:bottom w:w="0" w:type="dxa"/>
            <w:right w:w="108" w:type="dxa"/>
          </w:tblCellMar>
        </w:tblPrEx>
        <w:trPr>
          <w:trHeight w:val="36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0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42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177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权力清单和责任清单动态调整</w:t>
            </w:r>
          </w:p>
        </w:tc>
      </w:tr>
      <w:tr>
        <w:tblPrEx>
          <w:tblCellMar>
            <w:top w:w="0" w:type="dxa"/>
            <w:left w:w="108" w:type="dxa"/>
            <w:bottom w:w="0" w:type="dxa"/>
            <w:right w:w="108" w:type="dxa"/>
          </w:tblCellMar>
        </w:tblPrEx>
        <w:trPr>
          <w:trHeight w:val="34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03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49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103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9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020" w:hRule="atLeast"/>
        </w:trPr>
        <w:tc>
          <w:tcPr>
            <w:tcW w:w="146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177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1.强化社会管理和公共服务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2.权力清单和责任清单动态调整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3.重点抓好清权、减权、制权等环节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4.扎实做好潜力清单制度建设相关工作</w:t>
            </w:r>
          </w:p>
        </w:tc>
      </w:tr>
      <w:tr>
        <w:tblPrEx>
          <w:tblCellMar>
            <w:top w:w="0" w:type="dxa"/>
            <w:left w:w="108" w:type="dxa"/>
            <w:bottom w:w="0" w:type="dxa"/>
            <w:right w:w="108" w:type="dxa"/>
          </w:tblCellMar>
        </w:tblPrEx>
        <w:trPr>
          <w:trHeight w:val="270" w:hRule="atLeast"/>
        </w:trPr>
        <w:tc>
          <w:tcPr>
            <w:tcW w:w="146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96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65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66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提高效能，形成权责一致</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县政府机构改革目标完成率</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45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分工合理、决策科学</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动态调整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4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三报三回工作流程</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创新工作完成率</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46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成本控制</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权限清理意见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4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对经济发展带来的效果</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县政府机构改革目标完成率</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4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提高职工幸福感</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职工满意度</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0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社会发展保障力</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消除权力设租寻租空间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0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落实国家政策</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群众对国家政策满意</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640" w:hRule="atLeast"/>
        </w:trPr>
        <w:tc>
          <w:tcPr>
            <w:tcW w:w="14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对两个清单的满意程度</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bl>
    <w:p>
      <w:pPr>
        <w:numPr>
          <w:ilvl w:val="0"/>
          <w:numId w:val="0"/>
        </w:numPr>
        <w:jc w:val="both"/>
        <w:rPr>
          <w:rFonts w:hint="default" w:ascii="仿宋_GB2312" w:hAnsi="仿宋_GB2312" w:eastAsia="仿宋_GB2312" w:cs="仿宋_GB2312"/>
          <w:b/>
          <w:bCs/>
          <w:sz w:val="32"/>
          <w:szCs w:val="32"/>
          <w:lang w:val="en-US" w:eastAsia="zh-CN"/>
        </w:rPr>
      </w:pPr>
    </w:p>
    <w:p>
      <w:pPr>
        <w:numPr>
          <w:ilvl w:val="0"/>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2.2020年度精神文明奖及平安建设奖绩效目标表</w:t>
      </w:r>
    </w:p>
    <w:tbl>
      <w:tblPr>
        <w:tblStyle w:val="8"/>
        <w:tblW w:w="13393" w:type="dxa"/>
        <w:tblInd w:w="93" w:type="dxa"/>
        <w:tblLayout w:type="fixed"/>
        <w:tblCellMar>
          <w:top w:w="0" w:type="dxa"/>
          <w:left w:w="108" w:type="dxa"/>
          <w:bottom w:w="0" w:type="dxa"/>
          <w:right w:w="108" w:type="dxa"/>
        </w:tblCellMar>
      </w:tblPr>
      <w:tblGrid>
        <w:gridCol w:w="1378"/>
        <w:gridCol w:w="1920"/>
        <w:gridCol w:w="1950"/>
        <w:gridCol w:w="945"/>
        <w:gridCol w:w="1680"/>
        <w:gridCol w:w="1695"/>
        <w:gridCol w:w="3825"/>
      </w:tblGrid>
      <w:tr>
        <w:tblPrEx>
          <w:tblCellMar>
            <w:top w:w="0" w:type="dxa"/>
            <w:left w:w="108" w:type="dxa"/>
            <w:bottom w:w="0" w:type="dxa"/>
            <w:right w:w="108" w:type="dxa"/>
          </w:tblCellMar>
        </w:tblPrEx>
        <w:trPr>
          <w:trHeight w:val="270" w:hRule="atLeast"/>
        </w:trPr>
        <w:tc>
          <w:tcPr>
            <w:tcW w:w="1339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  中共宁晋县委机构编制委员会办公室                                       单位：万元</w:t>
            </w:r>
          </w:p>
        </w:tc>
      </w:tr>
      <w:tr>
        <w:tblPrEx>
          <w:tblCellMar>
            <w:top w:w="0" w:type="dxa"/>
            <w:left w:w="108" w:type="dxa"/>
            <w:bottom w:w="0" w:type="dxa"/>
            <w:right w:w="108" w:type="dxa"/>
          </w:tblCellMar>
        </w:tblPrEx>
        <w:trPr>
          <w:trHeight w:val="500" w:hRule="atLeast"/>
        </w:trPr>
        <w:tc>
          <w:tcPr>
            <w:tcW w:w="13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387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1305282190THQU9XI7ZA5</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720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2020年度精神文明奖及平安建设奖</w:t>
            </w:r>
          </w:p>
        </w:tc>
      </w:tr>
      <w:tr>
        <w:tblPrEx>
          <w:tblCellMar>
            <w:top w:w="0" w:type="dxa"/>
            <w:left w:w="108" w:type="dxa"/>
            <w:bottom w:w="0" w:type="dxa"/>
            <w:right w:w="108" w:type="dxa"/>
          </w:tblCellMar>
        </w:tblPrEx>
        <w:trPr>
          <w:trHeight w:val="360"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13.50</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6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13.50</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1060"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01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进一步调动广大职工工作的积极性、主动性和创造性，结合我单位实际，申请2020年度精神文明奖及平安建设奖13.5万元，用于我单位15位职工精神文明奖和平安建设奖发放，鼓励干部职工在新的一年再接再厉，用心工作，发光发热。并由银行代发到单位每位在编人员的个人账户中，保障机关的正常运转。</w:t>
            </w:r>
          </w:p>
        </w:tc>
      </w:tr>
      <w:tr>
        <w:tblPrEx>
          <w:tblCellMar>
            <w:top w:w="0" w:type="dxa"/>
            <w:left w:w="108" w:type="dxa"/>
            <w:bottom w:w="0" w:type="dxa"/>
            <w:right w:w="108" w:type="dxa"/>
          </w:tblCellMar>
        </w:tblPrEx>
        <w:trPr>
          <w:trHeight w:val="340"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387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94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552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3870"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52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020" w:hRule="atLeast"/>
        </w:trPr>
        <w:tc>
          <w:tcPr>
            <w:tcW w:w="13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01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1.为进一步调动广大职工工作的积极性、主动性和创造性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2.鼓励干部职工在新的一年再接再厉，用心工作，发光发热。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3.保证工作的正常运行</w:t>
            </w:r>
          </w:p>
        </w:tc>
      </w:tr>
      <w:tr>
        <w:tblPrEx>
          <w:tblCellMar>
            <w:top w:w="0" w:type="dxa"/>
            <w:left w:w="108" w:type="dxa"/>
            <w:bottom w:w="0" w:type="dxa"/>
            <w:right w:w="108" w:type="dxa"/>
          </w:tblCellMar>
        </w:tblPrEx>
        <w:trPr>
          <w:trHeight w:val="270" w:hRule="atLeast"/>
        </w:trPr>
        <w:tc>
          <w:tcPr>
            <w:tcW w:w="13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9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62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490"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发放人数</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发放奖励人数</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50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1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按时支付完成率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按时完成率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4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严格标准发放率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标准发放率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75"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7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358"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60"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585" w:hRule="atLeast"/>
        </w:trPr>
        <w:tc>
          <w:tcPr>
            <w:tcW w:w="13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bl>
    <w:p>
      <w:pPr>
        <w:numPr>
          <w:ilvl w:val="0"/>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3.2020年度目标绩效奖绩效目标表</w:t>
      </w:r>
    </w:p>
    <w:tbl>
      <w:tblPr>
        <w:tblStyle w:val="8"/>
        <w:tblW w:w="13708" w:type="dxa"/>
        <w:tblInd w:w="93" w:type="dxa"/>
        <w:tblLayout w:type="fixed"/>
        <w:tblCellMar>
          <w:top w:w="0" w:type="dxa"/>
          <w:left w:w="108" w:type="dxa"/>
          <w:bottom w:w="0" w:type="dxa"/>
          <w:right w:w="108" w:type="dxa"/>
        </w:tblCellMar>
      </w:tblPr>
      <w:tblGrid>
        <w:gridCol w:w="1123"/>
        <w:gridCol w:w="1905"/>
        <w:gridCol w:w="1830"/>
        <w:gridCol w:w="1830"/>
        <w:gridCol w:w="1230"/>
        <w:gridCol w:w="1095"/>
        <w:gridCol w:w="4695"/>
      </w:tblGrid>
      <w:tr>
        <w:tblPrEx>
          <w:tblCellMar>
            <w:top w:w="0" w:type="dxa"/>
            <w:left w:w="108" w:type="dxa"/>
            <w:bottom w:w="0" w:type="dxa"/>
            <w:right w:w="108" w:type="dxa"/>
          </w:tblCellMar>
        </w:tblPrEx>
        <w:trPr>
          <w:trHeight w:val="270" w:hRule="atLeast"/>
        </w:trPr>
        <w:tc>
          <w:tcPr>
            <w:tcW w:w="13708"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  中共宁晋县委机构编制委员会办公室                                     单位：万元</w:t>
            </w:r>
          </w:p>
        </w:tc>
      </w:tr>
      <w:tr>
        <w:tblPrEx>
          <w:tblCellMar>
            <w:top w:w="0" w:type="dxa"/>
            <w:left w:w="108" w:type="dxa"/>
            <w:bottom w:w="0" w:type="dxa"/>
            <w:right w:w="108" w:type="dxa"/>
          </w:tblCellMar>
        </w:tblPrEx>
        <w:trPr>
          <w:trHeight w:val="500" w:hRule="atLeast"/>
        </w:trPr>
        <w:tc>
          <w:tcPr>
            <w:tcW w:w="112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373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13052821BQUV85GDZ1XPF</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702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2020年度目标绩效奖</w:t>
            </w:r>
          </w:p>
        </w:tc>
      </w:tr>
      <w:tr>
        <w:tblPrEx>
          <w:tblCellMar>
            <w:top w:w="0" w:type="dxa"/>
            <w:left w:w="108" w:type="dxa"/>
            <w:bottom w:w="0" w:type="dxa"/>
            <w:right w:w="108" w:type="dxa"/>
          </w:tblCellMar>
        </w:tblPrEx>
        <w:trPr>
          <w:trHeight w:val="360"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106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58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进一步调动广大职工工作的积极性、主动性和创造性，结合我单位实际，申请2020年度目标考核奖3.26万元，用于我单位15位职工精神文明奖和平安建设奖发放，鼓励干部职工在新的一年再接再厉，用心工作，发光发热。并由银行代发到单位每位在编人员的个人账户中，保障机关的正常运转</w:t>
            </w:r>
          </w:p>
        </w:tc>
      </w:tr>
      <w:tr>
        <w:tblPrEx>
          <w:tblCellMar>
            <w:top w:w="0" w:type="dxa"/>
            <w:left w:w="108" w:type="dxa"/>
            <w:bottom w:w="0" w:type="dxa"/>
            <w:right w:w="108" w:type="dxa"/>
          </w:tblCellMar>
        </w:tblPrEx>
        <w:trPr>
          <w:trHeight w:val="340"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373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8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579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3735"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79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020" w:hRule="atLeast"/>
        </w:trPr>
        <w:tc>
          <w:tcPr>
            <w:tcW w:w="112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58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1.为进一步调动广大职工工作的积极性、主动性和创造性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2.鼓励干部职工在新的一年再接再厉，用心工作，发光发热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3.保证工作的正常运行</w:t>
            </w:r>
          </w:p>
        </w:tc>
      </w:tr>
      <w:tr>
        <w:tblPrEx>
          <w:tblCellMar>
            <w:top w:w="0" w:type="dxa"/>
            <w:left w:w="108" w:type="dxa"/>
            <w:bottom w:w="0" w:type="dxa"/>
            <w:right w:w="108" w:type="dxa"/>
          </w:tblCellMar>
        </w:tblPrEx>
        <w:trPr>
          <w:trHeight w:val="270" w:hRule="atLeast"/>
        </w:trPr>
        <w:tc>
          <w:tcPr>
            <w:tcW w:w="112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9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06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530"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发放人数</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发放奖励人数</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3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485"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按时支付完成率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按时完成率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15"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严格标准发放率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标准发放率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15"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44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6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45"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465" w:hRule="atLeast"/>
        </w:trPr>
        <w:tc>
          <w:tcPr>
            <w:tcW w:w="11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bl>
    <w:p>
      <w:pPr>
        <w:numPr>
          <w:ilvl w:val="0"/>
          <w:numId w:val="2"/>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中文域名工作经费绩效目标表</w:t>
      </w:r>
    </w:p>
    <w:tbl>
      <w:tblPr>
        <w:tblStyle w:val="8"/>
        <w:tblW w:w="13558" w:type="dxa"/>
        <w:tblInd w:w="93" w:type="dxa"/>
        <w:tblLayout w:type="fixed"/>
        <w:tblCellMar>
          <w:top w:w="0" w:type="dxa"/>
          <w:left w:w="108" w:type="dxa"/>
          <w:bottom w:w="0" w:type="dxa"/>
          <w:right w:w="108" w:type="dxa"/>
        </w:tblCellMar>
      </w:tblPr>
      <w:tblGrid>
        <w:gridCol w:w="1183"/>
        <w:gridCol w:w="1860"/>
        <w:gridCol w:w="2805"/>
        <w:gridCol w:w="1515"/>
        <w:gridCol w:w="1200"/>
        <w:gridCol w:w="135"/>
        <w:gridCol w:w="1770"/>
        <w:gridCol w:w="3090"/>
      </w:tblGrid>
      <w:tr>
        <w:tblPrEx>
          <w:tblCellMar>
            <w:top w:w="0" w:type="dxa"/>
            <w:left w:w="108" w:type="dxa"/>
            <w:bottom w:w="0" w:type="dxa"/>
            <w:right w:w="108" w:type="dxa"/>
          </w:tblCellMar>
        </w:tblPrEx>
        <w:trPr>
          <w:trHeight w:val="270" w:hRule="atLeast"/>
        </w:trPr>
        <w:tc>
          <w:tcPr>
            <w:tcW w:w="13558" w:type="dxa"/>
            <w:gridSpan w:val="8"/>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  中共宁晋县委机构编制委员会办公室                              单位：万元</w:t>
            </w:r>
          </w:p>
        </w:tc>
      </w:tr>
      <w:tr>
        <w:tblPrEx>
          <w:tblCellMar>
            <w:top w:w="0" w:type="dxa"/>
            <w:left w:w="108" w:type="dxa"/>
            <w:bottom w:w="0" w:type="dxa"/>
            <w:right w:w="108" w:type="dxa"/>
          </w:tblCellMar>
        </w:tblPrEx>
        <w:trPr>
          <w:trHeight w:val="500" w:hRule="atLeast"/>
        </w:trPr>
        <w:tc>
          <w:tcPr>
            <w:tcW w:w="11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466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13052821K8EN3MM6ZHRER</w:t>
            </w:r>
          </w:p>
        </w:tc>
        <w:tc>
          <w:tcPr>
            <w:tcW w:w="15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6195"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中文域名工作经费</w:t>
            </w:r>
          </w:p>
        </w:tc>
      </w:tr>
      <w:tr>
        <w:tblPrEx>
          <w:tblCellMar>
            <w:top w:w="0" w:type="dxa"/>
            <w:left w:w="108" w:type="dxa"/>
            <w:bottom w:w="0" w:type="dxa"/>
            <w:right w:w="108" w:type="dxa"/>
          </w:tblCellMar>
        </w:tblPrEx>
        <w:trPr>
          <w:trHeight w:val="360"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w:t>
            </w:r>
          </w:p>
        </w:tc>
        <w:tc>
          <w:tcPr>
            <w:tcW w:w="15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33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w:t>
            </w:r>
          </w:p>
        </w:tc>
        <w:tc>
          <w:tcPr>
            <w:tcW w:w="177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72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375" w:type="dxa"/>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正确认识网上名称管理工作的重要意义，切实将网上名称管理工作作为一项综合性管理工作抓紧、抓好，做好中文域名注册、网站挂标等工作，争取中文域名注册完成达到100%。</w:t>
            </w:r>
          </w:p>
        </w:tc>
      </w:tr>
      <w:tr>
        <w:tblPrEx>
          <w:tblCellMar>
            <w:top w:w="0" w:type="dxa"/>
            <w:left w:w="108" w:type="dxa"/>
            <w:bottom w:w="0" w:type="dxa"/>
            <w:right w:w="108" w:type="dxa"/>
          </w:tblCellMar>
        </w:tblPrEx>
        <w:trPr>
          <w:trHeight w:val="340"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466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5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4995"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4665"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1515"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4995"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CellMar>
            <w:top w:w="0" w:type="dxa"/>
            <w:left w:w="108" w:type="dxa"/>
            <w:bottom w:w="0" w:type="dxa"/>
            <w:right w:w="108" w:type="dxa"/>
          </w:tblCellMar>
        </w:tblPrEx>
        <w:trPr>
          <w:trHeight w:val="1560" w:hRule="atLeast"/>
        </w:trPr>
        <w:tc>
          <w:tcPr>
            <w:tcW w:w="11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375" w:type="dxa"/>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1.正确认识网上名称管理工作的重要意义，切实将网上名称管理工作作为一项综合性管理工作抓紧、抓好，做好中文域名注册、网站挂标等工作，争取中文域名注册完成达到100%。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2.开展机构编制实名制及人员编制使用情况核准，机构编制执行情况跟踪评估和监督检查工作；指导全县党政群机关、事业单位和其他非营利性单位网上名称管理工作。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3.做好中文域名注册、网站挂标等工作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4.充分认识网上名称管理工作的重要意义</w:t>
            </w:r>
          </w:p>
        </w:tc>
      </w:tr>
      <w:tr>
        <w:tblPrEx>
          <w:tblCellMar>
            <w:top w:w="0" w:type="dxa"/>
            <w:left w:w="108" w:type="dxa"/>
            <w:bottom w:w="0" w:type="dxa"/>
            <w:right w:w="108" w:type="dxa"/>
          </w:tblCellMar>
        </w:tblPrEx>
        <w:trPr>
          <w:trHeight w:val="270" w:hRule="atLeast"/>
        </w:trPr>
        <w:tc>
          <w:tcPr>
            <w:tcW w:w="11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86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71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355"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加大网上名称管理宣传力度</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实现全覆盖工作目标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领会中央编办域名管理中心提出</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网上挂标率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任务完成的及时性</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网站挂标的时效性</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r>
        <w:tblPrEx>
          <w:tblCellMar>
            <w:top w:w="0" w:type="dxa"/>
            <w:left w:w="108" w:type="dxa"/>
            <w:bottom w:w="0" w:type="dxa"/>
            <w:right w:w="108" w:type="dxa"/>
          </w:tblCellMar>
        </w:tblPrEx>
        <w:trPr>
          <w:trHeight w:val="43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项目预算控制数</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列入了财政预算</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35"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网上挂标率</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网上挂标率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全县覆盖率</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全县覆盖率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r>
        <w:tblPrEx>
          <w:tblCellMar>
            <w:top w:w="0" w:type="dxa"/>
            <w:left w:w="108" w:type="dxa"/>
            <w:bottom w:w="0" w:type="dxa"/>
            <w:right w:w="108" w:type="dxa"/>
          </w:tblCellMar>
        </w:tblPrEx>
        <w:trPr>
          <w:trHeight w:val="43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受益总人数</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受益总人数</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实现全覆盖工作目标</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所有单位都要进行网站挂标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510" w:hRule="atLeast"/>
        </w:trPr>
        <w:tc>
          <w:tcPr>
            <w:tcW w:w="11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对网站挂标的满意程度</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bl>
    <w:p>
      <w:pPr>
        <w:numPr>
          <w:ilvl w:val="0"/>
          <w:numId w:val="0"/>
        </w:numPr>
        <w:jc w:val="both"/>
        <w:rPr>
          <w:rFonts w:hint="default" w:ascii="仿宋_GB2312" w:hAnsi="仿宋_GB2312" w:eastAsia="仿宋_GB2312" w:cs="仿宋_GB2312"/>
          <w:b/>
          <w:bCs/>
          <w:sz w:val="32"/>
          <w:szCs w:val="32"/>
          <w:lang w:val="en-US" w:eastAsia="zh-CN"/>
        </w:rPr>
      </w:pPr>
    </w:p>
    <w:p>
      <w:pPr>
        <w:numPr>
          <w:ilvl w:val="0"/>
          <w:numId w:val="0"/>
        </w:numPr>
        <w:jc w:val="both"/>
        <w:rPr>
          <w:rFonts w:hint="default" w:ascii="仿宋_GB2312" w:hAnsi="仿宋_GB2312" w:eastAsia="仿宋_GB2312" w:cs="仿宋_GB2312"/>
          <w:b/>
          <w:bCs/>
          <w:sz w:val="32"/>
          <w:szCs w:val="32"/>
          <w:lang w:val="en-US" w:eastAsia="zh-CN"/>
        </w:rPr>
      </w:pPr>
    </w:p>
    <w:p>
      <w:pPr>
        <w:numPr>
          <w:ilvl w:val="0"/>
          <w:numId w:val="2"/>
        </w:numPr>
        <w:ind w:left="0" w:leftChars="0"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机构改革工作经费绩效目标表</w:t>
      </w:r>
    </w:p>
    <w:tbl>
      <w:tblPr>
        <w:tblStyle w:val="8"/>
        <w:tblW w:w="14053" w:type="dxa"/>
        <w:tblInd w:w="93" w:type="dxa"/>
        <w:tblLayout w:type="fixed"/>
        <w:tblCellMar>
          <w:top w:w="0" w:type="dxa"/>
          <w:left w:w="108" w:type="dxa"/>
          <w:bottom w:w="0" w:type="dxa"/>
          <w:right w:w="108" w:type="dxa"/>
        </w:tblCellMar>
      </w:tblPr>
      <w:tblGrid>
        <w:gridCol w:w="1198"/>
        <w:gridCol w:w="1695"/>
        <w:gridCol w:w="2190"/>
        <w:gridCol w:w="1530"/>
        <w:gridCol w:w="900"/>
        <w:gridCol w:w="2265"/>
        <w:gridCol w:w="4275"/>
      </w:tblGrid>
      <w:tr>
        <w:tblPrEx>
          <w:tblCellMar>
            <w:top w:w="0" w:type="dxa"/>
            <w:left w:w="108" w:type="dxa"/>
            <w:bottom w:w="0" w:type="dxa"/>
            <w:right w:w="108" w:type="dxa"/>
          </w:tblCellMar>
        </w:tblPrEx>
        <w:trPr>
          <w:trHeight w:val="270" w:hRule="atLeast"/>
        </w:trPr>
        <w:tc>
          <w:tcPr>
            <w:tcW w:w="1405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  中共宁晋县委机构编制委员会办公室                              单位：万元</w:t>
            </w:r>
          </w:p>
        </w:tc>
      </w:tr>
      <w:tr>
        <w:tblPrEx>
          <w:tblCellMar>
            <w:top w:w="0" w:type="dxa"/>
            <w:left w:w="108" w:type="dxa"/>
            <w:bottom w:w="0" w:type="dxa"/>
            <w:right w:w="108" w:type="dxa"/>
          </w:tblCellMar>
        </w:tblPrEx>
        <w:trPr>
          <w:trHeight w:val="500" w:hRule="atLeast"/>
        </w:trPr>
        <w:tc>
          <w:tcPr>
            <w:tcW w:w="119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388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13052821QV1XCMK80PSO7</w:t>
            </w:r>
          </w:p>
        </w:tc>
        <w:tc>
          <w:tcPr>
            <w:tcW w:w="15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744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机构改革工作经费</w:t>
            </w:r>
          </w:p>
        </w:tc>
      </w:tr>
      <w:tr>
        <w:tblPrEx>
          <w:tblCellMar>
            <w:top w:w="0" w:type="dxa"/>
            <w:left w:w="108" w:type="dxa"/>
            <w:bottom w:w="0" w:type="dxa"/>
            <w:right w:w="108" w:type="dxa"/>
          </w:tblCellMar>
        </w:tblPrEx>
        <w:trPr>
          <w:trHeight w:val="36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15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72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85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事业单位改革印刷费4万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办公费（电脑耗材、办公用品）1万</w:t>
            </w:r>
          </w:p>
        </w:tc>
      </w:tr>
      <w:tr>
        <w:tblPrEx>
          <w:tblCellMar>
            <w:top w:w="0" w:type="dxa"/>
            <w:left w:w="108" w:type="dxa"/>
            <w:bottom w:w="0" w:type="dxa"/>
            <w:right w:w="108" w:type="dxa"/>
          </w:tblCellMar>
        </w:tblPrEx>
        <w:trPr>
          <w:trHeight w:val="34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388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9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654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388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9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654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325" w:hRule="atLeast"/>
        </w:trPr>
        <w:tc>
          <w:tcPr>
            <w:tcW w:w="119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85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1.切实增强“四个意识”、坚定“四个自信”、做到“两个维护”，充分运用党和国家机构改革的重要理论成果、实践成果、创新思路和举措。</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2.加快推进政事分开、事企分开、管办分离。优化布局结构，完善制度机制，强化公益属性，提高治理效能，促进新时代公益事业平衡充分高质量发展。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3.积极稳妥推进事业单位改革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4.改革事业单位机构设置和职能配置，理顺职责关系</w:t>
            </w:r>
          </w:p>
        </w:tc>
      </w:tr>
      <w:tr>
        <w:tblPrEx>
          <w:tblCellMar>
            <w:top w:w="0" w:type="dxa"/>
            <w:left w:w="108" w:type="dxa"/>
            <w:bottom w:w="0" w:type="dxa"/>
            <w:right w:w="108" w:type="dxa"/>
          </w:tblCellMar>
        </w:tblPrEx>
        <w:trPr>
          <w:trHeight w:val="270" w:hRule="atLeast"/>
        </w:trPr>
        <w:tc>
          <w:tcPr>
            <w:tcW w:w="119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43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50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事业单位改革发展和履行职责</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整合、脱钩、转企、转型</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46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机构设置和职能配置</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建立政事权限清单</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0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服务更高效</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理顺政事管办关系</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385"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按期完成率</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优化布局结构</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0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系统优化</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理清职责边界</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50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权责关系协同</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科学设置内设机构</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501"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保障社会发展</w:t>
            </w:r>
          </w:p>
        </w:tc>
        <w:tc>
          <w:tcPr>
            <w:tcW w:w="243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不再设立承担行政职能的事业单位</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7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稳步扎实推进</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继续完善财政政策支持</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525" w:hRule="atLeast"/>
        </w:trPr>
        <w:tc>
          <w:tcPr>
            <w:tcW w:w="119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服务对象满意程度</w:t>
            </w:r>
          </w:p>
        </w:tc>
        <w:tc>
          <w:tcPr>
            <w:tcW w:w="243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对机构改革和事业单位改革的满意程度</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bl>
    <w:p>
      <w:pPr>
        <w:numPr>
          <w:ilvl w:val="0"/>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i w:val="0"/>
          <w:iCs w:val="0"/>
          <w:color w:val="000000"/>
          <w:kern w:val="0"/>
          <w:sz w:val="32"/>
          <w:szCs w:val="32"/>
          <w:u w:val="none"/>
          <w:lang w:val="en-US" w:eastAsia="zh-CN" w:bidi="ar"/>
        </w:rPr>
        <w:t>机构编制标准化管理工作经费绩效目标表</w:t>
      </w:r>
    </w:p>
    <w:tbl>
      <w:tblPr>
        <w:tblStyle w:val="8"/>
        <w:tblW w:w="14503" w:type="dxa"/>
        <w:tblInd w:w="93" w:type="dxa"/>
        <w:tblLayout w:type="fixed"/>
        <w:tblCellMar>
          <w:top w:w="0" w:type="dxa"/>
          <w:left w:w="108" w:type="dxa"/>
          <w:bottom w:w="0" w:type="dxa"/>
          <w:right w:w="108" w:type="dxa"/>
        </w:tblCellMar>
      </w:tblPr>
      <w:tblGrid>
        <w:gridCol w:w="1363"/>
        <w:gridCol w:w="2265"/>
        <w:gridCol w:w="3060"/>
        <w:gridCol w:w="1890"/>
        <w:gridCol w:w="1710"/>
        <w:gridCol w:w="1695"/>
        <w:gridCol w:w="2520"/>
      </w:tblGrid>
      <w:tr>
        <w:tblPrEx>
          <w:tblCellMar>
            <w:top w:w="0" w:type="dxa"/>
            <w:left w:w="108" w:type="dxa"/>
            <w:bottom w:w="0" w:type="dxa"/>
            <w:right w:w="108" w:type="dxa"/>
          </w:tblCellMar>
        </w:tblPrEx>
        <w:trPr>
          <w:trHeight w:val="270" w:hRule="atLeast"/>
        </w:trPr>
        <w:tc>
          <w:tcPr>
            <w:tcW w:w="1450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  中共宁晋县委机构编制委员会办公室                              单位：万元</w:t>
            </w:r>
          </w:p>
        </w:tc>
      </w:tr>
      <w:tr>
        <w:tblPrEx>
          <w:tblCellMar>
            <w:top w:w="0" w:type="dxa"/>
            <w:left w:w="108" w:type="dxa"/>
            <w:bottom w:w="0" w:type="dxa"/>
            <w:right w:w="108" w:type="dxa"/>
          </w:tblCellMar>
        </w:tblPrEx>
        <w:trPr>
          <w:trHeight w:val="415" w:hRule="atLeast"/>
        </w:trPr>
        <w:tc>
          <w:tcPr>
            <w:tcW w:w="136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532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13052821YPGK2117CK6MU</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592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机构编制标准化管理工作经费</w:t>
            </w:r>
          </w:p>
        </w:tc>
      </w:tr>
      <w:tr>
        <w:tblPrEx>
          <w:tblCellMar>
            <w:top w:w="0" w:type="dxa"/>
            <w:left w:w="108" w:type="dxa"/>
            <w:bottom w:w="0" w:type="dxa"/>
            <w:right w:w="108" w:type="dxa"/>
          </w:tblCellMar>
        </w:tblPrEx>
        <w:trPr>
          <w:trHeight w:val="360"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72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3140"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全面推行实名制管理和编制使用的核准制度，进一步强化机构编制工作的主动性、前瞻性。按照既管住编制，又盘活资源，用好资源的总体要求，积极作为，探索更好服务全县经济发展的思路和举措。</w:t>
            </w:r>
          </w:p>
        </w:tc>
      </w:tr>
      <w:tr>
        <w:tblPrEx>
          <w:tblCellMar>
            <w:top w:w="0" w:type="dxa"/>
            <w:left w:w="108" w:type="dxa"/>
            <w:bottom w:w="0" w:type="dxa"/>
            <w:right w:w="108" w:type="dxa"/>
          </w:tblCellMar>
        </w:tblPrEx>
        <w:trPr>
          <w:trHeight w:val="340"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53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8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71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53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8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171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430" w:hRule="atLeast"/>
        </w:trPr>
        <w:tc>
          <w:tcPr>
            <w:tcW w:w="136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140"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1.全面推行实名制管理和编制使用的核准制度，进一步强化机构编制工作的主动性、前瞻性。按照既管住编制，又盘活资源，用好资源的总体要求，积极作为，探索更好服务全县经济发展的思路和举措。</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2.加强机构编制标准化管理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3.全面推行实名制管理和编制使用的核准制度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4.认真负责，确保数据的真实性和准确性</w:t>
            </w:r>
          </w:p>
        </w:tc>
      </w:tr>
      <w:tr>
        <w:tblPrEx>
          <w:tblCellMar>
            <w:top w:w="0" w:type="dxa"/>
            <w:left w:w="108" w:type="dxa"/>
            <w:bottom w:w="0" w:type="dxa"/>
            <w:right w:w="108" w:type="dxa"/>
          </w:tblCellMar>
        </w:tblPrEx>
        <w:trPr>
          <w:trHeight w:val="270" w:hRule="atLeast"/>
        </w:trPr>
        <w:tc>
          <w:tcPr>
            <w:tcW w:w="136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226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6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545"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全面推行实名制管理和编制使用</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机构编制实名制管理推行率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4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为机构编制管理工作提供数据支持</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机构编制实名制推行率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48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统计上报工作完成率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0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成本控制</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杜绝人为的编造</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530"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机构编制实名制的推行率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推行率和使用率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4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提供数据支撑准确率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准确率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1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统计上报工作完成率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0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提高工作积极性</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提高职工工作积极性</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95" w:hRule="atLeast"/>
        </w:trPr>
        <w:tc>
          <w:tcPr>
            <w:tcW w:w="13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36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接受编制办理的满意程度</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bl>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年，中共宁晋县委机构编制委员会办公室安排政府采购预算0.00万元。具体内容见下表。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225中共宁晋县委机构编制委员会办公室</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w:t>
            </w:r>
            <w:r>
              <w:rPr>
                <w:rFonts w:hint="eastAsia"/>
                <w:lang w:val="en-US"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中共宁晋县委机构编制委员会办公室（含所属单位）上年末固定资产金额为</w:t>
      </w:r>
      <w:r>
        <w:rPr>
          <w:rFonts w:hint="eastAsia" w:eastAsia="方正仿宋_GBK" w:cs="Times New Roman"/>
          <w:b w:val="0"/>
          <w:color w:val="000000"/>
          <w:sz w:val="28"/>
          <w:lang w:val="en-US" w:eastAsia="zh-CN"/>
        </w:rPr>
        <w:t>4.59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225中共宁晋县委机构编制委员会办公室</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w:t>
            </w:r>
            <w:r>
              <w:rPr>
                <w:rFonts w:hint="eastAsia"/>
                <w:lang w:val="en-US" w:eastAsia="zh-CN"/>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ind w:firstLine="0" w:firstLineChars="0"/>
              <w:jc w:val="left"/>
            </w:pPr>
            <w:r>
              <w:rPr>
                <w:rFonts w:hint="eastAsia"/>
                <w:lang w:val="en-US" w:eastAsia="zh-CN"/>
              </w:rPr>
              <w:t>1.通用电子设备（台）</w:t>
            </w:r>
          </w:p>
        </w:tc>
        <w:tc>
          <w:tcPr>
            <w:tcW w:w="2835" w:type="dxa"/>
            <w:vAlign w:val="center"/>
          </w:tcPr>
          <w:p>
            <w:pPr>
              <w:pStyle w:val="18"/>
              <w:ind w:firstLine="0" w:firstLineChars="0"/>
            </w:pPr>
            <w:r>
              <w:rPr>
                <w:rFonts w:hint="eastAsia"/>
                <w:lang w:val="en-US" w:eastAsia="zh-CN"/>
              </w:rPr>
              <w:t>13</w:t>
            </w:r>
          </w:p>
        </w:tc>
        <w:tc>
          <w:tcPr>
            <w:tcW w:w="2835" w:type="dxa"/>
            <w:vAlign w:val="center"/>
          </w:tcPr>
          <w:p>
            <w:pPr>
              <w:pStyle w:val="16"/>
              <w:ind w:firstLine="0" w:firstLineChars="0"/>
              <w:jc w:val="center"/>
              <w:rPr>
                <w:rFonts w:hint="default"/>
                <w:lang w:val="en-US"/>
              </w:rPr>
            </w:pPr>
            <w:r>
              <w:rPr>
                <w:rFonts w:hint="eastAsia"/>
                <w:lang w:val="en-US" w:eastAsia="zh-CN"/>
              </w:rP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ind w:firstLine="0" w:firstLineChars="0"/>
              <w:jc w:val="left"/>
            </w:pPr>
            <w:r>
              <w:rPr>
                <w:rFonts w:hint="eastAsia"/>
                <w:lang w:val="en-US" w:eastAsia="zh-CN"/>
              </w:rPr>
              <w:t>2.家具用品（张）</w:t>
            </w:r>
          </w:p>
        </w:tc>
        <w:tc>
          <w:tcPr>
            <w:tcW w:w="2835" w:type="dxa"/>
            <w:vAlign w:val="center"/>
          </w:tcPr>
          <w:p>
            <w:pPr>
              <w:pStyle w:val="18"/>
              <w:ind w:firstLine="0" w:firstLineChars="0"/>
            </w:pPr>
            <w:r>
              <w:rPr>
                <w:rFonts w:hint="eastAsia"/>
                <w:lang w:val="en-US" w:eastAsia="zh-CN"/>
              </w:rPr>
              <w:t>8</w:t>
            </w:r>
          </w:p>
        </w:tc>
        <w:tc>
          <w:tcPr>
            <w:tcW w:w="2835" w:type="dxa"/>
            <w:vAlign w:val="center"/>
          </w:tcPr>
          <w:p>
            <w:pPr>
              <w:pStyle w:val="16"/>
              <w:ind w:firstLine="0" w:firstLineChars="0"/>
              <w:jc w:val="center"/>
              <w:rPr>
                <w:rFonts w:hint="default"/>
                <w:lang w:val="en-US"/>
              </w:rPr>
            </w:pPr>
            <w:r>
              <w:rPr>
                <w:rFonts w:hint="eastAsia"/>
                <w:lang w:val="en-US" w:eastAsia="zh-CN"/>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ind w:firstLine="0" w:firstLineChars="0"/>
              <w:jc w:val="center"/>
            </w:pPr>
            <w:r>
              <w:rPr>
                <w:rFonts w:hint="eastAsia"/>
                <w:lang w:eastAsia="zh-CN"/>
              </w:rPr>
              <w:t>固定资产金额</w:t>
            </w:r>
          </w:p>
        </w:tc>
        <w:tc>
          <w:tcPr>
            <w:tcW w:w="2835" w:type="dxa"/>
            <w:vAlign w:val="center"/>
          </w:tcPr>
          <w:p>
            <w:pPr>
              <w:pStyle w:val="18"/>
              <w:ind w:firstLine="0" w:firstLineChars="0"/>
            </w:pPr>
          </w:p>
        </w:tc>
        <w:tc>
          <w:tcPr>
            <w:tcW w:w="2835" w:type="dxa"/>
            <w:vAlign w:val="center"/>
          </w:tcPr>
          <w:p>
            <w:pPr>
              <w:pStyle w:val="16"/>
              <w:ind w:firstLine="0" w:firstLineChars="0"/>
              <w:jc w:val="center"/>
              <w:rPr>
                <w:rFonts w:hint="default" w:eastAsia="方正书宋_GBK"/>
                <w:lang w:val="en-US" w:eastAsia="zh-CN"/>
              </w:rPr>
            </w:pPr>
            <w:r>
              <w:rPr>
                <w:rFonts w:hint="eastAsia"/>
                <w:lang w:val="en-US" w:eastAsia="zh-CN"/>
              </w:rPr>
              <w:t>4.59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一、中共宁晋县委机构编制委员会办公室本级收支预算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6"/>
        <w:gridCol w:w="4395"/>
        <w:gridCol w:w="2880"/>
        <w:gridCol w:w="3885"/>
        <w:gridCol w:w="25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1" w:type="dxa"/>
            <w:gridSpan w:val="2"/>
            <w:tcBorders>
              <w:top w:val="single" w:color="FFFFFF" w:sz="6" w:space="0"/>
              <w:left w:val="single" w:color="FFFFFF" w:sz="6" w:space="0"/>
              <w:right w:val="single" w:color="FFFFFF" w:sz="6" w:space="0"/>
            </w:tcBorders>
            <w:vAlign w:val="center"/>
          </w:tcPr>
          <w:p>
            <w:pPr>
              <w:pStyle w:val="14"/>
            </w:pPr>
            <w:r>
              <w:t>225001中共宁晋县委机构编制委员会办公室本级</w:t>
            </w:r>
          </w:p>
        </w:tc>
        <w:tc>
          <w:tcPr>
            <w:tcW w:w="2880"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6444"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Merge w:val="restart"/>
            <w:vAlign w:val="center"/>
          </w:tcPr>
          <w:p>
            <w:pPr>
              <w:pStyle w:val="15"/>
            </w:pPr>
            <w:r>
              <w:t>序号</w:t>
            </w:r>
          </w:p>
        </w:tc>
        <w:tc>
          <w:tcPr>
            <w:tcW w:w="7275" w:type="dxa"/>
            <w:gridSpan w:val="2"/>
            <w:vAlign w:val="center"/>
          </w:tcPr>
          <w:p>
            <w:pPr>
              <w:pStyle w:val="15"/>
            </w:pPr>
            <w:r>
              <w:t>收入</w:t>
            </w:r>
          </w:p>
        </w:tc>
        <w:tc>
          <w:tcPr>
            <w:tcW w:w="6444"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Merge w:val="continue"/>
          </w:tcPr>
          <w:p/>
        </w:tc>
        <w:tc>
          <w:tcPr>
            <w:tcW w:w="4395" w:type="dxa"/>
            <w:vAlign w:val="center"/>
          </w:tcPr>
          <w:p>
            <w:pPr>
              <w:pStyle w:val="15"/>
            </w:pPr>
            <w:r>
              <w:t>项  目</w:t>
            </w:r>
          </w:p>
        </w:tc>
        <w:tc>
          <w:tcPr>
            <w:tcW w:w="2880" w:type="dxa"/>
            <w:vAlign w:val="center"/>
          </w:tcPr>
          <w:p>
            <w:pPr>
              <w:pStyle w:val="15"/>
            </w:pPr>
            <w:r>
              <w:t>预算数</w:t>
            </w:r>
          </w:p>
        </w:tc>
        <w:tc>
          <w:tcPr>
            <w:tcW w:w="3885" w:type="dxa"/>
            <w:vAlign w:val="center"/>
          </w:tcPr>
          <w:p>
            <w:pPr>
              <w:pStyle w:val="15"/>
            </w:pPr>
            <w:r>
              <w:t>项  目</w:t>
            </w:r>
          </w:p>
        </w:tc>
        <w:tc>
          <w:tcPr>
            <w:tcW w:w="2559"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Align w:val="center"/>
          </w:tcPr>
          <w:p>
            <w:pPr>
              <w:pStyle w:val="15"/>
            </w:pPr>
            <w:r>
              <w:t>栏次</w:t>
            </w:r>
          </w:p>
        </w:tc>
        <w:tc>
          <w:tcPr>
            <w:tcW w:w="4395" w:type="dxa"/>
            <w:vAlign w:val="center"/>
          </w:tcPr>
          <w:p>
            <w:pPr>
              <w:pStyle w:val="15"/>
            </w:pPr>
            <w:r>
              <w:t>1</w:t>
            </w:r>
          </w:p>
        </w:tc>
        <w:tc>
          <w:tcPr>
            <w:tcW w:w="2880" w:type="dxa"/>
            <w:vAlign w:val="center"/>
          </w:tcPr>
          <w:p>
            <w:pPr>
              <w:pStyle w:val="15"/>
            </w:pPr>
            <w:r>
              <w:t>2</w:t>
            </w:r>
          </w:p>
        </w:tc>
        <w:tc>
          <w:tcPr>
            <w:tcW w:w="3885" w:type="dxa"/>
            <w:vAlign w:val="center"/>
          </w:tcPr>
          <w:p>
            <w:pPr>
              <w:pStyle w:val="15"/>
            </w:pPr>
            <w:r>
              <w:t>3</w:t>
            </w:r>
          </w:p>
        </w:tc>
        <w:tc>
          <w:tcPr>
            <w:tcW w:w="2559"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w:t>
            </w:r>
          </w:p>
        </w:tc>
        <w:tc>
          <w:tcPr>
            <w:tcW w:w="4395" w:type="dxa"/>
            <w:vAlign w:val="center"/>
          </w:tcPr>
          <w:p>
            <w:pPr>
              <w:pStyle w:val="17"/>
            </w:pPr>
            <w:r>
              <w:t>一、一般公共预算拨款收入</w:t>
            </w:r>
          </w:p>
        </w:tc>
        <w:tc>
          <w:tcPr>
            <w:tcW w:w="2880" w:type="dxa"/>
            <w:vAlign w:val="center"/>
          </w:tcPr>
          <w:p>
            <w:pPr>
              <w:pStyle w:val="16"/>
              <w:rPr>
                <w:rFonts w:hint="default" w:eastAsia="方正书宋_GBK"/>
                <w:lang w:val="en-US" w:eastAsia="zh-CN"/>
              </w:rPr>
            </w:pPr>
            <w:r>
              <w:rPr>
                <w:rFonts w:hint="eastAsia"/>
                <w:lang w:val="en-US" w:eastAsia="zh-CN"/>
              </w:rPr>
              <w:t>170.34</w:t>
            </w:r>
          </w:p>
        </w:tc>
        <w:tc>
          <w:tcPr>
            <w:tcW w:w="3885" w:type="dxa"/>
            <w:vAlign w:val="center"/>
          </w:tcPr>
          <w:p>
            <w:pPr>
              <w:pStyle w:val="17"/>
            </w:pPr>
            <w:r>
              <w:t>一、一般公共服务支出</w:t>
            </w:r>
          </w:p>
        </w:tc>
        <w:tc>
          <w:tcPr>
            <w:tcW w:w="2559" w:type="dxa"/>
            <w:vAlign w:val="center"/>
          </w:tcPr>
          <w:p>
            <w:pPr>
              <w:pStyle w:val="16"/>
              <w:rPr>
                <w:rFonts w:hint="default" w:eastAsia="方正书宋_GBK"/>
                <w:lang w:val="en-US" w:eastAsia="zh-CN"/>
              </w:rPr>
            </w:pPr>
            <w:r>
              <w:t>1</w:t>
            </w:r>
            <w:r>
              <w:rPr>
                <w:rFonts w:hint="eastAsia"/>
                <w:lang w:val="en-US" w:eastAsia="zh-CN"/>
              </w:rPr>
              <w:t>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w:t>
            </w:r>
          </w:p>
        </w:tc>
        <w:tc>
          <w:tcPr>
            <w:tcW w:w="4395" w:type="dxa"/>
            <w:vAlign w:val="center"/>
          </w:tcPr>
          <w:p>
            <w:pPr>
              <w:pStyle w:val="17"/>
            </w:pPr>
            <w:r>
              <w:t>二、政府性基金预算拨款收入</w:t>
            </w:r>
          </w:p>
        </w:tc>
        <w:tc>
          <w:tcPr>
            <w:tcW w:w="2880" w:type="dxa"/>
            <w:vAlign w:val="center"/>
          </w:tcPr>
          <w:p>
            <w:pPr>
              <w:pStyle w:val="16"/>
            </w:pPr>
          </w:p>
        </w:tc>
        <w:tc>
          <w:tcPr>
            <w:tcW w:w="3885" w:type="dxa"/>
            <w:vAlign w:val="center"/>
          </w:tcPr>
          <w:p>
            <w:pPr>
              <w:pStyle w:val="17"/>
            </w:pPr>
            <w:r>
              <w:t>二、外交支出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3</w:t>
            </w:r>
          </w:p>
        </w:tc>
        <w:tc>
          <w:tcPr>
            <w:tcW w:w="4395" w:type="dxa"/>
            <w:vAlign w:val="center"/>
          </w:tcPr>
          <w:p>
            <w:pPr>
              <w:pStyle w:val="17"/>
            </w:pPr>
            <w:r>
              <w:t>三、国有资本经营预算拨款收入</w:t>
            </w:r>
          </w:p>
        </w:tc>
        <w:tc>
          <w:tcPr>
            <w:tcW w:w="2880" w:type="dxa"/>
            <w:vAlign w:val="center"/>
          </w:tcPr>
          <w:p>
            <w:pPr>
              <w:pStyle w:val="16"/>
            </w:pPr>
          </w:p>
        </w:tc>
        <w:tc>
          <w:tcPr>
            <w:tcW w:w="3885" w:type="dxa"/>
            <w:vAlign w:val="center"/>
          </w:tcPr>
          <w:p>
            <w:pPr>
              <w:pStyle w:val="17"/>
            </w:pPr>
            <w:r>
              <w:t>三、国防支出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4</w:t>
            </w:r>
          </w:p>
        </w:tc>
        <w:tc>
          <w:tcPr>
            <w:tcW w:w="4395" w:type="dxa"/>
            <w:vAlign w:val="center"/>
          </w:tcPr>
          <w:p>
            <w:pPr>
              <w:pStyle w:val="17"/>
            </w:pPr>
            <w:r>
              <w:t>四、财政专户管理资金收入</w:t>
            </w:r>
          </w:p>
        </w:tc>
        <w:tc>
          <w:tcPr>
            <w:tcW w:w="2880" w:type="dxa"/>
            <w:vAlign w:val="center"/>
          </w:tcPr>
          <w:p>
            <w:pPr>
              <w:pStyle w:val="16"/>
            </w:pPr>
          </w:p>
        </w:tc>
        <w:tc>
          <w:tcPr>
            <w:tcW w:w="3885" w:type="dxa"/>
            <w:vAlign w:val="center"/>
          </w:tcPr>
          <w:p>
            <w:pPr>
              <w:pStyle w:val="17"/>
            </w:pPr>
            <w:r>
              <w:t>四、公共安全支出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5</w:t>
            </w:r>
          </w:p>
        </w:tc>
        <w:tc>
          <w:tcPr>
            <w:tcW w:w="4395" w:type="dxa"/>
            <w:vAlign w:val="center"/>
          </w:tcPr>
          <w:p>
            <w:pPr>
              <w:pStyle w:val="17"/>
            </w:pPr>
            <w:r>
              <w:t>五、事业收入</w:t>
            </w:r>
          </w:p>
        </w:tc>
        <w:tc>
          <w:tcPr>
            <w:tcW w:w="2880" w:type="dxa"/>
            <w:vAlign w:val="center"/>
          </w:tcPr>
          <w:p>
            <w:pPr>
              <w:pStyle w:val="16"/>
            </w:pPr>
          </w:p>
        </w:tc>
        <w:tc>
          <w:tcPr>
            <w:tcW w:w="3885" w:type="dxa"/>
            <w:vAlign w:val="center"/>
          </w:tcPr>
          <w:p>
            <w:pPr>
              <w:pStyle w:val="17"/>
            </w:pPr>
            <w:r>
              <w:t>五、教育支出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6</w:t>
            </w:r>
          </w:p>
        </w:tc>
        <w:tc>
          <w:tcPr>
            <w:tcW w:w="4395" w:type="dxa"/>
            <w:vAlign w:val="center"/>
          </w:tcPr>
          <w:p>
            <w:pPr>
              <w:pStyle w:val="17"/>
            </w:pPr>
            <w:r>
              <w:t>六、事业单位经营收入</w:t>
            </w:r>
          </w:p>
        </w:tc>
        <w:tc>
          <w:tcPr>
            <w:tcW w:w="2880" w:type="dxa"/>
            <w:vAlign w:val="center"/>
          </w:tcPr>
          <w:p>
            <w:pPr>
              <w:pStyle w:val="16"/>
            </w:pPr>
          </w:p>
        </w:tc>
        <w:tc>
          <w:tcPr>
            <w:tcW w:w="3885" w:type="dxa"/>
            <w:vAlign w:val="center"/>
          </w:tcPr>
          <w:p>
            <w:pPr>
              <w:pStyle w:val="17"/>
            </w:pPr>
            <w:r>
              <w:t>六、科学技术支出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7</w:t>
            </w:r>
          </w:p>
        </w:tc>
        <w:tc>
          <w:tcPr>
            <w:tcW w:w="4395" w:type="dxa"/>
            <w:vAlign w:val="center"/>
          </w:tcPr>
          <w:p>
            <w:pPr>
              <w:pStyle w:val="17"/>
            </w:pPr>
            <w:r>
              <w:t>七、上级补助收入</w:t>
            </w:r>
          </w:p>
        </w:tc>
        <w:tc>
          <w:tcPr>
            <w:tcW w:w="2880" w:type="dxa"/>
            <w:vAlign w:val="center"/>
          </w:tcPr>
          <w:p>
            <w:pPr>
              <w:pStyle w:val="16"/>
            </w:pPr>
          </w:p>
        </w:tc>
        <w:tc>
          <w:tcPr>
            <w:tcW w:w="3885" w:type="dxa"/>
            <w:vAlign w:val="center"/>
          </w:tcPr>
          <w:p>
            <w:pPr>
              <w:pStyle w:val="17"/>
            </w:pPr>
            <w:r>
              <w:t>七、文化旅游体育与传媒支出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8</w:t>
            </w:r>
          </w:p>
        </w:tc>
        <w:tc>
          <w:tcPr>
            <w:tcW w:w="4395" w:type="dxa"/>
            <w:vAlign w:val="center"/>
          </w:tcPr>
          <w:p>
            <w:pPr>
              <w:pStyle w:val="17"/>
            </w:pPr>
            <w:r>
              <w:t>八、附属单位上缴收入</w:t>
            </w:r>
          </w:p>
        </w:tc>
        <w:tc>
          <w:tcPr>
            <w:tcW w:w="2880" w:type="dxa"/>
            <w:vAlign w:val="center"/>
          </w:tcPr>
          <w:p>
            <w:pPr>
              <w:pStyle w:val="16"/>
            </w:pPr>
          </w:p>
        </w:tc>
        <w:tc>
          <w:tcPr>
            <w:tcW w:w="3885" w:type="dxa"/>
            <w:vAlign w:val="center"/>
          </w:tcPr>
          <w:p>
            <w:pPr>
              <w:pStyle w:val="17"/>
            </w:pPr>
            <w:r>
              <w:t>八、社会保障和就业支出</w:t>
            </w:r>
          </w:p>
        </w:tc>
        <w:tc>
          <w:tcPr>
            <w:tcW w:w="2559" w:type="dxa"/>
            <w:vAlign w:val="center"/>
          </w:tcPr>
          <w:p>
            <w:pPr>
              <w:pStyle w:val="16"/>
              <w:rPr>
                <w:rFonts w:hint="default" w:eastAsia="方正书宋_GBK"/>
                <w:lang w:val="en-US" w:eastAsia="zh-CN"/>
              </w:rPr>
            </w:pPr>
            <w:r>
              <w:t>1</w:t>
            </w:r>
            <w:r>
              <w:rPr>
                <w:rFonts w:hint="eastAsia"/>
                <w:lang w:val="en-US" w:eastAsia="zh-CN"/>
              </w:rP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9</w:t>
            </w:r>
          </w:p>
        </w:tc>
        <w:tc>
          <w:tcPr>
            <w:tcW w:w="4395" w:type="dxa"/>
            <w:vAlign w:val="center"/>
          </w:tcPr>
          <w:p>
            <w:pPr>
              <w:pStyle w:val="17"/>
            </w:pPr>
            <w:r>
              <w:t>九、其他收入</w:t>
            </w:r>
          </w:p>
        </w:tc>
        <w:tc>
          <w:tcPr>
            <w:tcW w:w="2880" w:type="dxa"/>
            <w:vAlign w:val="center"/>
          </w:tcPr>
          <w:p>
            <w:pPr>
              <w:pStyle w:val="16"/>
            </w:pPr>
          </w:p>
        </w:tc>
        <w:tc>
          <w:tcPr>
            <w:tcW w:w="3885" w:type="dxa"/>
            <w:vAlign w:val="center"/>
          </w:tcPr>
          <w:p>
            <w:pPr>
              <w:pStyle w:val="17"/>
            </w:pPr>
            <w:r>
              <w:t>九、社会保险基金支出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10</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十、卫生健康支出</w:t>
            </w:r>
          </w:p>
        </w:tc>
        <w:tc>
          <w:tcPr>
            <w:tcW w:w="2559" w:type="dxa"/>
            <w:vAlign w:val="center"/>
          </w:tcPr>
          <w:p>
            <w:pPr>
              <w:pStyle w:val="16"/>
              <w:rPr>
                <w:rFonts w:hint="default" w:eastAsia="方正书宋_GBK"/>
                <w:lang w:val="en-US" w:eastAsia="zh-CN"/>
              </w:rPr>
            </w:pPr>
            <w:r>
              <w:rPr>
                <w:rFonts w:hint="eastAsia"/>
                <w:lang w:val="en-US" w:eastAsia="zh-CN"/>
              </w:rPr>
              <w:t>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11</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十一、节能环保支出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12</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十二、城乡社区支出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13</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十三、农林水支出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14</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十四、交通运输支出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15</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十五、资源勘探工业信息等支出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16</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十六、商业服务业等支出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17</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十七、金融支出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18</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十八、援助其他地区支出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19</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十九、自然资源海洋气象等支出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20</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二十、住房保障支出</w:t>
            </w:r>
          </w:p>
        </w:tc>
        <w:tc>
          <w:tcPr>
            <w:tcW w:w="2559" w:type="dxa"/>
            <w:vAlign w:val="center"/>
          </w:tcPr>
          <w:p>
            <w:pPr>
              <w:pStyle w:val="16"/>
              <w:rPr>
                <w:rFonts w:hint="default" w:eastAsia="方正书宋_GBK"/>
                <w:lang w:val="en-US" w:eastAsia="zh-CN"/>
              </w:rPr>
            </w:pPr>
            <w:r>
              <w:t>1</w:t>
            </w:r>
            <w:r>
              <w:rPr>
                <w:rFonts w:hint="eastAsia"/>
                <w:lang w:val="en-US" w:eastAsia="zh-CN"/>
              </w:rP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21</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二十一、粮油物资储备支出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22</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二十二、国有资本经营预算支出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23</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二十三、灾害防治及应急管理支出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24</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二十四、预备费</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25</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二十五、其他支出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26</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二十六、转移性支出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27</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二十七、灾害防治及应急管理共同财政事权转移支付支出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28</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二十八、债务还本支出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29</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二十九、债务付息支出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30</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三十、债务发行费用支出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31</w:t>
            </w:r>
          </w:p>
        </w:tc>
        <w:tc>
          <w:tcPr>
            <w:tcW w:w="4395" w:type="dxa"/>
            <w:vAlign w:val="center"/>
          </w:tcPr>
          <w:p>
            <w:pPr>
              <w:pStyle w:val="17"/>
            </w:pPr>
          </w:p>
        </w:tc>
        <w:tc>
          <w:tcPr>
            <w:tcW w:w="2880" w:type="dxa"/>
            <w:vAlign w:val="center"/>
          </w:tcPr>
          <w:p>
            <w:pPr>
              <w:pStyle w:val="16"/>
            </w:pPr>
          </w:p>
        </w:tc>
        <w:tc>
          <w:tcPr>
            <w:tcW w:w="3885" w:type="dxa"/>
            <w:vAlign w:val="center"/>
          </w:tcPr>
          <w:p>
            <w:pPr>
              <w:pStyle w:val="17"/>
            </w:pPr>
            <w:r>
              <w:t>三十一、抗疫特别国债安排的支出</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32</w:t>
            </w:r>
          </w:p>
        </w:tc>
        <w:tc>
          <w:tcPr>
            <w:tcW w:w="4395" w:type="dxa"/>
            <w:vAlign w:val="center"/>
          </w:tcPr>
          <w:p>
            <w:pPr>
              <w:pStyle w:val="19"/>
            </w:pPr>
            <w:r>
              <w:t>本年收入合计</w:t>
            </w:r>
          </w:p>
        </w:tc>
        <w:tc>
          <w:tcPr>
            <w:tcW w:w="2880" w:type="dxa"/>
            <w:vAlign w:val="center"/>
          </w:tcPr>
          <w:p>
            <w:pPr>
              <w:pStyle w:val="20"/>
              <w:rPr>
                <w:rFonts w:hint="default" w:eastAsia="方正书宋_GBK"/>
                <w:lang w:val="en-US" w:eastAsia="zh-CN"/>
              </w:rPr>
            </w:pPr>
            <w:r>
              <w:rPr>
                <w:rFonts w:hint="eastAsia"/>
                <w:lang w:val="en-US" w:eastAsia="zh-CN"/>
              </w:rPr>
              <w:t>170.34</w:t>
            </w:r>
          </w:p>
        </w:tc>
        <w:tc>
          <w:tcPr>
            <w:tcW w:w="3885" w:type="dxa"/>
            <w:vAlign w:val="center"/>
          </w:tcPr>
          <w:p>
            <w:pPr>
              <w:pStyle w:val="19"/>
            </w:pPr>
            <w:r>
              <w:t>本年支出合计</w:t>
            </w:r>
          </w:p>
        </w:tc>
        <w:tc>
          <w:tcPr>
            <w:tcW w:w="2559" w:type="dxa"/>
            <w:vAlign w:val="center"/>
          </w:tcPr>
          <w:p>
            <w:pPr>
              <w:pStyle w:val="20"/>
              <w:rPr>
                <w:rFonts w:hint="default" w:eastAsia="方正书宋_GBK"/>
                <w:lang w:val="en-US" w:eastAsia="zh-CN"/>
              </w:rPr>
            </w:pPr>
            <w:r>
              <w:rPr>
                <w:rFonts w:hint="eastAsia"/>
                <w:lang w:val="en-US" w:eastAsia="zh-CN"/>
              </w:rPr>
              <w:t>170.34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33</w:t>
            </w:r>
          </w:p>
        </w:tc>
        <w:tc>
          <w:tcPr>
            <w:tcW w:w="4395" w:type="dxa"/>
            <w:vAlign w:val="center"/>
          </w:tcPr>
          <w:p>
            <w:pPr>
              <w:pStyle w:val="17"/>
            </w:pPr>
            <w:r>
              <w:t>上年结转结余</w:t>
            </w:r>
          </w:p>
        </w:tc>
        <w:tc>
          <w:tcPr>
            <w:tcW w:w="2880" w:type="dxa"/>
            <w:vAlign w:val="center"/>
          </w:tcPr>
          <w:p>
            <w:pPr>
              <w:pStyle w:val="16"/>
            </w:pPr>
          </w:p>
        </w:tc>
        <w:tc>
          <w:tcPr>
            <w:tcW w:w="3885" w:type="dxa"/>
            <w:vAlign w:val="center"/>
          </w:tcPr>
          <w:p>
            <w:pPr>
              <w:pStyle w:val="17"/>
            </w:pPr>
            <w:r>
              <w:t>年终结转结余</w:t>
            </w:r>
          </w:p>
        </w:tc>
        <w:tc>
          <w:tcPr>
            <w:tcW w:w="25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8"/>
            </w:pPr>
            <w:r>
              <w:t>34</w:t>
            </w:r>
          </w:p>
        </w:tc>
        <w:tc>
          <w:tcPr>
            <w:tcW w:w="4395" w:type="dxa"/>
            <w:vAlign w:val="center"/>
          </w:tcPr>
          <w:p>
            <w:pPr>
              <w:pStyle w:val="19"/>
            </w:pPr>
            <w:r>
              <w:t>收入总计</w:t>
            </w:r>
          </w:p>
        </w:tc>
        <w:tc>
          <w:tcPr>
            <w:tcW w:w="2880" w:type="dxa"/>
            <w:vAlign w:val="center"/>
          </w:tcPr>
          <w:p>
            <w:pPr>
              <w:pStyle w:val="20"/>
            </w:pPr>
            <w:r>
              <w:rPr>
                <w:rFonts w:hint="eastAsia"/>
                <w:lang w:val="en-US" w:eastAsia="zh-CN"/>
              </w:rPr>
              <w:t>170.34</w:t>
            </w:r>
          </w:p>
        </w:tc>
        <w:tc>
          <w:tcPr>
            <w:tcW w:w="3885" w:type="dxa"/>
            <w:vAlign w:val="center"/>
          </w:tcPr>
          <w:p>
            <w:pPr>
              <w:pStyle w:val="19"/>
            </w:pPr>
            <w:r>
              <w:t>支出总计</w:t>
            </w:r>
          </w:p>
        </w:tc>
        <w:tc>
          <w:tcPr>
            <w:tcW w:w="2559" w:type="dxa"/>
            <w:vAlign w:val="center"/>
          </w:tcPr>
          <w:p>
            <w:pPr>
              <w:pStyle w:val="20"/>
            </w:pPr>
            <w:r>
              <w:rPr>
                <w:rFonts w:hint="eastAsia"/>
                <w:lang w:val="en-US" w:eastAsia="zh-CN"/>
              </w:rPr>
              <w:t>170.34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
        <w:gridCol w:w="1250"/>
        <w:gridCol w:w="3866"/>
        <w:gridCol w:w="893"/>
        <w:gridCol w:w="870"/>
        <w:gridCol w:w="954"/>
        <w:gridCol w:w="1100"/>
        <w:gridCol w:w="917"/>
        <w:gridCol w:w="733"/>
        <w:gridCol w:w="900"/>
        <w:gridCol w:w="1121"/>
        <w:gridCol w:w="910"/>
        <w:gridCol w:w="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1" w:type="dxa"/>
            <w:gridSpan w:val="5"/>
            <w:tcBorders>
              <w:top w:val="single" w:color="FFFFFF" w:sz="6" w:space="0"/>
              <w:left w:val="single" w:color="FFFFFF" w:sz="6" w:space="0"/>
              <w:right w:val="single" w:color="FFFFFF" w:sz="6" w:space="0"/>
            </w:tcBorders>
            <w:vAlign w:val="center"/>
          </w:tcPr>
          <w:p>
            <w:pPr>
              <w:pStyle w:val="14"/>
            </w:pPr>
            <w:r>
              <w:rPr>
                <w:rFonts w:hint="eastAsia"/>
                <w:lang w:val="en-US" w:eastAsia="zh-CN"/>
              </w:rPr>
              <w:t>225</w:t>
            </w:r>
            <w:r>
              <w:t>001</w:t>
            </w:r>
            <w:r>
              <w:rPr>
                <w:rFonts w:hint="eastAsia"/>
                <w:lang w:eastAsia="zh-CN"/>
              </w:rPr>
              <w:t>中共</w:t>
            </w:r>
            <w:r>
              <w:t>宁晋县</w:t>
            </w:r>
            <w:r>
              <w:rPr>
                <w:rFonts w:hint="eastAsia"/>
                <w:lang w:eastAsia="zh-CN"/>
              </w:rPr>
              <w:t>委机构编制委员会办公室</w:t>
            </w:r>
            <w:r>
              <w:t>本级</w:t>
            </w:r>
          </w:p>
        </w:tc>
        <w:tc>
          <w:tcPr>
            <w:tcW w:w="2971"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4574"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Merge w:val="restart"/>
            <w:vAlign w:val="center"/>
          </w:tcPr>
          <w:p>
            <w:pPr>
              <w:pStyle w:val="15"/>
            </w:pPr>
            <w:r>
              <w:t>序号</w:t>
            </w:r>
          </w:p>
        </w:tc>
        <w:tc>
          <w:tcPr>
            <w:tcW w:w="5116" w:type="dxa"/>
            <w:gridSpan w:val="2"/>
            <w:vAlign w:val="center"/>
          </w:tcPr>
          <w:p>
            <w:pPr>
              <w:pStyle w:val="15"/>
            </w:pPr>
            <w:r>
              <w:t>功能分类科目</w:t>
            </w:r>
          </w:p>
        </w:tc>
        <w:tc>
          <w:tcPr>
            <w:tcW w:w="893" w:type="dxa"/>
            <w:vMerge w:val="restart"/>
            <w:vAlign w:val="center"/>
          </w:tcPr>
          <w:p>
            <w:pPr>
              <w:pStyle w:val="15"/>
            </w:pPr>
            <w:r>
              <w:t>合计</w:t>
            </w:r>
          </w:p>
        </w:tc>
        <w:tc>
          <w:tcPr>
            <w:tcW w:w="7505" w:type="dxa"/>
            <w:gridSpan w:val="8"/>
            <w:vAlign w:val="center"/>
          </w:tcPr>
          <w:p>
            <w:pPr>
              <w:pStyle w:val="15"/>
            </w:pPr>
            <w:r>
              <w:t>本年收入</w:t>
            </w:r>
          </w:p>
        </w:tc>
        <w:tc>
          <w:tcPr>
            <w:tcW w:w="910" w:type="dxa"/>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Merge w:val="continue"/>
          </w:tcPr>
          <w:p/>
        </w:tc>
        <w:tc>
          <w:tcPr>
            <w:tcW w:w="1250" w:type="dxa"/>
            <w:vAlign w:val="center"/>
          </w:tcPr>
          <w:p>
            <w:pPr>
              <w:pStyle w:val="15"/>
            </w:pPr>
            <w:r>
              <w:t>科目    编码</w:t>
            </w:r>
          </w:p>
        </w:tc>
        <w:tc>
          <w:tcPr>
            <w:tcW w:w="3866" w:type="dxa"/>
            <w:vAlign w:val="center"/>
          </w:tcPr>
          <w:p>
            <w:pPr>
              <w:pStyle w:val="15"/>
            </w:pPr>
            <w:r>
              <w:t>科目名称</w:t>
            </w:r>
          </w:p>
        </w:tc>
        <w:tc>
          <w:tcPr>
            <w:tcW w:w="893" w:type="dxa"/>
            <w:vMerge w:val="continue"/>
          </w:tcPr>
          <w:p/>
        </w:tc>
        <w:tc>
          <w:tcPr>
            <w:tcW w:w="870" w:type="dxa"/>
            <w:vAlign w:val="center"/>
          </w:tcPr>
          <w:p>
            <w:pPr>
              <w:pStyle w:val="15"/>
            </w:pPr>
            <w:r>
              <w:t>小计</w:t>
            </w:r>
          </w:p>
        </w:tc>
        <w:tc>
          <w:tcPr>
            <w:tcW w:w="954" w:type="dxa"/>
            <w:vAlign w:val="center"/>
          </w:tcPr>
          <w:p>
            <w:pPr>
              <w:pStyle w:val="15"/>
            </w:pPr>
            <w:r>
              <w:t>财政拨款 收入</w:t>
            </w:r>
          </w:p>
        </w:tc>
        <w:tc>
          <w:tcPr>
            <w:tcW w:w="1100" w:type="dxa"/>
            <w:vAlign w:val="center"/>
          </w:tcPr>
          <w:p>
            <w:pPr>
              <w:pStyle w:val="15"/>
            </w:pPr>
            <w:r>
              <w:t>财政专户 收入</w:t>
            </w:r>
          </w:p>
        </w:tc>
        <w:tc>
          <w:tcPr>
            <w:tcW w:w="917" w:type="dxa"/>
            <w:vAlign w:val="center"/>
          </w:tcPr>
          <w:p>
            <w:pPr>
              <w:pStyle w:val="15"/>
            </w:pPr>
            <w:r>
              <w:t>事业收入</w:t>
            </w:r>
          </w:p>
        </w:tc>
        <w:tc>
          <w:tcPr>
            <w:tcW w:w="733" w:type="dxa"/>
            <w:vAlign w:val="center"/>
          </w:tcPr>
          <w:p>
            <w:pPr>
              <w:pStyle w:val="15"/>
            </w:pPr>
            <w:r>
              <w:t>经营收入</w:t>
            </w:r>
          </w:p>
        </w:tc>
        <w:tc>
          <w:tcPr>
            <w:tcW w:w="900" w:type="dxa"/>
            <w:vAlign w:val="center"/>
          </w:tcPr>
          <w:p>
            <w:pPr>
              <w:pStyle w:val="15"/>
            </w:pPr>
            <w:r>
              <w:t>上级补助收入</w:t>
            </w:r>
          </w:p>
        </w:tc>
        <w:tc>
          <w:tcPr>
            <w:tcW w:w="1121" w:type="dxa"/>
            <w:vAlign w:val="center"/>
          </w:tcPr>
          <w:p>
            <w:pPr>
              <w:pStyle w:val="15"/>
            </w:pPr>
            <w:r>
              <w:t>附属单位上缴收入</w:t>
            </w:r>
          </w:p>
        </w:tc>
        <w:tc>
          <w:tcPr>
            <w:tcW w:w="910" w:type="dxa"/>
            <w:vAlign w:val="center"/>
          </w:tcPr>
          <w:p>
            <w:pPr>
              <w:pStyle w:val="15"/>
            </w:pPr>
            <w:r>
              <w:t>其他收入</w:t>
            </w:r>
          </w:p>
        </w:tc>
        <w:tc>
          <w:tcPr>
            <w:tcW w:w="91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Align w:val="center"/>
          </w:tcPr>
          <w:p>
            <w:pPr>
              <w:pStyle w:val="15"/>
            </w:pPr>
            <w:r>
              <w:t>栏次</w:t>
            </w:r>
          </w:p>
        </w:tc>
        <w:tc>
          <w:tcPr>
            <w:tcW w:w="1250" w:type="dxa"/>
            <w:vAlign w:val="center"/>
          </w:tcPr>
          <w:p>
            <w:pPr>
              <w:pStyle w:val="15"/>
            </w:pPr>
            <w:r>
              <w:t>1</w:t>
            </w:r>
          </w:p>
        </w:tc>
        <w:tc>
          <w:tcPr>
            <w:tcW w:w="3866" w:type="dxa"/>
            <w:vAlign w:val="center"/>
          </w:tcPr>
          <w:p>
            <w:pPr>
              <w:pStyle w:val="15"/>
            </w:pPr>
            <w:r>
              <w:t>2</w:t>
            </w:r>
          </w:p>
        </w:tc>
        <w:tc>
          <w:tcPr>
            <w:tcW w:w="893" w:type="dxa"/>
            <w:vAlign w:val="center"/>
          </w:tcPr>
          <w:p>
            <w:pPr>
              <w:pStyle w:val="15"/>
            </w:pPr>
            <w:r>
              <w:t>3</w:t>
            </w:r>
          </w:p>
        </w:tc>
        <w:tc>
          <w:tcPr>
            <w:tcW w:w="870" w:type="dxa"/>
            <w:vAlign w:val="center"/>
          </w:tcPr>
          <w:p>
            <w:pPr>
              <w:pStyle w:val="15"/>
            </w:pPr>
            <w:r>
              <w:t>4</w:t>
            </w:r>
          </w:p>
        </w:tc>
        <w:tc>
          <w:tcPr>
            <w:tcW w:w="954" w:type="dxa"/>
            <w:vAlign w:val="center"/>
          </w:tcPr>
          <w:p>
            <w:pPr>
              <w:pStyle w:val="15"/>
            </w:pPr>
            <w:r>
              <w:t>5</w:t>
            </w:r>
          </w:p>
        </w:tc>
        <w:tc>
          <w:tcPr>
            <w:tcW w:w="1100" w:type="dxa"/>
            <w:vAlign w:val="center"/>
          </w:tcPr>
          <w:p>
            <w:pPr>
              <w:pStyle w:val="15"/>
            </w:pPr>
            <w:r>
              <w:t>6</w:t>
            </w:r>
          </w:p>
        </w:tc>
        <w:tc>
          <w:tcPr>
            <w:tcW w:w="917" w:type="dxa"/>
            <w:vAlign w:val="center"/>
          </w:tcPr>
          <w:p>
            <w:pPr>
              <w:pStyle w:val="15"/>
            </w:pPr>
            <w:r>
              <w:t>7</w:t>
            </w:r>
          </w:p>
        </w:tc>
        <w:tc>
          <w:tcPr>
            <w:tcW w:w="733" w:type="dxa"/>
            <w:vAlign w:val="center"/>
          </w:tcPr>
          <w:p>
            <w:pPr>
              <w:pStyle w:val="15"/>
            </w:pPr>
            <w:r>
              <w:t>8</w:t>
            </w:r>
          </w:p>
        </w:tc>
        <w:tc>
          <w:tcPr>
            <w:tcW w:w="900" w:type="dxa"/>
            <w:vAlign w:val="center"/>
          </w:tcPr>
          <w:p>
            <w:pPr>
              <w:pStyle w:val="15"/>
            </w:pPr>
            <w:r>
              <w:t>9</w:t>
            </w:r>
          </w:p>
        </w:tc>
        <w:tc>
          <w:tcPr>
            <w:tcW w:w="1121" w:type="dxa"/>
            <w:vAlign w:val="center"/>
          </w:tcPr>
          <w:p>
            <w:pPr>
              <w:pStyle w:val="15"/>
            </w:pPr>
            <w:r>
              <w:t>10</w:t>
            </w:r>
          </w:p>
        </w:tc>
        <w:tc>
          <w:tcPr>
            <w:tcW w:w="910" w:type="dxa"/>
            <w:vAlign w:val="center"/>
          </w:tcPr>
          <w:p>
            <w:pPr>
              <w:pStyle w:val="15"/>
            </w:pPr>
            <w:r>
              <w:t>11</w:t>
            </w:r>
          </w:p>
        </w:tc>
        <w:tc>
          <w:tcPr>
            <w:tcW w:w="910"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1</w:t>
            </w:r>
          </w:p>
        </w:tc>
        <w:tc>
          <w:tcPr>
            <w:tcW w:w="1250" w:type="dxa"/>
            <w:vAlign w:val="center"/>
          </w:tcPr>
          <w:p>
            <w:pPr>
              <w:pStyle w:val="21"/>
            </w:pPr>
          </w:p>
        </w:tc>
        <w:tc>
          <w:tcPr>
            <w:tcW w:w="3866" w:type="dxa"/>
            <w:vAlign w:val="center"/>
          </w:tcPr>
          <w:p>
            <w:pPr>
              <w:pStyle w:val="19"/>
            </w:pPr>
            <w:r>
              <w:t>合计</w:t>
            </w:r>
          </w:p>
        </w:tc>
        <w:tc>
          <w:tcPr>
            <w:tcW w:w="893"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170.34</w:t>
            </w:r>
          </w:p>
        </w:tc>
        <w:tc>
          <w:tcPr>
            <w:tcW w:w="87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170.34</w:t>
            </w:r>
          </w:p>
        </w:tc>
        <w:tc>
          <w:tcPr>
            <w:tcW w:w="954"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170.34</w:t>
            </w:r>
          </w:p>
        </w:tc>
        <w:tc>
          <w:tcPr>
            <w:tcW w:w="1100" w:type="dxa"/>
            <w:vAlign w:val="center"/>
          </w:tcPr>
          <w:p>
            <w:pPr>
              <w:pStyle w:val="20"/>
            </w:pPr>
          </w:p>
        </w:tc>
        <w:tc>
          <w:tcPr>
            <w:tcW w:w="917" w:type="dxa"/>
            <w:vAlign w:val="center"/>
          </w:tcPr>
          <w:p>
            <w:pPr>
              <w:pStyle w:val="20"/>
            </w:pPr>
          </w:p>
        </w:tc>
        <w:tc>
          <w:tcPr>
            <w:tcW w:w="733" w:type="dxa"/>
            <w:vAlign w:val="center"/>
          </w:tcPr>
          <w:p>
            <w:pPr>
              <w:pStyle w:val="20"/>
            </w:pPr>
          </w:p>
        </w:tc>
        <w:tc>
          <w:tcPr>
            <w:tcW w:w="900" w:type="dxa"/>
            <w:vAlign w:val="center"/>
          </w:tcPr>
          <w:p>
            <w:pPr>
              <w:pStyle w:val="20"/>
            </w:pPr>
          </w:p>
        </w:tc>
        <w:tc>
          <w:tcPr>
            <w:tcW w:w="1121" w:type="dxa"/>
            <w:vAlign w:val="center"/>
          </w:tcPr>
          <w:p>
            <w:pPr>
              <w:pStyle w:val="20"/>
            </w:pPr>
          </w:p>
        </w:tc>
        <w:tc>
          <w:tcPr>
            <w:tcW w:w="910" w:type="dxa"/>
            <w:vAlign w:val="center"/>
          </w:tcPr>
          <w:p>
            <w:pPr>
              <w:pStyle w:val="20"/>
            </w:pPr>
          </w:p>
        </w:tc>
        <w:tc>
          <w:tcPr>
            <w:tcW w:w="910"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2</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201</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一般公共服务支出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3</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20132</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组织事务</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4</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2013299</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其他组织事务支出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5</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208</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社会保障和就业支出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6</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20805</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行政事业单位养老支出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7</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2080501</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行政单位离退休</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8</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2080505</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机关事业单位基本养老保险缴费支出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9</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20827</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财政对其他社会保险基金的补助</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10</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2082702</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财政对工伤保险基金的补助</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11</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210</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卫生健康支出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12</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21011</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财政对基本医疗保险基金的补助</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13</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2101201</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财政对职工基本医疗保险基金的补助</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14</w:t>
            </w:r>
          </w:p>
        </w:tc>
        <w:tc>
          <w:tcPr>
            <w:tcW w:w="125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221</w:t>
            </w:r>
          </w:p>
        </w:tc>
        <w:tc>
          <w:tcPr>
            <w:tcW w:w="3866"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住房保障支出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pPr>
            <w:r>
              <w:t>15</w:t>
            </w:r>
          </w:p>
        </w:tc>
        <w:tc>
          <w:tcPr>
            <w:tcW w:w="125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22102</w:t>
            </w:r>
          </w:p>
        </w:tc>
        <w:tc>
          <w:tcPr>
            <w:tcW w:w="3866"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住房改革支出</w:t>
            </w:r>
          </w:p>
        </w:tc>
        <w:tc>
          <w:tcPr>
            <w:tcW w:w="893"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7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95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8"/>
              <w:rPr>
                <w:rFonts w:hint="default" w:eastAsia="方正书宋_GBK"/>
                <w:lang w:val="en-US" w:eastAsia="zh-CN"/>
              </w:rPr>
            </w:pPr>
            <w:r>
              <w:rPr>
                <w:rFonts w:hint="eastAsia"/>
                <w:lang w:val="en-US" w:eastAsia="zh-CN"/>
              </w:rPr>
              <w:t>16</w:t>
            </w:r>
          </w:p>
        </w:tc>
        <w:tc>
          <w:tcPr>
            <w:tcW w:w="1250"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3866" w:type="dxa"/>
            <w:vAlign w:val="center"/>
          </w:tcPr>
          <w:p>
            <w:pPr>
              <w:keepNext w:val="0"/>
              <w:keepLines w:val="0"/>
              <w:widowControl/>
              <w:suppressLineNumbers w:val="0"/>
              <w:jc w:val="both"/>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893"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870"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954"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00" w:type="dxa"/>
            <w:vAlign w:val="center"/>
          </w:tcPr>
          <w:p>
            <w:pPr>
              <w:pStyle w:val="16"/>
            </w:pPr>
          </w:p>
        </w:tc>
        <w:tc>
          <w:tcPr>
            <w:tcW w:w="917" w:type="dxa"/>
            <w:vAlign w:val="center"/>
          </w:tcPr>
          <w:p>
            <w:pPr>
              <w:pStyle w:val="16"/>
            </w:pPr>
          </w:p>
        </w:tc>
        <w:tc>
          <w:tcPr>
            <w:tcW w:w="733" w:type="dxa"/>
            <w:vAlign w:val="center"/>
          </w:tcPr>
          <w:p>
            <w:pPr>
              <w:pStyle w:val="16"/>
            </w:pPr>
          </w:p>
        </w:tc>
        <w:tc>
          <w:tcPr>
            <w:tcW w:w="900" w:type="dxa"/>
            <w:vAlign w:val="center"/>
          </w:tcPr>
          <w:p>
            <w:pPr>
              <w:pStyle w:val="16"/>
            </w:pPr>
          </w:p>
        </w:tc>
        <w:tc>
          <w:tcPr>
            <w:tcW w:w="1121" w:type="dxa"/>
            <w:vAlign w:val="center"/>
          </w:tcPr>
          <w:p>
            <w:pPr>
              <w:pStyle w:val="16"/>
            </w:pPr>
          </w:p>
        </w:tc>
        <w:tc>
          <w:tcPr>
            <w:tcW w:w="910" w:type="dxa"/>
            <w:vAlign w:val="center"/>
          </w:tcPr>
          <w:p>
            <w:pPr>
              <w:pStyle w:val="16"/>
            </w:pPr>
          </w:p>
        </w:tc>
        <w:tc>
          <w:tcPr>
            <w:tcW w:w="910"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462"/>
        <w:gridCol w:w="4000"/>
        <w:gridCol w:w="858"/>
        <w:gridCol w:w="1264"/>
        <w:gridCol w:w="1181"/>
        <w:gridCol w:w="1181"/>
        <w:gridCol w:w="2002"/>
        <w:gridCol w:w="23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255</w:t>
            </w:r>
            <w:r>
              <w:t>001</w:t>
            </w:r>
            <w:r>
              <w:rPr>
                <w:rFonts w:hint="eastAsia"/>
                <w:lang w:eastAsia="zh-CN"/>
              </w:rPr>
              <w:t>中共</w:t>
            </w:r>
            <w:r>
              <w:t>宁晋县</w:t>
            </w:r>
            <w:r>
              <w:rPr>
                <w:rFonts w:hint="eastAsia"/>
                <w:lang w:eastAsia="zh-CN"/>
              </w:rPr>
              <w:t>委机构编制委员会办公室</w:t>
            </w:r>
            <w:r>
              <w:t>本级</w:t>
            </w:r>
          </w:p>
        </w:tc>
        <w:tc>
          <w:tcPr>
            <w:tcW w:w="2122"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6720"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5"/>
            </w:pPr>
            <w:r>
              <w:t>序号</w:t>
            </w:r>
          </w:p>
        </w:tc>
        <w:tc>
          <w:tcPr>
            <w:tcW w:w="5462" w:type="dxa"/>
            <w:gridSpan w:val="2"/>
            <w:vAlign w:val="center"/>
          </w:tcPr>
          <w:p>
            <w:pPr>
              <w:pStyle w:val="15"/>
            </w:pPr>
            <w:r>
              <w:t>功能分类科目</w:t>
            </w:r>
          </w:p>
        </w:tc>
        <w:tc>
          <w:tcPr>
            <w:tcW w:w="858" w:type="dxa"/>
            <w:vMerge w:val="restart"/>
            <w:vAlign w:val="center"/>
          </w:tcPr>
          <w:p>
            <w:pPr>
              <w:pStyle w:val="15"/>
            </w:pPr>
            <w:r>
              <w:t>合计</w:t>
            </w:r>
          </w:p>
        </w:tc>
        <w:tc>
          <w:tcPr>
            <w:tcW w:w="1264" w:type="dxa"/>
            <w:vMerge w:val="restart"/>
            <w:vAlign w:val="center"/>
          </w:tcPr>
          <w:p>
            <w:pPr>
              <w:pStyle w:val="15"/>
            </w:pPr>
            <w:r>
              <w:t>基本支出</w:t>
            </w:r>
          </w:p>
        </w:tc>
        <w:tc>
          <w:tcPr>
            <w:tcW w:w="1181" w:type="dxa"/>
            <w:vMerge w:val="restart"/>
            <w:vAlign w:val="center"/>
          </w:tcPr>
          <w:p>
            <w:pPr>
              <w:pStyle w:val="15"/>
            </w:pPr>
            <w:r>
              <w:t>项目支出</w:t>
            </w:r>
          </w:p>
        </w:tc>
        <w:tc>
          <w:tcPr>
            <w:tcW w:w="1181" w:type="dxa"/>
            <w:vMerge w:val="restart"/>
            <w:vAlign w:val="center"/>
          </w:tcPr>
          <w:p>
            <w:pPr>
              <w:pStyle w:val="15"/>
            </w:pPr>
            <w:r>
              <w:t>经营支出</w:t>
            </w:r>
          </w:p>
        </w:tc>
        <w:tc>
          <w:tcPr>
            <w:tcW w:w="2002" w:type="dxa"/>
            <w:vMerge w:val="restart"/>
            <w:vAlign w:val="center"/>
          </w:tcPr>
          <w:p>
            <w:pPr>
              <w:pStyle w:val="15"/>
            </w:pPr>
            <w:r>
              <w:t>上解上级     支出</w:t>
            </w:r>
          </w:p>
        </w:tc>
        <w:tc>
          <w:tcPr>
            <w:tcW w:w="2356"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462" w:type="dxa"/>
            <w:vAlign w:val="center"/>
          </w:tcPr>
          <w:p>
            <w:pPr>
              <w:pStyle w:val="15"/>
            </w:pPr>
            <w:r>
              <w:t>科目    编码</w:t>
            </w:r>
          </w:p>
        </w:tc>
        <w:tc>
          <w:tcPr>
            <w:tcW w:w="4000" w:type="dxa"/>
            <w:vAlign w:val="center"/>
          </w:tcPr>
          <w:p>
            <w:pPr>
              <w:pStyle w:val="15"/>
            </w:pPr>
            <w:r>
              <w:t>科目名称</w:t>
            </w:r>
          </w:p>
        </w:tc>
        <w:tc>
          <w:tcPr>
            <w:tcW w:w="858" w:type="dxa"/>
            <w:vMerge w:val="continue"/>
          </w:tcPr>
          <w:p/>
        </w:tc>
        <w:tc>
          <w:tcPr>
            <w:tcW w:w="1264" w:type="dxa"/>
            <w:vMerge w:val="continue"/>
          </w:tcPr>
          <w:p/>
        </w:tc>
        <w:tc>
          <w:tcPr>
            <w:tcW w:w="1181" w:type="dxa"/>
            <w:vMerge w:val="continue"/>
          </w:tcPr>
          <w:p/>
        </w:tc>
        <w:tc>
          <w:tcPr>
            <w:tcW w:w="1181" w:type="dxa"/>
            <w:vMerge w:val="continue"/>
          </w:tcPr>
          <w:p/>
        </w:tc>
        <w:tc>
          <w:tcPr>
            <w:tcW w:w="2002" w:type="dxa"/>
            <w:vMerge w:val="continue"/>
          </w:tcPr>
          <w:p/>
        </w:tc>
        <w:tc>
          <w:tcPr>
            <w:tcW w:w="23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5"/>
            </w:pPr>
            <w:r>
              <w:t>栏次</w:t>
            </w:r>
          </w:p>
        </w:tc>
        <w:tc>
          <w:tcPr>
            <w:tcW w:w="1462" w:type="dxa"/>
            <w:vAlign w:val="center"/>
          </w:tcPr>
          <w:p>
            <w:pPr>
              <w:pStyle w:val="15"/>
            </w:pPr>
            <w:r>
              <w:t>1</w:t>
            </w:r>
          </w:p>
        </w:tc>
        <w:tc>
          <w:tcPr>
            <w:tcW w:w="4000" w:type="dxa"/>
            <w:vAlign w:val="center"/>
          </w:tcPr>
          <w:p>
            <w:pPr>
              <w:pStyle w:val="15"/>
            </w:pPr>
            <w:r>
              <w:t>2</w:t>
            </w:r>
          </w:p>
        </w:tc>
        <w:tc>
          <w:tcPr>
            <w:tcW w:w="858" w:type="dxa"/>
            <w:vAlign w:val="center"/>
          </w:tcPr>
          <w:p>
            <w:pPr>
              <w:pStyle w:val="15"/>
            </w:pPr>
            <w:r>
              <w:t>3</w:t>
            </w:r>
          </w:p>
        </w:tc>
        <w:tc>
          <w:tcPr>
            <w:tcW w:w="1264" w:type="dxa"/>
            <w:vAlign w:val="center"/>
          </w:tcPr>
          <w:p>
            <w:pPr>
              <w:pStyle w:val="15"/>
            </w:pPr>
            <w:r>
              <w:t>4</w:t>
            </w:r>
          </w:p>
        </w:tc>
        <w:tc>
          <w:tcPr>
            <w:tcW w:w="1181" w:type="dxa"/>
            <w:vAlign w:val="center"/>
          </w:tcPr>
          <w:p>
            <w:pPr>
              <w:pStyle w:val="15"/>
            </w:pPr>
            <w:r>
              <w:t>5</w:t>
            </w:r>
          </w:p>
        </w:tc>
        <w:tc>
          <w:tcPr>
            <w:tcW w:w="1181" w:type="dxa"/>
            <w:vAlign w:val="center"/>
          </w:tcPr>
          <w:p>
            <w:pPr>
              <w:pStyle w:val="15"/>
            </w:pPr>
            <w:r>
              <w:t>6</w:t>
            </w:r>
          </w:p>
        </w:tc>
        <w:tc>
          <w:tcPr>
            <w:tcW w:w="2002" w:type="dxa"/>
            <w:vAlign w:val="center"/>
          </w:tcPr>
          <w:p>
            <w:pPr>
              <w:pStyle w:val="15"/>
            </w:pPr>
            <w:r>
              <w:t>7</w:t>
            </w:r>
          </w:p>
        </w:tc>
        <w:tc>
          <w:tcPr>
            <w:tcW w:w="2356"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w:t>
            </w:r>
          </w:p>
        </w:tc>
        <w:tc>
          <w:tcPr>
            <w:tcW w:w="1462" w:type="dxa"/>
            <w:vAlign w:val="center"/>
          </w:tcPr>
          <w:p>
            <w:pPr>
              <w:pStyle w:val="21"/>
            </w:pPr>
          </w:p>
        </w:tc>
        <w:tc>
          <w:tcPr>
            <w:tcW w:w="4000" w:type="dxa"/>
            <w:vAlign w:val="center"/>
          </w:tcPr>
          <w:p>
            <w:pPr>
              <w:pStyle w:val="19"/>
            </w:pPr>
            <w:r>
              <w:t>合计</w:t>
            </w:r>
          </w:p>
        </w:tc>
        <w:tc>
          <w:tcPr>
            <w:tcW w:w="858"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170.34</w:t>
            </w:r>
          </w:p>
        </w:tc>
        <w:tc>
          <w:tcPr>
            <w:tcW w:w="1264"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133.22</w:t>
            </w:r>
          </w:p>
        </w:tc>
        <w:tc>
          <w:tcPr>
            <w:tcW w:w="1181" w:type="dxa"/>
            <w:vAlign w:val="center"/>
          </w:tcPr>
          <w:p>
            <w:pPr>
              <w:keepNext w:val="0"/>
              <w:keepLines w:val="0"/>
              <w:widowControl/>
              <w:suppressLineNumbers w:val="0"/>
              <w:jc w:val="both"/>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pStyle w:val="20"/>
            </w:pPr>
          </w:p>
        </w:tc>
        <w:tc>
          <w:tcPr>
            <w:tcW w:w="2002" w:type="dxa"/>
            <w:vAlign w:val="center"/>
          </w:tcPr>
          <w:p>
            <w:pPr>
              <w:pStyle w:val="20"/>
            </w:pPr>
          </w:p>
        </w:tc>
        <w:tc>
          <w:tcPr>
            <w:tcW w:w="235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2</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一般公共服务支出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3</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20132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组织事务</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4</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2013299</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其他组织事务支出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5</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社会保障和就业支出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6</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行政事业单位养老支出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7</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行政单位离退休</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8</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2080505</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机关事业单位基本养老保险缴费支出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9</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20827</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财政对其他社会保险基金的补助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10</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2082702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财政对工伤保险基金的补助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11</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卫生健康支出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12</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21012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财政对基本医疗保险基金的补助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13</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2101201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财政对职工基本医疗保险基金的补助</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14</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住房保障支出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15</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22102</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住房改革支出</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8"/>
            </w:pPr>
            <w:r>
              <w:t>16</w:t>
            </w:r>
          </w:p>
        </w:tc>
        <w:tc>
          <w:tcPr>
            <w:tcW w:w="1462"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2210201</w:t>
            </w:r>
          </w:p>
        </w:tc>
        <w:tc>
          <w:tcPr>
            <w:tcW w:w="4000"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住房公积金</w:t>
            </w:r>
          </w:p>
        </w:tc>
        <w:tc>
          <w:tcPr>
            <w:tcW w:w="858"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264"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181" w:type="dxa"/>
            <w:vAlign w:val="center"/>
          </w:tcPr>
          <w:p>
            <w:pPr>
              <w:keepNext w:val="0"/>
              <w:keepLines w:val="0"/>
              <w:widowControl/>
              <w:suppressLineNumbers w:val="0"/>
              <w:jc w:val="both"/>
              <w:textAlignment w:val="top"/>
              <w:rPr>
                <w:rFonts w:hint="eastAsia" w:ascii="Calibri" w:hAnsi="Calibri" w:eastAsia="宋体" w:cs="Calibri"/>
                <w:i w:val="0"/>
                <w:iCs w:val="0"/>
                <w:color w:val="000000"/>
                <w:kern w:val="0"/>
                <w:sz w:val="22"/>
                <w:szCs w:val="22"/>
                <w:u w:val="none"/>
                <w:lang w:val="en-US" w:eastAsia="zh-CN" w:bidi="ar"/>
              </w:rPr>
            </w:pPr>
          </w:p>
        </w:tc>
        <w:tc>
          <w:tcPr>
            <w:tcW w:w="1181" w:type="dxa"/>
            <w:vAlign w:val="center"/>
          </w:tcPr>
          <w:p>
            <w:pPr>
              <w:pStyle w:val="16"/>
            </w:pPr>
          </w:p>
        </w:tc>
        <w:tc>
          <w:tcPr>
            <w:tcW w:w="2002" w:type="dxa"/>
            <w:vAlign w:val="center"/>
          </w:tcPr>
          <w:p>
            <w:pPr>
              <w:pStyle w:val="16"/>
            </w:pPr>
          </w:p>
        </w:tc>
        <w:tc>
          <w:tcPr>
            <w:tcW w:w="2356"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2769"/>
        <w:gridCol w:w="945"/>
        <w:gridCol w:w="3390"/>
        <w:gridCol w:w="1108"/>
        <w:gridCol w:w="1907"/>
        <w:gridCol w:w="2145"/>
        <w:gridCol w:w="21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51"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w:t>
            </w:r>
            <w:r>
              <w:t>001</w:t>
            </w:r>
            <w:r>
              <w:rPr>
                <w:rFonts w:hint="eastAsia"/>
                <w:lang w:eastAsia="zh-CN"/>
              </w:rPr>
              <w:t>中共</w:t>
            </w:r>
            <w:r>
              <w:t>宁晋县</w:t>
            </w:r>
            <w:r>
              <w:rPr>
                <w:rFonts w:hint="eastAsia"/>
                <w:lang w:eastAsia="zh-CN"/>
              </w:rPr>
              <w:t>委机构编制委员会办公室</w:t>
            </w:r>
            <w:r>
              <w:t>本级</w:t>
            </w:r>
          </w:p>
        </w:tc>
        <w:tc>
          <w:tcPr>
            <w:tcW w:w="3390"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7275"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tblHeader/>
          <w:jc w:val="center"/>
        </w:trPr>
        <w:tc>
          <w:tcPr>
            <w:tcW w:w="637" w:type="dxa"/>
            <w:vMerge w:val="restart"/>
            <w:vAlign w:val="center"/>
          </w:tcPr>
          <w:p>
            <w:pPr>
              <w:pStyle w:val="15"/>
            </w:pPr>
            <w:r>
              <w:t>序号</w:t>
            </w:r>
          </w:p>
        </w:tc>
        <w:tc>
          <w:tcPr>
            <w:tcW w:w="3714" w:type="dxa"/>
            <w:gridSpan w:val="2"/>
            <w:vAlign w:val="center"/>
          </w:tcPr>
          <w:p>
            <w:pPr>
              <w:pStyle w:val="15"/>
            </w:pPr>
            <w:r>
              <w:t>收入</w:t>
            </w:r>
          </w:p>
        </w:tc>
        <w:tc>
          <w:tcPr>
            <w:tcW w:w="10665"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continue"/>
          </w:tcPr>
          <w:p/>
        </w:tc>
        <w:tc>
          <w:tcPr>
            <w:tcW w:w="2769" w:type="dxa"/>
            <w:vAlign w:val="center"/>
          </w:tcPr>
          <w:p>
            <w:pPr>
              <w:pStyle w:val="15"/>
            </w:pPr>
            <w:r>
              <w:t>项  目</w:t>
            </w:r>
          </w:p>
        </w:tc>
        <w:tc>
          <w:tcPr>
            <w:tcW w:w="945" w:type="dxa"/>
            <w:vAlign w:val="center"/>
          </w:tcPr>
          <w:p>
            <w:pPr>
              <w:pStyle w:val="15"/>
            </w:pPr>
            <w:r>
              <w:t>金额</w:t>
            </w:r>
          </w:p>
        </w:tc>
        <w:tc>
          <w:tcPr>
            <w:tcW w:w="3390" w:type="dxa"/>
            <w:vAlign w:val="center"/>
          </w:tcPr>
          <w:p>
            <w:pPr>
              <w:pStyle w:val="15"/>
            </w:pPr>
            <w:r>
              <w:t>项  目</w:t>
            </w:r>
          </w:p>
        </w:tc>
        <w:tc>
          <w:tcPr>
            <w:tcW w:w="1108" w:type="dxa"/>
            <w:vAlign w:val="center"/>
          </w:tcPr>
          <w:p>
            <w:pPr>
              <w:pStyle w:val="15"/>
            </w:pPr>
            <w:r>
              <w:t>合计</w:t>
            </w:r>
          </w:p>
        </w:tc>
        <w:tc>
          <w:tcPr>
            <w:tcW w:w="1907" w:type="dxa"/>
            <w:vAlign w:val="center"/>
          </w:tcPr>
          <w:p>
            <w:pPr>
              <w:pStyle w:val="15"/>
            </w:pPr>
            <w:r>
              <w:t>一般公共预算财政拨款</w:t>
            </w:r>
          </w:p>
        </w:tc>
        <w:tc>
          <w:tcPr>
            <w:tcW w:w="2145" w:type="dxa"/>
            <w:vAlign w:val="center"/>
          </w:tcPr>
          <w:p>
            <w:pPr>
              <w:pStyle w:val="15"/>
            </w:pPr>
            <w:r>
              <w:t>政府性基金预算财政    拨款</w:t>
            </w:r>
          </w:p>
        </w:tc>
        <w:tc>
          <w:tcPr>
            <w:tcW w:w="2115"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Align w:val="center"/>
          </w:tcPr>
          <w:p>
            <w:pPr>
              <w:pStyle w:val="15"/>
            </w:pPr>
            <w:r>
              <w:t>栏次</w:t>
            </w:r>
          </w:p>
        </w:tc>
        <w:tc>
          <w:tcPr>
            <w:tcW w:w="2769" w:type="dxa"/>
            <w:vAlign w:val="center"/>
          </w:tcPr>
          <w:p>
            <w:pPr>
              <w:pStyle w:val="15"/>
            </w:pPr>
            <w:r>
              <w:t>1</w:t>
            </w:r>
          </w:p>
        </w:tc>
        <w:tc>
          <w:tcPr>
            <w:tcW w:w="945" w:type="dxa"/>
            <w:vAlign w:val="center"/>
          </w:tcPr>
          <w:p>
            <w:pPr>
              <w:pStyle w:val="15"/>
            </w:pPr>
            <w:r>
              <w:t>2</w:t>
            </w:r>
          </w:p>
        </w:tc>
        <w:tc>
          <w:tcPr>
            <w:tcW w:w="3390" w:type="dxa"/>
            <w:vAlign w:val="center"/>
          </w:tcPr>
          <w:p>
            <w:pPr>
              <w:pStyle w:val="15"/>
            </w:pPr>
            <w:r>
              <w:t>3</w:t>
            </w:r>
          </w:p>
        </w:tc>
        <w:tc>
          <w:tcPr>
            <w:tcW w:w="1108" w:type="dxa"/>
            <w:vAlign w:val="center"/>
          </w:tcPr>
          <w:p>
            <w:pPr>
              <w:pStyle w:val="15"/>
            </w:pPr>
            <w:r>
              <w:t>4</w:t>
            </w:r>
          </w:p>
        </w:tc>
        <w:tc>
          <w:tcPr>
            <w:tcW w:w="1907" w:type="dxa"/>
            <w:vAlign w:val="center"/>
          </w:tcPr>
          <w:p>
            <w:pPr>
              <w:pStyle w:val="15"/>
            </w:pPr>
            <w:r>
              <w:t>5</w:t>
            </w:r>
          </w:p>
        </w:tc>
        <w:tc>
          <w:tcPr>
            <w:tcW w:w="2145" w:type="dxa"/>
            <w:vAlign w:val="center"/>
          </w:tcPr>
          <w:p>
            <w:pPr>
              <w:pStyle w:val="15"/>
            </w:pPr>
            <w:r>
              <w:t>6</w:t>
            </w:r>
          </w:p>
        </w:tc>
        <w:tc>
          <w:tcPr>
            <w:tcW w:w="2115"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w:t>
            </w:r>
          </w:p>
        </w:tc>
        <w:tc>
          <w:tcPr>
            <w:tcW w:w="2769" w:type="dxa"/>
            <w:vAlign w:val="center"/>
          </w:tcPr>
          <w:p>
            <w:pPr>
              <w:pStyle w:val="17"/>
            </w:pPr>
            <w:r>
              <w:t>一、一般公共预算拨款</w:t>
            </w:r>
          </w:p>
        </w:tc>
        <w:tc>
          <w:tcPr>
            <w:tcW w:w="945" w:type="dxa"/>
            <w:vAlign w:val="center"/>
          </w:tcPr>
          <w:p>
            <w:pPr>
              <w:pStyle w:val="16"/>
              <w:jc w:val="center"/>
              <w:rPr>
                <w:rFonts w:hint="default" w:eastAsia="方正书宋_GBK"/>
                <w:lang w:val="en-US" w:eastAsia="zh-CN"/>
              </w:rPr>
            </w:pPr>
            <w:r>
              <w:rPr>
                <w:rFonts w:hint="eastAsia"/>
                <w:lang w:val="en-US" w:eastAsia="zh-CN"/>
              </w:rPr>
              <w:t>170.34</w:t>
            </w:r>
          </w:p>
        </w:tc>
        <w:tc>
          <w:tcPr>
            <w:tcW w:w="3390" w:type="dxa"/>
            <w:vAlign w:val="center"/>
          </w:tcPr>
          <w:p>
            <w:pPr>
              <w:pStyle w:val="17"/>
            </w:pPr>
            <w:r>
              <w:t>一、一般公共服务支出</w:t>
            </w:r>
          </w:p>
        </w:tc>
        <w:tc>
          <w:tcPr>
            <w:tcW w:w="1108" w:type="dxa"/>
            <w:vAlign w:val="center"/>
          </w:tcPr>
          <w:p>
            <w:pPr>
              <w:pStyle w:val="16"/>
              <w:jc w:val="right"/>
              <w:rPr>
                <w:rFonts w:hint="default" w:eastAsia="方正书宋_GBK"/>
                <w:lang w:val="en-US" w:eastAsia="zh-CN"/>
              </w:rPr>
            </w:pPr>
            <w:r>
              <w:rPr>
                <w:rFonts w:hint="eastAsia"/>
                <w:lang w:val="en-US" w:eastAsia="zh-CN"/>
              </w:rPr>
              <w:t>139.25</w:t>
            </w:r>
          </w:p>
        </w:tc>
        <w:tc>
          <w:tcPr>
            <w:tcW w:w="1907" w:type="dxa"/>
            <w:vAlign w:val="center"/>
          </w:tcPr>
          <w:p>
            <w:pPr>
              <w:pStyle w:val="16"/>
              <w:jc w:val="right"/>
              <w:rPr>
                <w:rFonts w:hint="default" w:eastAsia="方正书宋_GBK"/>
                <w:lang w:val="en-US" w:eastAsia="zh-CN"/>
              </w:rPr>
            </w:pPr>
            <w:r>
              <w:rPr>
                <w:rFonts w:hint="eastAsia"/>
                <w:lang w:val="en-US" w:eastAsia="zh-CN"/>
              </w:rPr>
              <w:t>139.25</w:t>
            </w: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w:t>
            </w:r>
          </w:p>
        </w:tc>
        <w:tc>
          <w:tcPr>
            <w:tcW w:w="2769" w:type="dxa"/>
            <w:vAlign w:val="center"/>
          </w:tcPr>
          <w:p>
            <w:pPr>
              <w:pStyle w:val="17"/>
            </w:pPr>
            <w:r>
              <w:t>二、政府性基金预算拨款</w:t>
            </w:r>
          </w:p>
        </w:tc>
        <w:tc>
          <w:tcPr>
            <w:tcW w:w="945" w:type="dxa"/>
            <w:vAlign w:val="center"/>
          </w:tcPr>
          <w:p>
            <w:pPr>
              <w:pStyle w:val="16"/>
            </w:pPr>
          </w:p>
        </w:tc>
        <w:tc>
          <w:tcPr>
            <w:tcW w:w="3390" w:type="dxa"/>
            <w:vAlign w:val="center"/>
          </w:tcPr>
          <w:p>
            <w:pPr>
              <w:pStyle w:val="17"/>
            </w:pPr>
            <w:r>
              <w:t>二、外交支出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w:t>
            </w:r>
          </w:p>
        </w:tc>
        <w:tc>
          <w:tcPr>
            <w:tcW w:w="2769" w:type="dxa"/>
            <w:vAlign w:val="center"/>
          </w:tcPr>
          <w:p>
            <w:pPr>
              <w:pStyle w:val="17"/>
            </w:pPr>
            <w:r>
              <w:t>三、国有资本经营预算拨款</w:t>
            </w:r>
          </w:p>
        </w:tc>
        <w:tc>
          <w:tcPr>
            <w:tcW w:w="945" w:type="dxa"/>
            <w:vAlign w:val="center"/>
          </w:tcPr>
          <w:p>
            <w:pPr>
              <w:pStyle w:val="16"/>
            </w:pPr>
          </w:p>
        </w:tc>
        <w:tc>
          <w:tcPr>
            <w:tcW w:w="3390" w:type="dxa"/>
            <w:vAlign w:val="center"/>
          </w:tcPr>
          <w:p>
            <w:pPr>
              <w:pStyle w:val="17"/>
            </w:pPr>
            <w:r>
              <w:t>三、国防支出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4</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四、公共安全支出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5</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五、教育支出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6</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六、科学技术支出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7</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七、文化旅游体育与传媒支出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8</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八、社会保障和就业支出</w:t>
            </w:r>
          </w:p>
        </w:tc>
        <w:tc>
          <w:tcPr>
            <w:tcW w:w="1108" w:type="dxa"/>
            <w:vAlign w:val="center"/>
          </w:tcPr>
          <w:p>
            <w:pPr>
              <w:pStyle w:val="16"/>
              <w:jc w:val="right"/>
              <w:rPr>
                <w:rFonts w:hint="default" w:eastAsia="方正书宋_GBK"/>
                <w:lang w:val="en-US" w:eastAsia="zh-CN"/>
              </w:rPr>
            </w:pPr>
            <w:r>
              <w:rPr>
                <w:rFonts w:hint="eastAsia"/>
                <w:lang w:val="en-US" w:eastAsia="zh-CN"/>
              </w:rPr>
              <w:t>14.75</w:t>
            </w:r>
          </w:p>
        </w:tc>
        <w:tc>
          <w:tcPr>
            <w:tcW w:w="1907" w:type="dxa"/>
            <w:vAlign w:val="center"/>
          </w:tcPr>
          <w:p>
            <w:pPr>
              <w:pStyle w:val="16"/>
              <w:jc w:val="right"/>
              <w:rPr>
                <w:rFonts w:hint="default" w:eastAsia="方正书宋_GBK"/>
                <w:lang w:val="en-US" w:eastAsia="zh-CN"/>
              </w:rPr>
            </w:pPr>
            <w:r>
              <w:rPr>
                <w:rFonts w:hint="eastAsia"/>
                <w:lang w:val="en-US" w:eastAsia="zh-CN"/>
              </w:rPr>
              <w:t>14.75</w:t>
            </w: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9</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九、社会保险基金支出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10</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十、卫生健康支出</w:t>
            </w:r>
          </w:p>
        </w:tc>
        <w:tc>
          <w:tcPr>
            <w:tcW w:w="1108" w:type="dxa"/>
            <w:vAlign w:val="center"/>
          </w:tcPr>
          <w:p>
            <w:pPr>
              <w:pStyle w:val="16"/>
              <w:jc w:val="right"/>
              <w:rPr>
                <w:rFonts w:hint="default" w:eastAsia="方正书宋_GBK"/>
                <w:lang w:val="en-US" w:eastAsia="zh-CN"/>
              </w:rPr>
            </w:pPr>
            <w:r>
              <w:rPr>
                <w:rFonts w:hint="eastAsia"/>
                <w:lang w:val="en-US" w:eastAsia="zh-CN"/>
              </w:rPr>
              <w:t>6.13</w:t>
            </w:r>
          </w:p>
        </w:tc>
        <w:tc>
          <w:tcPr>
            <w:tcW w:w="1907" w:type="dxa"/>
            <w:vAlign w:val="center"/>
          </w:tcPr>
          <w:p>
            <w:pPr>
              <w:pStyle w:val="16"/>
              <w:jc w:val="right"/>
              <w:rPr>
                <w:rFonts w:hint="default" w:eastAsia="方正书宋_GBK"/>
                <w:lang w:val="en-US" w:eastAsia="zh-CN"/>
              </w:rPr>
            </w:pPr>
            <w:r>
              <w:rPr>
                <w:rFonts w:hint="eastAsia"/>
                <w:lang w:val="en-US" w:eastAsia="zh-CN"/>
              </w:rPr>
              <w:t>6.13</w:t>
            </w: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11</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十一、节能环保支出</w:t>
            </w:r>
          </w:p>
        </w:tc>
        <w:tc>
          <w:tcPr>
            <w:tcW w:w="1108" w:type="dxa"/>
            <w:vAlign w:val="center"/>
          </w:tcPr>
          <w:p>
            <w:pPr>
              <w:pStyle w:val="16"/>
              <w:jc w:val="right"/>
            </w:pPr>
          </w:p>
        </w:tc>
        <w:tc>
          <w:tcPr>
            <w:tcW w:w="1907" w:type="dxa"/>
            <w:vAlign w:val="center"/>
          </w:tcPr>
          <w:p>
            <w:pPr>
              <w:pStyle w:val="16"/>
              <w:jc w:val="right"/>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12</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十二、城乡社区支出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13</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十三、农林水支出</w:t>
            </w:r>
          </w:p>
        </w:tc>
        <w:tc>
          <w:tcPr>
            <w:tcW w:w="1108" w:type="dxa"/>
            <w:vAlign w:val="center"/>
          </w:tcPr>
          <w:p>
            <w:pPr>
              <w:pStyle w:val="16"/>
              <w:jc w:val="center"/>
              <w:rPr>
                <w:rFonts w:hint="default" w:eastAsia="方正书宋_GBK"/>
                <w:lang w:val="en-US" w:eastAsia="zh-CN"/>
              </w:rPr>
            </w:pPr>
          </w:p>
        </w:tc>
        <w:tc>
          <w:tcPr>
            <w:tcW w:w="1907" w:type="dxa"/>
            <w:vAlign w:val="center"/>
          </w:tcPr>
          <w:p>
            <w:pPr>
              <w:pStyle w:val="16"/>
              <w:jc w:val="both"/>
              <w:rPr>
                <w:rFonts w:hint="default" w:eastAsia="方正书宋_GBK"/>
                <w:lang w:val="en-US" w:eastAsia="zh-CN"/>
              </w:rPr>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14</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十四、交通运输支出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15</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十五、资源勘探工业信息等支出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16</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十六、商业服务业等支出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17</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十七、金融支出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18</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十八、援助其他地区支出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19</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十九、自然资源海洋气象等支出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20</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二十、住房保障支出</w:t>
            </w:r>
          </w:p>
        </w:tc>
        <w:tc>
          <w:tcPr>
            <w:tcW w:w="1108" w:type="dxa"/>
            <w:vAlign w:val="center"/>
          </w:tcPr>
          <w:p>
            <w:pPr>
              <w:pStyle w:val="16"/>
              <w:jc w:val="right"/>
              <w:rPr>
                <w:rFonts w:hint="default" w:eastAsia="方正书宋_GBK"/>
                <w:lang w:val="en-US" w:eastAsia="zh-CN"/>
              </w:rPr>
            </w:pPr>
            <w:r>
              <w:rPr>
                <w:rFonts w:hint="eastAsia"/>
                <w:lang w:val="en-US" w:eastAsia="zh-CN"/>
              </w:rPr>
              <w:t>10.21</w:t>
            </w:r>
          </w:p>
        </w:tc>
        <w:tc>
          <w:tcPr>
            <w:tcW w:w="1907" w:type="dxa"/>
            <w:vAlign w:val="center"/>
          </w:tcPr>
          <w:p>
            <w:pPr>
              <w:pStyle w:val="16"/>
              <w:jc w:val="right"/>
              <w:rPr>
                <w:rFonts w:hint="default" w:eastAsia="方正书宋_GBK"/>
                <w:lang w:val="en-US" w:eastAsia="zh-CN"/>
              </w:rPr>
            </w:pPr>
            <w:r>
              <w:rPr>
                <w:rFonts w:hint="eastAsia"/>
                <w:lang w:val="en-US" w:eastAsia="zh-CN"/>
              </w:rPr>
              <w:t>10.21</w:t>
            </w: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21</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二十一、粮油物资储备支出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22</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二十二、国有资本经营预算支出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23</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二十三、灾害防治及应急管理支出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24</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二十四、预备费</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25</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二十五、其他支出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26</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二十六、转移性支出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27</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二十七、灾害防治及应急管理共同财政事权转移支付支出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28</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二十八、债务还本支出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29</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二十九、债务付息支出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30</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三十、债务发行费用支出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31</w:t>
            </w:r>
          </w:p>
        </w:tc>
        <w:tc>
          <w:tcPr>
            <w:tcW w:w="2769" w:type="dxa"/>
            <w:vAlign w:val="center"/>
          </w:tcPr>
          <w:p>
            <w:pPr>
              <w:pStyle w:val="17"/>
            </w:pPr>
          </w:p>
        </w:tc>
        <w:tc>
          <w:tcPr>
            <w:tcW w:w="945" w:type="dxa"/>
            <w:vAlign w:val="center"/>
          </w:tcPr>
          <w:p>
            <w:pPr>
              <w:pStyle w:val="16"/>
            </w:pPr>
          </w:p>
        </w:tc>
        <w:tc>
          <w:tcPr>
            <w:tcW w:w="3390" w:type="dxa"/>
            <w:vAlign w:val="center"/>
          </w:tcPr>
          <w:p>
            <w:pPr>
              <w:pStyle w:val="17"/>
            </w:pPr>
            <w:r>
              <w:t>三十一、抗疫特别国债安排的支出</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32</w:t>
            </w:r>
          </w:p>
        </w:tc>
        <w:tc>
          <w:tcPr>
            <w:tcW w:w="2769" w:type="dxa"/>
            <w:vAlign w:val="center"/>
          </w:tcPr>
          <w:p>
            <w:pPr>
              <w:pStyle w:val="19"/>
            </w:pPr>
            <w:r>
              <w:t>本年收入合计</w:t>
            </w:r>
          </w:p>
        </w:tc>
        <w:tc>
          <w:tcPr>
            <w:tcW w:w="945" w:type="dxa"/>
            <w:vAlign w:val="center"/>
          </w:tcPr>
          <w:p>
            <w:pPr>
              <w:pStyle w:val="20"/>
              <w:jc w:val="center"/>
              <w:rPr>
                <w:rFonts w:hint="default" w:eastAsia="方正书宋_GBK"/>
                <w:lang w:val="en-US" w:eastAsia="zh-CN"/>
              </w:rPr>
            </w:pPr>
            <w:r>
              <w:rPr>
                <w:rFonts w:hint="eastAsia"/>
                <w:lang w:val="en-US" w:eastAsia="zh-CN"/>
              </w:rPr>
              <w:t>170.34</w:t>
            </w:r>
          </w:p>
        </w:tc>
        <w:tc>
          <w:tcPr>
            <w:tcW w:w="3390" w:type="dxa"/>
            <w:vAlign w:val="center"/>
          </w:tcPr>
          <w:p>
            <w:pPr>
              <w:pStyle w:val="19"/>
            </w:pPr>
            <w:r>
              <w:t>本年支出合计</w:t>
            </w:r>
          </w:p>
        </w:tc>
        <w:tc>
          <w:tcPr>
            <w:tcW w:w="1108" w:type="dxa"/>
            <w:vAlign w:val="center"/>
          </w:tcPr>
          <w:p>
            <w:pPr>
              <w:pStyle w:val="20"/>
              <w:ind w:firstLine="0" w:firstLineChars="0"/>
              <w:rPr>
                <w:rFonts w:hint="default" w:eastAsia="方正书宋_GBK"/>
                <w:lang w:val="en-US" w:eastAsia="zh-CN"/>
              </w:rPr>
            </w:pPr>
            <w:r>
              <w:rPr>
                <w:rFonts w:hint="eastAsia"/>
                <w:lang w:val="en-US" w:eastAsia="zh-CN"/>
              </w:rPr>
              <w:t>170.34</w:t>
            </w:r>
          </w:p>
        </w:tc>
        <w:tc>
          <w:tcPr>
            <w:tcW w:w="1907" w:type="dxa"/>
            <w:vAlign w:val="center"/>
          </w:tcPr>
          <w:p>
            <w:pPr>
              <w:pStyle w:val="20"/>
              <w:ind w:firstLine="0" w:firstLineChars="0"/>
              <w:jc w:val="center"/>
              <w:rPr>
                <w:rFonts w:hint="default" w:eastAsia="方正书宋_GBK"/>
                <w:lang w:val="en-US" w:eastAsia="zh-CN"/>
              </w:rPr>
            </w:pPr>
            <w:r>
              <w:rPr>
                <w:rFonts w:hint="eastAsia"/>
                <w:lang w:val="en-US" w:eastAsia="zh-CN"/>
              </w:rPr>
              <w:t>170.34</w:t>
            </w:r>
          </w:p>
        </w:tc>
        <w:tc>
          <w:tcPr>
            <w:tcW w:w="2145" w:type="dxa"/>
            <w:vAlign w:val="center"/>
          </w:tcPr>
          <w:p>
            <w:pPr>
              <w:pStyle w:val="20"/>
            </w:pPr>
          </w:p>
        </w:tc>
        <w:tc>
          <w:tcPr>
            <w:tcW w:w="211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33</w:t>
            </w:r>
          </w:p>
        </w:tc>
        <w:tc>
          <w:tcPr>
            <w:tcW w:w="2769" w:type="dxa"/>
            <w:vAlign w:val="center"/>
          </w:tcPr>
          <w:p>
            <w:pPr>
              <w:pStyle w:val="17"/>
            </w:pPr>
            <w:r>
              <w:t>年初财政拨款结转和结余</w:t>
            </w:r>
          </w:p>
        </w:tc>
        <w:tc>
          <w:tcPr>
            <w:tcW w:w="945" w:type="dxa"/>
            <w:vAlign w:val="center"/>
          </w:tcPr>
          <w:p>
            <w:pPr>
              <w:pStyle w:val="16"/>
            </w:pPr>
          </w:p>
        </w:tc>
        <w:tc>
          <w:tcPr>
            <w:tcW w:w="3390" w:type="dxa"/>
            <w:vAlign w:val="center"/>
          </w:tcPr>
          <w:p>
            <w:pPr>
              <w:pStyle w:val="17"/>
            </w:pPr>
            <w:r>
              <w:t>年末财政拨款结转和结余</w:t>
            </w: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34</w:t>
            </w:r>
          </w:p>
        </w:tc>
        <w:tc>
          <w:tcPr>
            <w:tcW w:w="2769" w:type="dxa"/>
            <w:vAlign w:val="center"/>
          </w:tcPr>
          <w:p>
            <w:pPr>
              <w:pStyle w:val="17"/>
            </w:pPr>
            <w:r>
              <w:t>一、一般公共预算拨款</w:t>
            </w:r>
          </w:p>
        </w:tc>
        <w:tc>
          <w:tcPr>
            <w:tcW w:w="945" w:type="dxa"/>
            <w:vAlign w:val="center"/>
          </w:tcPr>
          <w:p>
            <w:pPr>
              <w:pStyle w:val="16"/>
            </w:pPr>
          </w:p>
        </w:tc>
        <w:tc>
          <w:tcPr>
            <w:tcW w:w="3390" w:type="dxa"/>
            <w:vAlign w:val="center"/>
          </w:tcPr>
          <w:p>
            <w:pPr>
              <w:pStyle w:val="17"/>
            </w:pP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35</w:t>
            </w:r>
          </w:p>
        </w:tc>
        <w:tc>
          <w:tcPr>
            <w:tcW w:w="2769" w:type="dxa"/>
            <w:vAlign w:val="center"/>
          </w:tcPr>
          <w:p>
            <w:pPr>
              <w:pStyle w:val="17"/>
            </w:pPr>
            <w:r>
              <w:t>二、政府性基金预算拨款</w:t>
            </w:r>
          </w:p>
        </w:tc>
        <w:tc>
          <w:tcPr>
            <w:tcW w:w="945" w:type="dxa"/>
            <w:vAlign w:val="center"/>
          </w:tcPr>
          <w:p>
            <w:pPr>
              <w:pStyle w:val="16"/>
            </w:pPr>
          </w:p>
        </w:tc>
        <w:tc>
          <w:tcPr>
            <w:tcW w:w="3390" w:type="dxa"/>
            <w:vAlign w:val="center"/>
          </w:tcPr>
          <w:p>
            <w:pPr>
              <w:pStyle w:val="17"/>
            </w:pP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36</w:t>
            </w:r>
          </w:p>
        </w:tc>
        <w:tc>
          <w:tcPr>
            <w:tcW w:w="2769" w:type="dxa"/>
            <w:vAlign w:val="center"/>
          </w:tcPr>
          <w:p>
            <w:pPr>
              <w:pStyle w:val="17"/>
            </w:pPr>
            <w:r>
              <w:t>三、国有资本经营预算拨款</w:t>
            </w:r>
          </w:p>
        </w:tc>
        <w:tc>
          <w:tcPr>
            <w:tcW w:w="945" w:type="dxa"/>
            <w:vAlign w:val="center"/>
          </w:tcPr>
          <w:p>
            <w:pPr>
              <w:pStyle w:val="16"/>
            </w:pPr>
          </w:p>
        </w:tc>
        <w:tc>
          <w:tcPr>
            <w:tcW w:w="3390" w:type="dxa"/>
            <w:vAlign w:val="center"/>
          </w:tcPr>
          <w:p>
            <w:pPr>
              <w:pStyle w:val="17"/>
            </w:pPr>
          </w:p>
        </w:tc>
        <w:tc>
          <w:tcPr>
            <w:tcW w:w="1108" w:type="dxa"/>
            <w:vAlign w:val="center"/>
          </w:tcPr>
          <w:p>
            <w:pPr>
              <w:pStyle w:val="16"/>
            </w:pPr>
          </w:p>
        </w:tc>
        <w:tc>
          <w:tcPr>
            <w:tcW w:w="1907" w:type="dxa"/>
            <w:vAlign w:val="center"/>
          </w:tcPr>
          <w:p>
            <w:pPr>
              <w:pStyle w:val="16"/>
            </w:pPr>
          </w:p>
        </w:tc>
        <w:tc>
          <w:tcPr>
            <w:tcW w:w="2145" w:type="dxa"/>
            <w:vAlign w:val="center"/>
          </w:tcPr>
          <w:p>
            <w:pPr>
              <w:pStyle w:val="16"/>
            </w:pPr>
          </w:p>
        </w:tc>
        <w:tc>
          <w:tcPr>
            <w:tcW w:w="21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8"/>
            </w:pPr>
            <w:r>
              <w:t>37</w:t>
            </w:r>
          </w:p>
        </w:tc>
        <w:tc>
          <w:tcPr>
            <w:tcW w:w="2769" w:type="dxa"/>
            <w:vAlign w:val="center"/>
          </w:tcPr>
          <w:p>
            <w:pPr>
              <w:pStyle w:val="19"/>
            </w:pPr>
            <w:r>
              <w:t>收入总计</w:t>
            </w:r>
          </w:p>
        </w:tc>
        <w:tc>
          <w:tcPr>
            <w:tcW w:w="945" w:type="dxa"/>
            <w:vAlign w:val="center"/>
          </w:tcPr>
          <w:p>
            <w:pPr>
              <w:pStyle w:val="20"/>
              <w:ind w:firstLine="0" w:firstLineChars="0"/>
              <w:jc w:val="center"/>
              <w:rPr>
                <w:rFonts w:hint="default" w:eastAsia="方正书宋_GBK"/>
                <w:lang w:val="en-US" w:eastAsia="zh-CN"/>
              </w:rPr>
            </w:pPr>
            <w:r>
              <w:rPr>
                <w:rFonts w:hint="eastAsia"/>
                <w:lang w:val="en-US" w:eastAsia="zh-CN"/>
              </w:rPr>
              <w:t>170.34</w:t>
            </w:r>
          </w:p>
        </w:tc>
        <w:tc>
          <w:tcPr>
            <w:tcW w:w="3390" w:type="dxa"/>
            <w:vAlign w:val="center"/>
          </w:tcPr>
          <w:p>
            <w:pPr>
              <w:pStyle w:val="19"/>
            </w:pPr>
            <w:r>
              <w:t>支出总计</w:t>
            </w:r>
          </w:p>
        </w:tc>
        <w:tc>
          <w:tcPr>
            <w:tcW w:w="1108" w:type="dxa"/>
            <w:vAlign w:val="center"/>
          </w:tcPr>
          <w:p>
            <w:pPr>
              <w:pStyle w:val="20"/>
              <w:ind w:firstLine="0" w:firstLineChars="0"/>
              <w:jc w:val="center"/>
              <w:rPr>
                <w:rFonts w:hint="default" w:eastAsia="方正书宋_GBK"/>
                <w:lang w:val="en-US" w:eastAsia="zh-CN"/>
              </w:rPr>
            </w:pPr>
            <w:r>
              <w:rPr>
                <w:rFonts w:hint="eastAsia"/>
                <w:lang w:val="en-US" w:eastAsia="zh-CN"/>
              </w:rPr>
              <w:t>170.34</w:t>
            </w:r>
          </w:p>
        </w:tc>
        <w:tc>
          <w:tcPr>
            <w:tcW w:w="1907" w:type="dxa"/>
            <w:vAlign w:val="center"/>
          </w:tcPr>
          <w:p>
            <w:pPr>
              <w:pStyle w:val="20"/>
              <w:ind w:firstLine="0" w:firstLineChars="0"/>
              <w:jc w:val="center"/>
              <w:rPr>
                <w:rFonts w:hint="default" w:eastAsia="方正书宋_GBK"/>
                <w:lang w:val="en-US" w:eastAsia="zh-CN"/>
              </w:rPr>
            </w:pPr>
            <w:r>
              <w:rPr>
                <w:rFonts w:hint="eastAsia"/>
                <w:lang w:val="en-US" w:eastAsia="zh-CN"/>
              </w:rPr>
              <w:t>170.34</w:t>
            </w:r>
          </w:p>
        </w:tc>
        <w:tc>
          <w:tcPr>
            <w:tcW w:w="2145" w:type="dxa"/>
            <w:vAlign w:val="center"/>
          </w:tcPr>
          <w:p>
            <w:pPr>
              <w:pStyle w:val="20"/>
            </w:pPr>
          </w:p>
        </w:tc>
        <w:tc>
          <w:tcPr>
            <w:tcW w:w="2115"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3847"/>
        <w:gridCol w:w="2220"/>
        <w:gridCol w:w="1491"/>
        <w:gridCol w:w="1491"/>
        <w:gridCol w:w="1493"/>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6"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w:t>
            </w:r>
            <w:r>
              <w:t>001</w:t>
            </w:r>
            <w:r>
              <w:rPr>
                <w:rFonts w:hint="eastAsia"/>
                <w:lang w:eastAsia="zh-CN"/>
              </w:rPr>
              <w:t>中共</w:t>
            </w:r>
            <w:r>
              <w:t>宁晋县</w:t>
            </w:r>
            <w:r>
              <w:rPr>
                <w:rFonts w:hint="eastAsia"/>
                <w:lang w:eastAsia="zh-CN"/>
              </w:rPr>
              <w:t>委机构编制委员会办公室</w:t>
            </w:r>
            <w:r>
              <w:t>本级</w:t>
            </w:r>
          </w:p>
        </w:tc>
        <w:tc>
          <w:tcPr>
            <w:tcW w:w="2220"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6180"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5"/>
            </w:pPr>
            <w:r>
              <w:t>序号</w:t>
            </w:r>
          </w:p>
        </w:tc>
        <w:tc>
          <w:tcPr>
            <w:tcW w:w="5589" w:type="dxa"/>
            <w:gridSpan w:val="2"/>
            <w:vAlign w:val="center"/>
          </w:tcPr>
          <w:p>
            <w:pPr>
              <w:pStyle w:val="15"/>
            </w:pPr>
            <w:r>
              <w:t>功能分类科目</w:t>
            </w:r>
          </w:p>
        </w:tc>
        <w:tc>
          <w:tcPr>
            <w:tcW w:w="2220" w:type="dxa"/>
            <w:vMerge w:val="restart"/>
            <w:vAlign w:val="center"/>
          </w:tcPr>
          <w:p>
            <w:pPr>
              <w:pStyle w:val="15"/>
            </w:pPr>
            <w:r>
              <w:t>合计</w:t>
            </w:r>
          </w:p>
        </w:tc>
        <w:tc>
          <w:tcPr>
            <w:tcW w:w="4475" w:type="dxa"/>
            <w:gridSpan w:val="3"/>
            <w:vAlign w:val="center"/>
          </w:tcPr>
          <w:p>
            <w:pPr>
              <w:pStyle w:val="15"/>
            </w:pPr>
            <w:r>
              <w:t>基本支出</w:t>
            </w:r>
          </w:p>
        </w:tc>
        <w:tc>
          <w:tcPr>
            <w:tcW w:w="1705"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continue"/>
          </w:tcPr>
          <w:p/>
        </w:tc>
        <w:tc>
          <w:tcPr>
            <w:tcW w:w="1742" w:type="dxa"/>
            <w:vAlign w:val="center"/>
          </w:tcPr>
          <w:p>
            <w:pPr>
              <w:pStyle w:val="15"/>
            </w:pPr>
            <w:r>
              <w:t>科目编码</w:t>
            </w:r>
          </w:p>
        </w:tc>
        <w:tc>
          <w:tcPr>
            <w:tcW w:w="3847" w:type="dxa"/>
            <w:vAlign w:val="center"/>
          </w:tcPr>
          <w:p>
            <w:pPr>
              <w:pStyle w:val="15"/>
            </w:pPr>
            <w:r>
              <w:t>科目名称</w:t>
            </w:r>
          </w:p>
        </w:tc>
        <w:tc>
          <w:tcPr>
            <w:tcW w:w="2220" w:type="dxa"/>
            <w:vMerge w:val="continue"/>
          </w:tcPr>
          <w:p/>
        </w:tc>
        <w:tc>
          <w:tcPr>
            <w:tcW w:w="1491" w:type="dxa"/>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小计</w:t>
            </w:r>
          </w:p>
        </w:tc>
        <w:tc>
          <w:tcPr>
            <w:tcW w:w="1491" w:type="dxa"/>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人员经费</w:t>
            </w:r>
          </w:p>
        </w:tc>
        <w:tc>
          <w:tcPr>
            <w:tcW w:w="1493" w:type="dxa"/>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公用经费</w:t>
            </w: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5"/>
            </w:pPr>
            <w:r>
              <w:t>栏次</w:t>
            </w:r>
          </w:p>
        </w:tc>
        <w:tc>
          <w:tcPr>
            <w:tcW w:w="1742" w:type="dxa"/>
            <w:vAlign w:val="center"/>
          </w:tcPr>
          <w:p>
            <w:pPr>
              <w:pStyle w:val="15"/>
            </w:pPr>
            <w:r>
              <w:t>1</w:t>
            </w:r>
          </w:p>
        </w:tc>
        <w:tc>
          <w:tcPr>
            <w:tcW w:w="3847" w:type="dxa"/>
            <w:vAlign w:val="center"/>
          </w:tcPr>
          <w:p>
            <w:pPr>
              <w:pStyle w:val="15"/>
            </w:pPr>
            <w:r>
              <w:t>2</w:t>
            </w:r>
          </w:p>
        </w:tc>
        <w:tc>
          <w:tcPr>
            <w:tcW w:w="2220" w:type="dxa"/>
            <w:vAlign w:val="center"/>
          </w:tcPr>
          <w:p>
            <w:pPr>
              <w:pStyle w:val="15"/>
            </w:pPr>
            <w:r>
              <w:t>3</w:t>
            </w:r>
          </w:p>
        </w:tc>
        <w:tc>
          <w:tcPr>
            <w:tcW w:w="1491" w:type="dxa"/>
            <w:vAlign w:val="center"/>
          </w:tcPr>
          <w:p>
            <w:pPr>
              <w:pStyle w:val="15"/>
            </w:pPr>
            <w:r>
              <w:t>4</w:t>
            </w:r>
          </w:p>
        </w:tc>
        <w:tc>
          <w:tcPr>
            <w:tcW w:w="1491" w:type="dxa"/>
            <w:vAlign w:val="center"/>
          </w:tcPr>
          <w:p>
            <w:pPr>
              <w:pStyle w:val="15"/>
              <w:rPr>
                <w:rFonts w:hint="eastAsia" w:eastAsia="方正书宋_GBK"/>
                <w:lang w:val="en-US" w:eastAsia="zh-CN"/>
              </w:rPr>
            </w:pPr>
            <w:r>
              <w:rPr>
                <w:rFonts w:hint="eastAsia"/>
                <w:lang w:val="en-US" w:eastAsia="zh-CN"/>
              </w:rPr>
              <w:t>5</w:t>
            </w:r>
          </w:p>
        </w:tc>
        <w:tc>
          <w:tcPr>
            <w:tcW w:w="1493" w:type="dxa"/>
            <w:vAlign w:val="center"/>
          </w:tcPr>
          <w:p>
            <w:pPr>
              <w:pStyle w:val="15"/>
              <w:rPr>
                <w:rFonts w:hint="eastAsia" w:eastAsia="方正书宋_GBK"/>
                <w:lang w:val="en-US" w:eastAsia="zh-CN"/>
              </w:rPr>
            </w:pPr>
            <w:r>
              <w:rPr>
                <w:rFonts w:hint="eastAsia"/>
                <w:lang w:val="en-US" w:eastAsia="zh-CN"/>
              </w:rPr>
              <w:t>6</w:t>
            </w:r>
          </w:p>
        </w:tc>
        <w:tc>
          <w:tcPr>
            <w:tcW w:w="1705"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w:t>
            </w:r>
          </w:p>
        </w:tc>
        <w:tc>
          <w:tcPr>
            <w:tcW w:w="1742" w:type="dxa"/>
            <w:vAlign w:val="center"/>
          </w:tcPr>
          <w:p>
            <w:pPr>
              <w:pStyle w:val="21"/>
            </w:pPr>
          </w:p>
        </w:tc>
        <w:tc>
          <w:tcPr>
            <w:tcW w:w="3847" w:type="dxa"/>
            <w:vAlign w:val="center"/>
          </w:tcPr>
          <w:p>
            <w:pPr>
              <w:pStyle w:val="19"/>
            </w:pPr>
            <w:r>
              <w:t>合计</w:t>
            </w:r>
          </w:p>
        </w:tc>
        <w:tc>
          <w:tcPr>
            <w:tcW w:w="2220"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170.34</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133.22</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123.25</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9.97</w:t>
            </w:r>
          </w:p>
        </w:tc>
        <w:tc>
          <w:tcPr>
            <w:tcW w:w="1705"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2</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一般公共服务支出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92.16</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9.97</w:t>
            </w: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3</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20132</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组织事务</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92.16</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9.97</w:t>
            </w: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4</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2013299</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其他组织事务支出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139.25</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92.16</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9.97</w:t>
            </w: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5</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社会保障和就业支出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14.75</w:t>
            </w:r>
          </w:p>
        </w:tc>
        <w:tc>
          <w:tcPr>
            <w:tcW w:w="1493"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6</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行政事业单位养老支出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14.32</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7</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2080501</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行政单位离退休</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0.70</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8</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2080505</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机关事业单位基本养老保险缴费支出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13.62</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9</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20827</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财政对其他社会保险基金的补助</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10</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2082702</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财政对工伤保险基金的补助</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0.43</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11</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卫生健康支出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12</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21012</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财政对基本医疗保险基金的补助</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13</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2101201</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财政对职工基本医疗保险基金的补助</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6.13</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14</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住房保障支出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15</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22102</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住房改革支出</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8"/>
            </w:pPr>
            <w:r>
              <w:t>16</w:t>
            </w:r>
          </w:p>
        </w:tc>
        <w:tc>
          <w:tcPr>
            <w:tcW w:w="1742"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2210201</w:t>
            </w:r>
          </w:p>
        </w:tc>
        <w:tc>
          <w:tcPr>
            <w:tcW w:w="3847"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住房公积金</w:t>
            </w:r>
          </w:p>
        </w:tc>
        <w:tc>
          <w:tcPr>
            <w:tcW w:w="2220"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1"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1"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10.21</w:t>
            </w:r>
          </w:p>
        </w:tc>
        <w:tc>
          <w:tcPr>
            <w:tcW w:w="1493" w:type="dxa"/>
            <w:vAlign w:val="center"/>
          </w:tcPr>
          <w:p>
            <w:pPr>
              <w:keepNext w:val="0"/>
              <w:keepLines w:val="0"/>
              <w:widowControl/>
              <w:suppressLineNumbers w:val="0"/>
              <w:jc w:val="right"/>
              <w:textAlignment w:val="top"/>
              <w:rPr>
                <w:rFonts w:hint="default" w:ascii="Calibri" w:hAnsi="Calibri" w:eastAsia="宋体" w:cs="Calibri"/>
                <w:i w:val="0"/>
                <w:iCs w:val="0"/>
                <w:color w:val="000000"/>
                <w:kern w:val="0"/>
                <w:sz w:val="22"/>
                <w:szCs w:val="22"/>
                <w:u w:val="none"/>
                <w:lang w:val="en-US" w:eastAsia="zh-CN" w:bidi="ar"/>
              </w:rPr>
            </w:pPr>
          </w:p>
        </w:tc>
        <w:tc>
          <w:tcPr>
            <w:tcW w:w="1705" w:type="dxa"/>
            <w:vAlign w:val="center"/>
          </w:tcPr>
          <w:p>
            <w:pPr>
              <w:keepNext w:val="0"/>
              <w:keepLines w:val="0"/>
              <w:widowControl/>
              <w:suppressLineNumbers w:val="0"/>
              <w:jc w:val="right"/>
              <w:textAlignment w:val="top"/>
              <w:rPr>
                <w:rFonts w:hint="eastAsia" w:ascii="Calibri" w:hAnsi="Calibri" w:eastAsia="宋体" w:cs="Calibri"/>
                <w:i w:val="0"/>
                <w:iCs w:val="0"/>
                <w:color w:val="000000"/>
                <w:kern w:val="0"/>
                <w:sz w:val="22"/>
                <w:szCs w:val="22"/>
                <w:u w:val="none"/>
                <w:lang w:val="en-US" w:eastAsia="zh-CN" w:bidi="ar"/>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1"/>
        <w:gridCol w:w="1763"/>
        <w:gridCol w:w="5501"/>
        <w:gridCol w:w="3165"/>
        <w:gridCol w:w="1763"/>
        <w:gridCol w:w="1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w:t>
            </w:r>
            <w:r>
              <w:t>001</w:t>
            </w:r>
            <w:r>
              <w:rPr>
                <w:rFonts w:hint="eastAsia"/>
                <w:lang w:eastAsia="zh-CN"/>
              </w:rPr>
              <w:t>中共</w:t>
            </w:r>
            <w:r>
              <w:t>宁晋县</w:t>
            </w:r>
            <w:r>
              <w:rPr>
                <w:rFonts w:hint="eastAsia"/>
                <w:lang w:eastAsia="zh-CN"/>
              </w:rPr>
              <w:t>委机构编制委员会办公室</w:t>
            </w:r>
            <w:r>
              <w:t>本级</w:t>
            </w:r>
          </w:p>
        </w:tc>
        <w:tc>
          <w:tcPr>
            <w:tcW w:w="3165"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352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restart"/>
            <w:vAlign w:val="center"/>
          </w:tcPr>
          <w:p>
            <w:pPr>
              <w:pStyle w:val="15"/>
            </w:pPr>
            <w:r>
              <w:t>序号</w:t>
            </w:r>
          </w:p>
        </w:tc>
        <w:tc>
          <w:tcPr>
            <w:tcW w:w="7264" w:type="dxa"/>
            <w:gridSpan w:val="2"/>
            <w:vAlign w:val="center"/>
          </w:tcPr>
          <w:p>
            <w:pPr>
              <w:pStyle w:val="15"/>
            </w:pPr>
            <w:r>
              <w:t>支出部门经济分类科目</w:t>
            </w:r>
          </w:p>
        </w:tc>
        <w:tc>
          <w:tcPr>
            <w:tcW w:w="6691"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continue"/>
          </w:tcPr>
          <w:p/>
        </w:tc>
        <w:tc>
          <w:tcPr>
            <w:tcW w:w="1763" w:type="dxa"/>
            <w:vAlign w:val="center"/>
          </w:tcPr>
          <w:p>
            <w:pPr>
              <w:pStyle w:val="15"/>
            </w:pPr>
            <w:r>
              <w:t>科目编码</w:t>
            </w:r>
          </w:p>
        </w:tc>
        <w:tc>
          <w:tcPr>
            <w:tcW w:w="5501" w:type="dxa"/>
            <w:vAlign w:val="center"/>
          </w:tcPr>
          <w:p>
            <w:pPr>
              <w:pStyle w:val="15"/>
            </w:pPr>
            <w:r>
              <w:t>科目名称</w:t>
            </w:r>
          </w:p>
        </w:tc>
        <w:tc>
          <w:tcPr>
            <w:tcW w:w="3165" w:type="dxa"/>
            <w:vAlign w:val="center"/>
          </w:tcPr>
          <w:p>
            <w:pPr>
              <w:pStyle w:val="15"/>
            </w:pPr>
            <w:r>
              <w:t>合计</w:t>
            </w:r>
          </w:p>
        </w:tc>
        <w:tc>
          <w:tcPr>
            <w:tcW w:w="1763" w:type="dxa"/>
            <w:vAlign w:val="center"/>
          </w:tcPr>
          <w:p>
            <w:pPr>
              <w:pStyle w:val="15"/>
            </w:pPr>
            <w:r>
              <w:t>人员经费</w:t>
            </w:r>
          </w:p>
        </w:tc>
        <w:tc>
          <w:tcPr>
            <w:tcW w:w="176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Align w:val="center"/>
          </w:tcPr>
          <w:p>
            <w:pPr>
              <w:pStyle w:val="15"/>
            </w:pPr>
            <w:r>
              <w:t>栏次</w:t>
            </w:r>
          </w:p>
        </w:tc>
        <w:tc>
          <w:tcPr>
            <w:tcW w:w="1763" w:type="dxa"/>
            <w:vAlign w:val="center"/>
          </w:tcPr>
          <w:p>
            <w:pPr>
              <w:pStyle w:val="15"/>
            </w:pPr>
            <w:r>
              <w:t>1</w:t>
            </w:r>
          </w:p>
        </w:tc>
        <w:tc>
          <w:tcPr>
            <w:tcW w:w="5501" w:type="dxa"/>
            <w:vAlign w:val="center"/>
          </w:tcPr>
          <w:p>
            <w:pPr>
              <w:pStyle w:val="15"/>
            </w:pPr>
            <w:r>
              <w:t>2</w:t>
            </w:r>
          </w:p>
        </w:tc>
        <w:tc>
          <w:tcPr>
            <w:tcW w:w="3165" w:type="dxa"/>
            <w:vAlign w:val="center"/>
          </w:tcPr>
          <w:p>
            <w:pPr>
              <w:pStyle w:val="15"/>
            </w:pPr>
            <w:r>
              <w:t>3</w:t>
            </w:r>
          </w:p>
        </w:tc>
        <w:tc>
          <w:tcPr>
            <w:tcW w:w="1763" w:type="dxa"/>
            <w:vAlign w:val="center"/>
          </w:tcPr>
          <w:p>
            <w:pPr>
              <w:pStyle w:val="15"/>
            </w:pPr>
            <w:r>
              <w:t>4</w:t>
            </w:r>
          </w:p>
        </w:tc>
        <w:tc>
          <w:tcPr>
            <w:tcW w:w="176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w:t>
            </w:r>
          </w:p>
        </w:tc>
        <w:tc>
          <w:tcPr>
            <w:tcW w:w="1763" w:type="dxa"/>
            <w:vAlign w:val="top"/>
          </w:tcPr>
          <w:p>
            <w:pPr>
              <w:jc w:val="left"/>
            </w:pPr>
          </w:p>
        </w:tc>
        <w:tc>
          <w:tcPr>
            <w:tcW w:w="5501" w:type="dxa"/>
            <w:vAlign w:val="center"/>
          </w:tcPr>
          <w:p>
            <w:pPr>
              <w:keepNext w:val="0"/>
              <w:keepLines w:val="0"/>
              <w:widowControl/>
              <w:suppressLineNumbers w:val="0"/>
              <w:jc w:val="center"/>
              <w:textAlignment w:val="top"/>
              <w:rPr>
                <w:b/>
                <w:bCs/>
              </w:rPr>
            </w:pPr>
            <w:r>
              <w:rPr>
                <w:rFonts w:hint="default" w:ascii="Calibri" w:hAnsi="Calibri" w:eastAsia="宋体" w:cs="Calibri"/>
                <w:b/>
                <w:bCs/>
                <w:i w:val="0"/>
                <w:color w:val="000000"/>
                <w:kern w:val="0"/>
                <w:sz w:val="22"/>
                <w:szCs w:val="22"/>
                <w:u w:val="none"/>
                <w:lang w:val="en-US" w:eastAsia="zh-CN" w:bidi="ar"/>
              </w:rPr>
              <w:t>合计</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133.22</w:t>
            </w:r>
          </w:p>
        </w:tc>
        <w:tc>
          <w:tcPr>
            <w:tcW w:w="1763"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123.25</w:t>
            </w:r>
          </w:p>
        </w:tc>
        <w:tc>
          <w:tcPr>
            <w:tcW w:w="1763"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2</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301</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工资福利支出</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122.55</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122.55</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3</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30101</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基本工资</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92.16</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92.16</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4</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30108</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机关事业单位基本养老保险缴费</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13.62</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13.62</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5</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30110</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城镇职工基本医疗保险缴费</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6.13</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6.13</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6</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30112</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其他社会保障缴费</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0.43</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0.43</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7</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30113</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住房公积金</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10.21</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10.21</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8</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302</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商品和服务支出</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9.97</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9</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30201</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办公费</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3.43</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10</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30207</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邮电费</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2.36</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30228</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工会经费</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0.98</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12</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30239</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其他交通费用</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3.20</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13</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303</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对个人和家庭的补助</w:t>
            </w:r>
          </w:p>
        </w:tc>
        <w:tc>
          <w:tcPr>
            <w:tcW w:w="3165"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14</w:t>
            </w:r>
          </w:p>
        </w:tc>
        <w:tc>
          <w:tcPr>
            <w:tcW w:w="1763"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30302</w:t>
            </w:r>
          </w:p>
        </w:tc>
        <w:tc>
          <w:tcPr>
            <w:tcW w:w="5501" w:type="dxa"/>
            <w:vAlign w:val="center"/>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退休费</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rPr>
                <w:rFonts w:hint="eastAsia"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3082"/>
        <w:gridCol w:w="3082"/>
        <w:gridCol w:w="3309"/>
        <w:gridCol w:w="1843"/>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1"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w:t>
            </w:r>
            <w:r>
              <w:t>001</w:t>
            </w:r>
            <w:r>
              <w:rPr>
                <w:rFonts w:hint="eastAsia"/>
                <w:lang w:eastAsia="zh-CN"/>
              </w:rPr>
              <w:t>中共</w:t>
            </w:r>
            <w:r>
              <w:t>宁晋县</w:t>
            </w:r>
            <w:r>
              <w:rPr>
                <w:rFonts w:hint="eastAsia"/>
                <w:lang w:eastAsia="zh-CN"/>
              </w:rPr>
              <w:t>委机构编制委员会办公室</w:t>
            </w:r>
            <w:r>
              <w:t>本级</w:t>
            </w:r>
          </w:p>
        </w:tc>
        <w:tc>
          <w:tcPr>
            <w:tcW w:w="3309"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36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restart"/>
            <w:vAlign w:val="center"/>
          </w:tcPr>
          <w:p>
            <w:pPr>
              <w:pStyle w:val="15"/>
            </w:pPr>
            <w:r>
              <w:t>序号</w:t>
            </w:r>
          </w:p>
        </w:tc>
        <w:tc>
          <w:tcPr>
            <w:tcW w:w="6164" w:type="dxa"/>
            <w:gridSpan w:val="2"/>
            <w:vAlign w:val="center"/>
          </w:tcPr>
          <w:p>
            <w:pPr>
              <w:pStyle w:val="15"/>
            </w:pPr>
            <w:r>
              <w:t>功能分类科目</w:t>
            </w:r>
          </w:p>
        </w:tc>
        <w:tc>
          <w:tcPr>
            <w:tcW w:w="3309" w:type="dxa"/>
            <w:vMerge w:val="restart"/>
            <w:vAlign w:val="center"/>
          </w:tcPr>
          <w:p>
            <w:pPr>
              <w:pStyle w:val="15"/>
            </w:pPr>
            <w:r>
              <w:t>合计</w:t>
            </w:r>
          </w:p>
        </w:tc>
        <w:tc>
          <w:tcPr>
            <w:tcW w:w="1843" w:type="dxa"/>
            <w:vMerge w:val="restart"/>
            <w:vAlign w:val="center"/>
          </w:tcPr>
          <w:p>
            <w:pPr>
              <w:pStyle w:val="15"/>
            </w:pPr>
            <w:r>
              <w:t>基本支出</w:t>
            </w:r>
          </w:p>
        </w:tc>
        <w:tc>
          <w:tcPr>
            <w:tcW w:w="18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continue"/>
          </w:tcPr>
          <w:p/>
        </w:tc>
        <w:tc>
          <w:tcPr>
            <w:tcW w:w="3082" w:type="dxa"/>
            <w:vAlign w:val="center"/>
          </w:tcPr>
          <w:p>
            <w:pPr>
              <w:pStyle w:val="15"/>
            </w:pPr>
            <w:r>
              <w:t>科目编码</w:t>
            </w:r>
          </w:p>
        </w:tc>
        <w:tc>
          <w:tcPr>
            <w:tcW w:w="3082" w:type="dxa"/>
            <w:vAlign w:val="center"/>
          </w:tcPr>
          <w:p>
            <w:pPr>
              <w:pStyle w:val="15"/>
            </w:pPr>
            <w:r>
              <w:t>科目名称</w:t>
            </w:r>
          </w:p>
        </w:tc>
        <w:tc>
          <w:tcPr>
            <w:tcW w:w="3309" w:type="dxa"/>
            <w:vMerge w:val="continue"/>
          </w:tcPr>
          <w:p/>
        </w:tc>
        <w:tc>
          <w:tcPr>
            <w:tcW w:w="1843" w:type="dxa"/>
            <w:vMerge w:val="continue"/>
          </w:tcPr>
          <w:p/>
        </w:tc>
        <w:tc>
          <w:tcPr>
            <w:tcW w:w="18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Align w:val="center"/>
          </w:tcPr>
          <w:p>
            <w:pPr>
              <w:pStyle w:val="15"/>
            </w:pPr>
            <w:r>
              <w:t>栏次</w:t>
            </w:r>
          </w:p>
        </w:tc>
        <w:tc>
          <w:tcPr>
            <w:tcW w:w="3082" w:type="dxa"/>
            <w:vAlign w:val="center"/>
          </w:tcPr>
          <w:p>
            <w:pPr>
              <w:pStyle w:val="15"/>
            </w:pPr>
            <w:r>
              <w:t>1</w:t>
            </w:r>
          </w:p>
        </w:tc>
        <w:tc>
          <w:tcPr>
            <w:tcW w:w="3082" w:type="dxa"/>
            <w:vAlign w:val="center"/>
          </w:tcPr>
          <w:p>
            <w:pPr>
              <w:pStyle w:val="15"/>
            </w:pPr>
            <w:r>
              <w:t>2</w:t>
            </w:r>
          </w:p>
        </w:tc>
        <w:tc>
          <w:tcPr>
            <w:tcW w:w="3309" w:type="dxa"/>
            <w:vAlign w:val="center"/>
          </w:tcPr>
          <w:p>
            <w:pPr>
              <w:pStyle w:val="15"/>
            </w:pPr>
            <w:r>
              <w:t>3</w:t>
            </w:r>
          </w:p>
        </w:tc>
        <w:tc>
          <w:tcPr>
            <w:tcW w:w="1843" w:type="dxa"/>
            <w:vAlign w:val="center"/>
          </w:tcPr>
          <w:p>
            <w:pPr>
              <w:pStyle w:val="15"/>
            </w:pPr>
            <w:r>
              <w:t>4</w:t>
            </w:r>
          </w:p>
        </w:tc>
        <w:tc>
          <w:tcPr>
            <w:tcW w:w="18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8"/>
            </w:pPr>
          </w:p>
        </w:tc>
        <w:tc>
          <w:tcPr>
            <w:tcW w:w="3082" w:type="dxa"/>
            <w:vAlign w:val="center"/>
          </w:tcPr>
          <w:p>
            <w:pPr>
              <w:pStyle w:val="17"/>
            </w:pPr>
          </w:p>
        </w:tc>
        <w:tc>
          <w:tcPr>
            <w:tcW w:w="3082" w:type="dxa"/>
            <w:vAlign w:val="center"/>
          </w:tcPr>
          <w:p>
            <w:pPr>
              <w:pStyle w:val="17"/>
            </w:pPr>
          </w:p>
        </w:tc>
        <w:tc>
          <w:tcPr>
            <w:tcW w:w="3309" w:type="dxa"/>
            <w:vAlign w:val="center"/>
          </w:tcPr>
          <w:p>
            <w:pPr>
              <w:pStyle w:val="16"/>
            </w:pPr>
          </w:p>
        </w:tc>
        <w:tc>
          <w:tcPr>
            <w:tcW w:w="1843" w:type="dxa"/>
            <w:vAlign w:val="center"/>
          </w:tcPr>
          <w:p>
            <w:pPr>
              <w:pStyle w:val="16"/>
            </w:pPr>
          </w:p>
        </w:tc>
        <w:tc>
          <w:tcPr>
            <w:tcW w:w="184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w:t>
            </w:r>
            <w:r>
              <w:t>001</w:t>
            </w:r>
            <w:r>
              <w:rPr>
                <w:rFonts w:hint="eastAsia"/>
                <w:lang w:eastAsia="zh-CN"/>
              </w:rPr>
              <w:t>中共</w:t>
            </w:r>
            <w:r>
              <w:t>宁晋县</w:t>
            </w:r>
            <w:r>
              <w:rPr>
                <w:rFonts w:hint="eastAsia"/>
                <w:lang w:eastAsia="zh-CN"/>
              </w:rPr>
              <w:t>委机构编制委员会办公室</w:t>
            </w:r>
            <w:r>
              <w:t>本级</w:t>
            </w:r>
          </w:p>
        </w:tc>
        <w:tc>
          <w:tcPr>
            <w:tcW w:w="2503" w:type="dxa"/>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5"/>
            </w:pPr>
            <w:r>
              <w:t>序号</w:t>
            </w:r>
          </w:p>
        </w:tc>
        <w:tc>
          <w:tcPr>
            <w:tcW w:w="5005" w:type="dxa"/>
            <w:gridSpan w:val="2"/>
            <w:vAlign w:val="center"/>
          </w:tcPr>
          <w:p>
            <w:pPr>
              <w:pStyle w:val="15"/>
            </w:pPr>
            <w:r>
              <w:t>功能分类科目</w:t>
            </w:r>
          </w:p>
        </w:tc>
        <w:tc>
          <w:tcPr>
            <w:tcW w:w="2503" w:type="dxa"/>
            <w:vMerge w:val="restart"/>
            <w:vAlign w:val="center"/>
          </w:tcPr>
          <w:p>
            <w:pPr>
              <w:pStyle w:val="15"/>
            </w:pPr>
            <w:r>
              <w:t>合计</w:t>
            </w:r>
          </w:p>
        </w:tc>
        <w:tc>
          <w:tcPr>
            <w:tcW w:w="2502" w:type="dxa"/>
            <w:vMerge w:val="restart"/>
            <w:vAlign w:val="center"/>
          </w:tcPr>
          <w:p>
            <w:pPr>
              <w:pStyle w:val="15"/>
            </w:pPr>
            <w:r>
              <w:t>基本支出</w:t>
            </w:r>
          </w:p>
        </w:tc>
        <w:tc>
          <w:tcPr>
            <w:tcW w:w="250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5"/>
            </w:pPr>
            <w:r>
              <w:t>科目编码</w:t>
            </w:r>
          </w:p>
        </w:tc>
        <w:tc>
          <w:tcPr>
            <w:tcW w:w="2502" w:type="dxa"/>
            <w:vAlign w:val="center"/>
          </w:tcPr>
          <w:p>
            <w:pPr>
              <w:pStyle w:val="15"/>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5"/>
            </w:pPr>
            <w:r>
              <w:t>栏次</w:t>
            </w:r>
          </w:p>
        </w:tc>
        <w:tc>
          <w:tcPr>
            <w:tcW w:w="2503" w:type="dxa"/>
            <w:vAlign w:val="center"/>
          </w:tcPr>
          <w:p>
            <w:pPr>
              <w:pStyle w:val="15"/>
            </w:pPr>
            <w:r>
              <w:t>1</w:t>
            </w:r>
          </w:p>
        </w:tc>
        <w:tc>
          <w:tcPr>
            <w:tcW w:w="2502" w:type="dxa"/>
            <w:vAlign w:val="center"/>
          </w:tcPr>
          <w:p>
            <w:pPr>
              <w:pStyle w:val="15"/>
            </w:pPr>
            <w:r>
              <w:t>2</w:t>
            </w:r>
          </w:p>
        </w:tc>
        <w:tc>
          <w:tcPr>
            <w:tcW w:w="2503" w:type="dxa"/>
            <w:vAlign w:val="center"/>
          </w:tcPr>
          <w:p>
            <w:pPr>
              <w:pStyle w:val="15"/>
            </w:pPr>
            <w:r>
              <w:t>3</w:t>
            </w:r>
          </w:p>
        </w:tc>
        <w:tc>
          <w:tcPr>
            <w:tcW w:w="2502" w:type="dxa"/>
            <w:vAlign w:val="center"/>
          </w:tcPr>
          <w:p>
            <w:pPr>
              <w:pStyle w:val="15"/>
            </w:pPr>
            <w:r>
              <w:t>4</w:t>
            </w:r>
          </w:p>
        </w:tc>
        <w:tc>
          <w:tcPr>
            <w:tcW w:w="250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8"/>
            </w:pPr>
          </w:p>
        </w:tc>
        <w:tc>
          <w:tcPr>
            <w:tcW w:w="2503" w:type="dxa"/>
            <w:vAlign w:val="center"/>
          </w:tcPr>
          <w:p>
            <w:pPr>
              <w:pStyle w:val="17"/>
            </w:pPr>
          </w:p>
        </w:tc>
        <w:tc>
          <w:tcPr>
            <w:tcW w:w="2502"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4"/>
            </w:pPr>
            <w:r>
              <w:rPr>
                <w:rFonts w:hint="eastAsia"/>
                <w:lang w:val="en-US" w:eastAsia="zh-CN"/>
              </w:rPr>
              <w:t>225</w:t>
            </w:r>
            <w:r>
              <w:t>001</w:t>
            </w:r>
            <w:r>
              <w:rPr>
                <w:rFonts w:hint="eastAsia"/>
                <w:lang w:eastAsia="zh-CN"/>
              </w:rPr>
              <w:t>中共</w:t>
            </w:r>
            <w:r>
              <w:t>宁晋县</w:t>
            </w:r>
            <w:r>
              <w:rPr>
                <w:rFonts w:hint="eastAsia"/>
                <w:lang w:eastAsia="zh-CN"/>
              </w:rPr>
              <w:t>委机构编制委员会办公室</w:t>
            </w:r>
            <w:r>
              <w:t>本级</w:t>
            </w:r>
          </w:p>
        </w:tc>
        <w:tc>
          <w:tcPr>
            <w:tcW w:w="2503"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val="en-US" w:eastAsia="zh-CN"/>
              </w:rPr>
            </w:pPr>
            <w:r>
              <w:t>预算年度：202</w:t>
            </w:r>
            <w:r>
              <w:rPr>
                <w:rFonts w:hint="eastAsia"/>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5"/>
            </w:pPr>
            <w:r>
              <w:t>序号</w:t>
            </w:r>
          </w:p>
        </w:tc>
        <w:tc>
          <w:tcPr>
            <w:tcW w:w="2502" w:type="dxa"/>
            <w:vMerge w:val="restart"/>
            <w:vAlign w:val="center"/>
          </w:tcPr>
          <w:p>
            <w:pPr>
              <w:pStyle w:val="15"/>
            </w:pPr>
            <w:r>
              <w:t>项  目</w:t>
            </w:r>
          </w:p>
        </w:tc>
        <w:tc>
          <w:tcPr>
            <w:tcW w:w="10011" w:type="dxa"/>
            <w:gridSpan w:val="5"/>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5"/>
            </w:pPr>
            <w:r>
              <w:t>合计</w:t>
            </w:r>
          </w:p>
        </w:tc>
        <w:tc>
          <w:tcPr>
            <w:tcW w:w="2502" w:type="dxa"/>
            <w:vAlign w:val="center"/>
          </w:tcPr>
          <w:p>
            <w:pPr>
              <w:pStyle w:val="15"/>
            </w:pPr>
            <w:r>
              <w:t>一般公共预算              财政拨款</w:t>
            </w:r>
          </w:p>
        </w:tc>
        <w:tc>
          <w:tcPr>
            <w:tcW w:w="2503" w:type="dxa"/>
            <w:gridSpan w:val="2"/>
            <w:vAlign w:val="center"/>
          </w:tcPr>
          <w:p>
            <w:pPr>
              <w:pStyle w:val="15"/>
            </w:pPr>
            <w:r>
              <w:t>政府性基金                  预算拨款</w:t>
            </w:r>
          </w:p>
        </w:tc>
        <w:tc>
          <w:tcPr>
            <w:tcW w:w="250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5"/>
            </w:pPr>
            <w:r>
              <w:t>栏次</w:t>
            </w:r>
          </w:p>
        </w:tc>
        <w:tc>
          <w:tcPr>
            <w:tcW w:w="2502" w:type="dxa"/>
            <w:vAlign w:val="center"/>
          </w:tcPr>
          <w:p>
            <w:pPr>
              <w:pStyle w:val="15"/>
            </w:pPr>
            <w:r>
              <w:t>1</w:t>
            </w:r>
          </w:p>
        </w:tc>
        <w:tc>
          <w:tcPr>
            <w:tcW w:w="2503" w:type="dxa"/>
            <w:vAlign w:val="center"/>
          </w:tcPr>
          <w:p>
            <w:pPr>
              <w:pStyle w:val="15"/>
            </w:pPr>
            <w:r>
              <w:t>2</w:t>
            </w:r>
          </w:p>
        </w:tc>
        <w:tc>
          <w:tcPr>
            <w:tcW w:w="2502" w:type="dxa"/>
            <w:vAlign w:val="center"/>
          </w:tcPr>
          <w:p>
            <w:pPr>
              <w:pStyle w:val="15"/>
            </w:pPr>
            <w:r>
              <w:t>3</w:t>
            </w:r>
          </w:p>
        </w:tc>
        <w:tc>
          <w:tcPr>
            <w:tcW w:w="2503" w:type="dxa"/>
            <w:gridSpan w:val="2"/>
            <w:vAlign w:val="center"/>
          </w:tcPr>
          <w:p>
            <w:pPr>
              <w:pStyle w:val="15"/>
            </w:pPr>
            <w:r>
              <w:t>4</w:t>
            </w:r>
          </w:p>
        </w:tc>
        <w:tc>
          <w:tcPr>
            <w:tcW w:w="250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8"/>
            </w:pPr>
          </w:p>
        </w:tc>
        <w:tc>
          <w:tcPr>
            <w:tcW w:w="2502"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gridSpan w:val="2"/>
            <w:vAlign w:val="center"/>
          </w:tcPr>
          <w:p>
            <w:pPr>
              <w:pStyle w:val="16"/>
            </w:pPr>
          </w:p>
        </w:tc>
        <w:tc>
          <w:tcPr>
            <w:tcW w:w="2503" w:type="dxa"/>
            <w:vAlign w:val="center"/>
          </w:tcPr>
          <w:p>
            <w:pPr>
              <w:pStyle w:val="16"/>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中共宁晋县委机构编制委员会办公室本级202</w:t>
      </w:r>
      <w:r>
        <w:rPr>
          <w:rFonts w:hint="eastAsia" w:ascii="方正小标宋_GBK" w:hAnsi="方正小标宋_GBK" w:eastAsia="方正小标宋_GBK" w:cs="方正小标宋_GBK"/>
          <w:b w:val="0"/>
          <w:color w:val="000000"/>
          <w:sz w:val="44"/>
          <w:lang w:val="en-US" w:eastAsia="zh-CN"/>
        </w:rPr>
        <w:t>1</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按照《预算法》、《地方预决算公开操作规程》和《关于进一步推进预算公开工作的实施意见》规定，现将中共宁晋县委机构编制委员会办公室本级202</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一）贯彻落实党中央和省委、市委、县委关于行政管理体制和机构改革以及机构编制管理的政策法规，组织拟订相关政策措施并监督实施。管理和指导各级党委、人大、政府，政协、监委、人民团体机关以及全县事业单位的机构编制工作。</w:t>
      </w:r>
    </w:p>
    <w:p>
      <w:pPr>
        <w:pStyle w:val="30"/>
      </w:pPr>
      <w:r>
        <w:t>（二）组织拟订全县行政管理体制改革和县委、县政府机构改革方案并组织实施；组织拟订乡镇（区）、街道机构改革方案并组织实施；负责全县行政管理体制和机构改革以及机构编制管理工作。负责行政执法体制改革工作。</w:t>
      </w:r>
    </w:p>
    <w:p>
      <w:pPr>
        <w:pStyle w:val="30"/>
      </w:pPr>
      <w:r>
        <w:t>（三）协调县委、县政府各部门的职能配置及其调整。协调县委、县政府部门之间以及县直部门与乡镇（区）、街道之间的职责分工。</w:t>
      </w:r>
    </w:p>
    <w:p>
      <w:pPr>
        <w:pStyle w:val="30"/>
      </w:pPr>
      <w:r>
        <w:t>（四）审核或审批县委、县政府各部门及各部门派出机构的职能配置、机构设置、人员编制和领导职数；审核县人大、县政协、县监委和县级人民团体机关的职能配置、机构设置、人员编制和领导职数；审核乡镇（区）、街道的职能配置、机构设置、人员编制和领导职数。</w:t>
      </w:r>
    </w:p>
    <w:p>
      <w:pPr>
        <w:pStyle w:val="30"/>
      </w:pPr>
      <w:r>
        <w:t>（五）审核或审批县直部门和乡镇（区）、街道党（工）委、政府（管委会、办事处）机构设置和调整事宜；审核县人大、政协、监委和各人民团体机关机构设置和调整事宜；审核县乡机构编制分类；负责需要承办的中央和国家机关、省、市垂直管理部门或双重管理部门（单位）机构编制有关事宜。</w:t>
      </w:r>
    </w:p>
    <w:p>
      <w:pPr>
        <w:pStyle w:val="30"/>
      </w:pPr>
      <w:r>
        <w:t>（六）组织拟订全县事业单位管理体制和机构改革方案。落实各类事业单位人员编制标准，组织拟订全县各类事业单位机构编制管理办法，负责推进事业单位机构编制标准体系建设；审核或审批县委、县政府直属事业单位、县直部门和乡镇（区）、街道所属事业单位的机构编制事宜；负责全县事业单位管理体制改革和机构编制管理工作；负责全县党政群机关统一社会信用代码赋码管理工作，负责全县事业单位法人登记的监督检查工作。</w:t>
      </w:r>
    </w:p>
    <w:p>
      <w:pPr>
        <w:pStyle w:val="30"/>
      </w:pPr>
      <w:r>
        <w:t>（七）负责全县开发区（园区）行政管理体制改革工作，组织拟订开发区（园区）机构编制管理办法并组织实施，审核开发区（园区）职能配置、机构设置、人员编制和领导职数。</w:t>
      </w:r>
    </w:p>
    <w:p>
      <w:pPr>
        <w:pStyle w:val="30"/>
      </w:pPr>
      <w:r>
        <w:t>（八）负责对全县机构编制的总量控制和动态管理。会同有关部门负责机构编制实名制工作；负责机关事业单位编制使用核准；建立健全机构编制部门与有关部门间的协调配合约束机制。</w:t>
      </w:r>
    </w:p>
    <w:p>
      <w:pPr>
        <w:pStyle w:val="30"/>
      </w:pPr>
      <w:r>
        <w:t>（九）负责对各级行政、事业单位管理体制和机构改革及机构编制执行情况的跟踪评估和监督检查。负责受理违反机构编制法规、纪律的检举、控告和投诉，对违反机构编制法规、纪律问题进行调查处理。</w:t>
      </w:r>
    </w:p>
    <w:p>
      <w:pPr>
        <w:pStyle w:val="30"/>
      </w:pPr>
      <w:r>
        <w:t>（十）负责全县机构编制电子政务和信息化工作。负责全县机构编制统计工作；负责机构编制网站的建设管理以及网络安全工作；负责全县党政群机关、事业单位和其他非营利性单位网上名称管理工作。负责本部门电子政务建设和信息化建设工作。</w:t>
      </w:r>
    </w:p>
    <w:p>
      <w:pPr>
        <w:pStyle w:val="30"/>
      </w:pPr>
      <w:r>
        <w:t>（十一）组织开展行政管理体制改革及机构编制管理创新基础性和前瞻性研究。</w:t>
      </w:r>
    </w:p>
    <w:p>
      <w:pPr>
        <w:pStyle w:val="30"/>
      </w:pPr>
      <w:r>
        <w:t>（十二）完成县委和县委机构编制委员会交办的其他任务。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中共宁晋县委机构编制委员会办公室本级</w:t>
            </w:r>
          </w:p>
        </w:tc>
        <w:tc>
          <w:tcPr>
            <w:tcW w:w="1843" w:type="dxa"/>
            <w:vAlign w:val="center"/>
          </w:tcPr>
          <w:p>
            <w:pPr>
              <w:pStyle w:val="18"/>
            </w:pPr>
            <w:r>
              <w:t>行政</w:t>
            </w:r>
          </w:p>
        </w:tc>
        <w:tc>
          <w:tcPr>
            <w:tcW w:w="2126" w:type="dxa"/>
            <w:vAlign w:val="center"/>
          </w:tcPr>
          <w:p>
            <w:pPr>
              <w:pStyle w:val="18"/>
            </w:pPr>
            <w:r>
              <w:t>正科级</w:t>
            </w:r>
          </w:p>
        </w:tc>
        <w:tc>
          <w:tcPr>
            <w:tcW w:w="3827" w:type="dxa"/>
            <w:vAlign w:val="center"/>
          </w:tcPr>
          <w:p>
            <w:pPr>
              <w:pStyle w:val="1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根据县财政局202</w:t>
      </w:r>
      <w:r>
        <w:rPr>
          <w:rFonts w:hint="eastAsia"/>
          <w:lang w:val="en-US" w:eastAsia="zh-CN"/>
        </w:rPr>
        <w:t>1</w:t>
      </w:r>
      <w:r>
        <w:t>年预算批复，县委编办预算总收入为</w:t>
      </w:r>
      <w:r>
        <w:rPr>
          <w:rFonts w:hint="eastAsia"/>
          <w:lang w:val="en-US" w:eastAsia="zh-CN"/>
        </w:rPr>
        <w:t>170.34</w:t>
      </w:r>
      <w:r>
        <w:t>万元。</w:t>
      </w:r>
    </w:p>
    <w:p>
      <w:pPr>
        <w:pStyle w:val="31"/>
      </w:pPr>
      <w:r>
        <w:t>202</w:t>
      </w:r>
      <w:r>
        <w:rPr>
          <w:rFonts w:hint="eastAsia"/>
          <w:lang w:val="en-US" w:eastAsia="zh-CN"/>
        </w:rPr>
        <w:t>1</w:t>
      </w:r>
      <w:r>
        <w:t>年县委编办总体支出为</w:t>
      </w:r>
      <w:r>
        <w:rPr>
          <w:rFonts w:hint="eastAsia"/>
          <w:lang w:val="en-US" w:eastAsia="zh-CN"/>
        </w:rPr>
        <w:t>170.34</w:t>
      </w:r>
      <w:r>
        <w:t>万元。</w:t>
      </w:r>
    </w:p>
    <w:p>
      <w:pPr>
        <w:pStyle w:val="31"/>
      </w:pPr>
      <w:r>
        <w:t>其中基本支出</w:t>
      </w:r>
      <w:r>
        <w:rPr>
          <w:rFonts w:hint="eastAsia"/>
          <w:lang w:val="en-US" w:eastAsia="zh-CN"/>
        </w:rPr>
        <w:t>133.22</w:t>
      </w:r>
      <w:r>
        <w:t>万元：人员经费1</w:t>
      </w:r>
      <w:r>
        <w:rPr>
          <w:rFonts w:hint="eastAsia"/>
          <w:lang w:val="en-US" w:eastAsia="zh-CN"/>
        </w:rPr>
        <w:t>23.25</w:t>
      </w:r>
      <w:r>
        <w:t>万元，公用经费</w:t>
      </w:r>
      <w:r>
        <w:rPr>
          <w:rFonts w:hint="eastAsia"/>
          <w:lang w:val="en-US" w:eastAsia="zh-CN"/>
        </w:rPr>
        <w:t>9.97</w:t>
      </w:r>
      <w:r>
        <w:t>万元。</w:t>
      </w:r>
    </w:p>
    <w:p>
      <w:pPr>
        <w:pStyle w:val="31"/>
      </w:pPr>
      <w:r>
        <w:t>中文域名工作经费13.36万元。</w:t>
      </w:r>
    </w:p>
    <w:p>
      <w:pPr>
        <w:pStyle w:val="31"/>
      </w:pPr>
      <w:r>
        <w:t>机构改革工作经费5万元。</w:t>
      </w:r>
    </w:p>
    <w:p>
      <w:pPr>
        <w:pStyle w:val="31"/>
      </w:pPr>
      <w:r>
        <w:t>机构编制标准化管理工作经费1万元。</w:t>
      </w:r>
    </w:p>
    <w:p>
      <w:pPr>
        <w:pStyle w:val="31"/>
      </w:pPr>
      <w:r>
        <w:t>行政审批制度改革工作经费1万元。</w:t>
      </w:r>
    </w:p>
    <w:p>
      <w:pPr>
        <w:pStyle w:val="31"/>
        <w:rPr>
          <w:rFonts w:hint="default"/>
          <w:lang w:val="en-US" w:eastAsia="zh-CN"/>
        </w:rPr>
      </w:pPr>
      <w:r>
        <w:rPr>
          <w:rFonts w:hint="eastAsia"/>
          <w:lang w:val="en-US" w:eastAsia="zh-CN"/>
        </w:rPr>
        <w:t>2020年度精神文明奖及平安建设奖13.5万元。</w:t>
      </w:r>
    </w:p>
    <w:p>
      <w:pPr>
        <w:pStyle w:val="31"/>
        <w:rPr>
          <w:rFonts w:hint="default"/>
          <w:lang w:val="en-US" w:eastAsia="zh-CN"/>
        </w:rPr>
      </w:pPr>
      <w:r>
        <w:rPr>
          <w:rFonts w:hint="eastAsia"/>
          <w:lang w:val="en-US" w:eastAsia="zh-CN"/>
        </w:rPr>
        <w:t>2020年度目标绩效奖3.26万元。</w:t>
      </w:r>
    </w:p>
    <w:p>
      <w:pPr>
        <w:pStyle w:val="31"/>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rPr>
          <w:rFonts w:hint="eastAsia" w:eastAsia="方正仿宋_GBK"/>
          <w:lang w:eastAsia="zh-CN"/>
        </w:rPr>
      </w:pPr>
      <w:r>
        <w:rPr>
          <w:rFonts w:hint="eastAsia"/>
        </w:rPr>
        <w:t>我</w:t>
      </w:r>
      <w:r>
        <w:rPr>
          <w:rFonts w:hint="eastAsia"/>
          <w:lang w:eastAsia="zh-CN"/>
        </w:rPr>
        <w:t>单位</w:t>
      </w:r>
      <w:r>
        <w:rPr>
          <w:rFonts w:hint="eastAsia"/>
        </w:rPr>
        <w:t>机关202</w:t>
      </w:r>
      <w:r>
        <w:rPr>
          <w:rFonts w:hint="eastAsia"/>
          <w:lang w:val="en-US" w:eastAsia="zh-CN"/>
        </w:rPr>
        <w:t>1</w:t>
      </w:r>
      <w:r>
        <w:rPr>
          <w:rFonts w:hint="eastAsia"/>
        </w:rPr>
        <w:t>年日常公用经费共计安排</w:t>
      </w:r>
      <w:r>
        <w:rPr>
          <w:rFonts w:hint="eastAsia"/>
          <w:lang w:val="en-US" w:eastAsia="zh-CN"/>
        </w:rPr>
        <w:t>9.97</w:t>
      </w:r>
      <w:r>
        <w:rPr>
          <w:rFonts w:hint="eastAsia"/>
        </w:rPr>
        <w:t>万元，较202</w:t>
      </w:r>
      <w:r>
        <w:rPr>
          <w:rFonts w:hint="eastAsia"/>
          <w:lang w:val="en-US" w:eastAsia="zh-CN"/>
        </w:rPr>
        <w:t>0</w:t>
      </w:r>
      <w:r>
        <w:rPr>
          <w:rFonts w:hint="eastAsia"/>
        </w:rPr>
        <w:t>年</w:t>
      </w:r>
      <w:r>
        <w:rPr>
          <w:rFonts w:hint="eastAsia"/>
          <w:lang w:val="en-US" w:eastAsia="zh-CN"/>
        </w:rPr>
        <w:t>10.09</w:t>
      </w:r>
      <w:r>
        <w:rPr>
          <w:rFonts w:hint="eastAsia"/>
        </w:rPr>
        <w:t>万元</w:t>
      </w:r>
      <w:r>
        <w:rPr>
          <w:rFonts w:hint="eastAsia"/>
          <w:lang w:eastAsia="zh-CN"/>
        </w:rPr>
        <w:t>减少</w:t>
      </w:r>
      <w:r>
        <w:rPr>
          <w:rFonts w:hint="eastAsia"/>
          <w:lang w:val="en-US" w:eastAsia="zh-CN"/>
        </w:rPr>
        <w:t>0.12</w:t>
      </w:r>
      <w:r>
        <w:rPr>
          <w:rFonts w:hint="eastAsia"/>
        </w:rPr>
        <w:t>万元，主要是202</w:t>
      </w:r>
      <w:r>
        <w:rPr>
          <w:rFonts w:hint="eastAsia"/>
          <w:lang w:val="en-US" w:eastAsia="zh-CN"/>
        </w:rPr>
        <w:t>1</w:t>
      </w:r>
      <w:r>
        <w:rPr>
          <w:rFonts w:hint="eastAsia"/>
        </w:rPr>
        <w:t>年</w:t>
      </w:r>
      <w:r>
        <w:rPr>
          <w:rFonts w:hint="eastAsia"/>
          <w:lang w:eastAsia="zh-CN"/>
        </w:rPr>
        <w:t>缩减日常公用经费。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rPr>
          <w:rFonts w:hint="eastAsia"/>
          <w:lang w:eastAsia="zh-CN"/>
        </w:rPr>
        <w:t>县委编办</w:t>
      </w:r>
      <w:r>
        <w:rPr>
          <w:rFonts w:hint="eastAsia"/>
        </w:rPr>
        <w:t>202</w:t>
      </w:r>
      <w:r>
        <w:rPr>
          <w:rFonts w:hint="eastAsia"/>
          <w:lang w:val="en-US" w:eastAsia="zh-CN"/>
        </w:rPr>
        <w:t>1</w:t>
      </w:r>
      <w:r>
        <w:rPr>
          <w:rFonts w:hint="eastAsia"/>
        </w:rPr>
        <w:t>年“三公”经费预算数为0万元</w:t>
      </w:r>
      <w:r>
        <w:rPr>
          <w:rFonts w:hint="eastAsia"/>
          <w:lang w:eastAsia="zh-CN"/>
        </w:rPr>
        <w:t>，与</w:t>
      </w:r>
      <w:r>
        <w:rPr>
          <w:rFonts w:hint="eastAsia"/>
          <w:lang w:val="en-US" w:eastAsia="zh-CN"/>
        </w:rPr>
        <w:t>2020年相比无变化。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numPr>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1.行政审批制度改革工作经费绩效目标</w:t>
      </w:r>
    </w:p>
    <w:tbl>
      <w:tblPr>
        <w:tblStyle w:val="8"/>
        <w:tblW w:w="13243" w:type="dxa"/>
        <w:tblInd w:w="93" w:type="dxa"/>
        <w:tblLayout w:type="fixed"/>
        <w:tblCellMar>
          <w:top w:w="0" w:type="dxa"/>
          <w:left w:w="108" w:type="dxa"/>
          <w:bottom w:w="0" w:type="dxa"/>
          <w:right w:w="108" w:type="dxa"/>
        </w:tblCellMar>
      </w:tblPr>
      <w:tblGrid>
        <w:gridCol w:w="1468"/>
        <w:gridCol w:w="1965"/>
        <w:gridCol w:w="2250"/>
        <w:gridCol w:w="1620"/>
        <w:gridCol w:w="1035"/>
        <w:gridCol w:w="1590"/>
        <w:gridCol w:w="3315"/>
      </w:tblGrid>
      <w:tr>
        <w:tblPrEx>
          <w:tblCellMar>
            <w:top w:w="0" w:type="dxa"/>
            <w:left w:w="108" w:type="dxa"/>
            <w:bottom w:w="0" w:type="dxa"/>
            <w:right w:w="108" w:type="dxa"/>
          </w:tblCellMar>
        </w:tblPrEx>
        <w:trPr>
          <w:trHeight w:val="270" w:hRule="atLeast"/>
        </w:trPr>
        <w:tc>
          <w:tcPr>
            <w:tcW w:w="1324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225001中共宁晋县委机构编制委员会办公室本级                                       单位：万元</w:t>
            </w:r>
          </w:p>
        </w:tc>
      </w:tr>
      <w:tr>
        <w:tblPrEx>
          <w:tblCellMar>
            <w:top w:w="0" w:type="dxa"/>
            <w:left w:w="108" w:type="dxa"/>
            <w:bottom w:w="0" w:type="dxa"/>
            <w:right w:w="108" w:type="dxa"/>
          </w:tblCellMar>
        </w:tblPrEx>
        <w:trPr>
          <w:trHeight w:val="500" w:hRule="atLeast"/>
        </w:trPr>
        <w:tc>
          <w:tcPr>
            <w:tcW w:w="146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421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130528211LLZNXLRXMQSO</w:t>
            </w:r>
          </w:p>
        </w:tc>
        <w:tc>
          <w:tcPr>
            <w:tcW w:w="16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594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行政审批制度改革工作经费</w:t>
            </w:r>
          </w:p>
        </w:tc>
      </w:tr>
      <w:tr>
        <w:tblPrEx>
          <w:tblCellMar>
            <w:top w:w="0" w:type="dxa"/>
            <w:left w:w="108" w:type="dxa"/>
            <w:bottom w:w="0" w:type="dxa"/>
            <w:right w:w="108" w:type="dxa"/>
          </w:tblCellMar>
        </w:tblPrEx>
        <w:trPr>
          <w:trHeight w:val="36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0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42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177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权力清单和责任清单动态调整</w:t>
            </w:r>
          </w:p>
        </w:tc>
      </w:tr>
      <w:tr>
        <w:tblPrEx>
          <w:tblCellMar>
            <w:top w:w="0" w:type="dxa"/>
            <w:left w:w="108" w:type="dxa"/>
            <w:bottom w:w="0" w:type="dxa"/>
            <w:right w:w="108" w:type="dxa"/>
          </w:tblCellMar>
        </w:tblPrEx>
        <w:trPr>
          <w:trHeight w:val="34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03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49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103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9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020" w:hRule="atLeast"/>
        </w:trPr>
        <w:tc>
          <w:tcPr>
            <w:tcW w:w="146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177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1.强化社会管理和公共服务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2.权力清单和责任清单动态调整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3.重点抓好清权、减权、制权等环节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4.扎实做好潜力清单制度建设相关工作</w:t>
            </w:r>
          </w:p>
        </w:tc>
      </w:tr>
      <w:tr>
        <w:tblPrEx>
          <w:tblCellMar>
            <w:top w:w="0" w:type="dxa"/>
            <w:left w:w="108" w:type="dxa"/>
            <w:bottom w:w="0" w:type="dxa"/>
            <w:right w:w="108" w:type="dxa"/>
          </w:tblCellMar>
        </w:tblPrEx>
        <w:trPr>
          <w:trHeight w:val="270" w:hRule="atLeast"/>
        </w:trPr>
        <w:tc>
          <w:tcPr>
            <w:tcW w:w="146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96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65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66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提高效能，形成权责一致</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县政府机构改革目标完成率</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45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分工合理、决策科学</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动态调整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4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三报三回工作流程</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创新工作完成率</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46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成本控制</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权限清理意见</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40" w:hRule="atLeast"/>
        </w:trPr>
        <w:tc>
          <w:tcPr>
            <w:tcW w:w="146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对经济发展带来的效果</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县政府机构改革目标完成率</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4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提高职工幸福感</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职工满意度</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0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社会发展保障力</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消除权力设租寻租空间</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500" w:hRule="atLeast"/>
        </w:trPr>
        <w:tc>
          <w:tcPr>
            <w:tcW w:w="146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落实国家政策</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群众对国家政策满意</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r>
        <w:tblPrEx>
          <w:tblCellMar>
            <w:top w:w="0" w:type="dxa"/>
            <w:left w:w="108" w:type="dxa"/>
            <w:bottom w:w="0" w:type="dxa"/>
            <w:right w:w="108" w:type="dxa"/>
          </w:tblCellMar>
        </w:tblPrEx>
        <w:trPr>
          <w:trHeight w:val="640" w:hRule="atLeast"/>
        </w:trPr>
        <w:tc>
          <w:tcPr>
            <w:tcW w:w="14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265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对两个清单的满意程度</w:t>
            </w:r>
          </w:p>
        </w:tc>
        <w:tc>
          <w:tcPr>
            <w:tcW w:w="15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100百分比</w:t>
            </w:r>
          </w:p>
        </w:tc>
        <w:tc>
          <w:tcPr>
            <w:tcW w:w="33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冀机编办[2019]106号</w:t>
            </w:r>
          </w:p>
        </w:tc>
      </w:tr>
    </w:tbl>
    <w:p>
      <w:pPr>
        <w:numPr>
          <w:ilvl w:val="0"/>
          <w:numId w:val="0"/>
        </w:numPr>
        <w:jc w:val="both"/>
        <w:rPr>
          <w:rFonts w:hint="default" w:ascii="仿宋_GB2312" w:hAnsi="仿宋_GB2312" w:eastAsia="仿宋_GB2312" w:cs="仿宋_GB2312"/>
          <w:b/>
          <w:bCs/>
          <w:sz w:val="32"/>
          <w:szCs w:val="32"/>
          <w:lang w:val="en-US" w:eastAsia="zh-CN"/>
        </w:rPr>
      </w:pPr>
    </w:p>
    <w:p>
      <w:pPr>
        <w:numPr>
          <w:ilvl w:val="0"/>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2.2020年度精神文明奖及平安建设奖绩效目标表</w:t>
      </w:r>
    </w:p>
    <w:tbl>
      <w:tblPr>
        <w:tblStyle w:val="8"/>
        <w:tblW w:w="13393" w:type="dxa"/>
        <w:tblInd w:w="93" w:type="dxa"/>
        <w:tblLayout w:type="fixed"/>
        <w:tblCellMar>
          <w:top w:w="0" w:type="dxa"/>
          <w:left w:w="108" w:type="dxa"/>
          <w:bottom w:w="0" w:type="dxa"/>
          <w:right w:w="108" w:type="dxa"/>
        </w:tblCellMar>
      </w:tblPr>
      <w:tblGrid>
        <w:gridCol w:w="1378"/>
        <w:gridCol w:w="1920"/>
        <w:gridCol w:w="1950"/>
        <w:gridCol w:w="945"/>
        <w:gridCol w:w="1680"/>
        <w:gridCol w:w="1695"/>
        <w:gridCol w:w="3825"/>
      </w:tblGrid>
      <w:tr>
        <w:tblPrEx>
          <w:tblCellMar>
            <w:top w:w="0" w:type="dxa"/>
            <w:left w:w="108" w:type="dxa"/>
            <w:bottom w:w="0" w:type="dxa"/>
            <w:right w:w="108" w:type="dxa"/>
          </w:tblCellMar>
        </w:tblPrEx>
        <w:trPr>
          <w:trHeight w:val="270" w:hRule="atLeast"/>
        </w:trPr>
        <w:tc>
          <w:tcPr>
            <w:tcW w:w="1339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225001中共宁晋县委机构编制委员会办公室本级                                       单位：万元</w:t>
            </w:r>
          </w:p>
        </w:tc>
      </w:tr>
      <w:tr>
        <w:tblPrEx>
          <w:tblCellMar>
            <w:top w:w="0" w:type="dxa"/>
            <w:left w:w="108" w:type="dxa"/>
            <w:bottom w:w="0" w:type="dxa"/>
            <w:right w:w="108" w:type="dxa"/>
          </w:tblCellMar>
        </w:tblPrEx>
        <w:trPr>
          <w:trHeight w:val="500" w:hRule="atLeast"/>
        </w:trPr>
        <w:tc>
          <w:tcPr>
            <w:tcW w:w="13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387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1305282190THQU9XI7ZA5</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720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2020年度精神文明奖及平安建设奖</w:t>
            </w:r>
          </w:p>
        </w:tc>
      </w:tr>
      <w:tr>
        <w:tblPrEx>
          <w:tblCellMar>
            <w:top w:w="0" w:type="dxa"/>
            <w:left w:w="108" w:type="dxa"/>
            <w:bottom w:w="0" w:type="dxa"/>
            <w:right w:w="108" w:type="dxa"/>
          </w:tblCellMar>
        </w:tblPrEx>
        <w:trPr>
          <w:trHeight w:val="360"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13.50</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6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13.50</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1060"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01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进一步调动广大职工工作的积极性、主动性和创造性，结合我单位实际，申请2020年度精神文明奖及平安建设奖13.5万元，用于我单位15位职工精神文明奖和平安建设奖发放，鼓励干部职工在新的一年再接再厉，用心工作，发光发热。并由银行代发到单位每位在编人员的个人账户中，保障机关的正常运转。</w:t>
            </w:r>
          </w:p>
        </w:tc>
      </w:tr>
      <w:tr>
        <w:tblPrEx>
          <w:tblCellMar>
            <w:top w:w="0" w:type="dxa"/>
            <w:left w:w="108" w:type="dxa"/>
            <w:bottom w:w="0" w:type="dxa"/>
            <w:right w:w="108" w:type="dxa"/>
          </w:tblCellMar>
        </w:tblPrEx>
        <w:trPr>
          <w:trHeight w:val="340"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387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94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552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3870"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52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020" w:hRule="atLeast"/>
        </w:trPr>
        <w:tc>
          <w:tcPr>
            <w:tcW w:w="13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01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1.为进一步调动广大职工工作的积极性、主动性和创造性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2.鼓励干部职工在新的一年再接再厉，用心工作，发光发热。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3.保证工作的正常运行</w:t>
            </w:r>
          </w:p>
        </w:tc>
      </w:tr>
      <w:tr>
        <w:tblPrEx>
          <w:tblCellMar>
            <w:top w:w="0" w:type="dxa"/>
            <w:left w:w="108" w:type="dxa"/>
            <w:bottom w:w="0" w:type="dxa"/>
            <w:right w:w="108" w:type="dxa"/>
          </w:tblCellMar>
        </w:tblPrEx>
        <w:trPr>
          <w:trHeight w:val="270" w:hRule="atLeast"/>
        </w:trPr>
        <w:tc>
          <w:tcPr>
            <w:tcW w:w="13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9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62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490"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发放人数</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发放奖励人数</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50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1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按时支付完成率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按时完成率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4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严格标准发放率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标准发放率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75" w:hRule="atLeast"/>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75"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358"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460" w:hRule="atLeast"/>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r>
        <w:tblPrEx>
          <w:tblCellMar>
            <w:top w:w="0" w:type="dxa"/>
            <w:left w:w="108" w:type="dxa"/>
            <w:bottom w:w="0" w:type="dxa"/>
            <w:right w:w="108" w:type="dxa"/>
          </w:tblCellMar>
        </w:tblPrEx>
        <w:trPr>
          <w:trHeight w:val="585" w:hRule="atLeast"/>
        </w:trPr>
        <w:tc>
          <w:tcPr>
            <w:tcW w:w="13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26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38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根据县委县政府有关文件安排，发放</w:t>
            </w:r>
          </w:p>
        </w:tc>
      </w:tr>
    </w:tbl>
    <w:p>
      <w:pPr>
        <w:numPr>
          <w:ilvl w:val="0"/>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3.2020年度目标绩效奖绩效目标表</w:t>
      </w:r>
    </w:p>
    <w:tbl>
      <w:tblPr>
        <w:tblStyle w:val="8"/>
        <w:tblW w:w="13708" w:type="dxa"/>
        <w:tblInd w:w="93" w:type="dxa"/>
        <w:tblLayout w:type="fixed"/>
        <w:tblCellMar>
          <w:top w:w="0" w:type="dxa"/>
          <w:left w:w="108" w:type="dxa"/>
          <w:bottom w:w="0" w:type="dxa"/>
          <w:right w:w="108" w:type="dxa"/>
        </w:tblCellMar>
      </w:tblPr>
      <w:tblGrid>
        <w:gridCol w:w="1123"/>
        <w:gridCol w:w="1905"/>
        <w:gridCol w:w="1830"/>
        <w:gridCol w:w="1830"/>
        <w:gridCol w:w="1230"/>
        <w:gridCol w:w="1095"/>
        <w:gridCol w:w="4695"/>
      </w:tblGrid>
      <w:tr>
        <w:tblPrEx>
          <w:tblCellMar>
            <w:top w:w="0" w:type="dxa"/>
            <w:left w:w="108" w:type="dxa"/>
            <w:bottom w:w="0" w:type="dxa"/>
            <w:right w:w="108" w:type="dxa"/>
          </w:tblCellMar>
        </w:tblPrEx>
        <w:trPr>
          <w:trHeight w:val="270" w:hRule="atLeast"/>
        </w:trPr>
        <w:tc>
          <w:tcPr>
            <w:tcW w:w="13708"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225001中共宁晋县委机构编制委员会办公室本级                                        单位：万元</w:t>
            </w:r>
          </w:p>
        </w:tc>
      </w:tr>
      <w:tr>
        <w:tblPrEx>
          <w:tblCellMar>
            <w:top w:w="0" w:type="dxa"/>
            <w:left w:w="108" w:type="dxa"/>
            <w:bottom w:w="0" w:type="dxa"/>
            <w:right w:w="108" w:type="dxa"/>
          </w:tblCellMar>
        </w:tblPrEx>
        <w:trPr>
          <w:trHeight w:val="500" w:hRule="atLeast"/>
        </w:trPr>
        <w:tc>
          <w:tcPr>
            <w:tcW w:w="112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373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13052821BQUV85GDZ1XPF</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702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2020年度目标绩效奖</w:t>
            </w:r>
          </w:p>
        </w:tc>
      </w:tr>
      <w:tr>
        <w:tblPrEx>
          <w:tblCellMar>
            <w:top w:w="0" w:type="dxa"/>
            <w:left w:w="108" w:type="dxa"/>
            <w:bottom w:w="0" w:type="dxa"/>
            <w:right w:w="108" w:type="dxa"/>
          </w:tblCellMar>
        </w:tblPrEx>
        <w:trPr>
          <w:trHeight w:val="360"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106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58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进一步调动广大职工工作的积极性、主动性和创造性，结合我单位实际，申请2020年度目标考核奖3.26万元，用于我单位15位职工精神文明奖和平安建设奖发放，鼓励干部职工在新的一年再接再厉，用心工作，发光发热。并由银行代发到单位每位在编人员的个人账户中，保障机关的正常运转</w:t>
            </w:r>
          </w:p>
        </w:tc>
      </w:tr>
      <w:tr>
        <w:tblPrEx>
          <w:tblCellMar>
            <w:top w:w="0" w:type="dxa"/>
            <w:left w:w="108" w:type="dxa"/>
            <w:bottom w:w="0" w:type="dxa"/>
            <w:right w:w="108" w:type="dxa"/>
          </w:tblCellMar>
        </w:tblPrEx>
        <w:trPr>
          <w:trHeight w:val="340"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373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8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579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3735"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79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020" w:hRule="atLeast"/>
        </w:trPr>
        <w:tc>
          <w:tcPr>
            <w:tcW w:w="112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58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1.为进一步调动广大职工工作的积极性、主动性和创造性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2.鼓励干部职工在新的一年再接再厉，用心工作，发光发热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3.保证工作的正常运行</w:t>
            </w:r>
          </w:p>
        </w:tc>
      </w:tr>
      <w:tr>
        <w:tblPrEx>
          <w:tblCellMar>
            <w:top w:w="0" w:type="dxa"/>
            <w:left w:w="108" w:type="dxa"/>
            <w:bottom w:w="0" w:type="dxa"/>
            <w:right w:w="108" w:type="dxa"/>
          </w:tblCellMar>
        </w:tblPrEx>
        <w:trPr>
          <w:trHeight w:val="270" w:hRule="atLeast"/>
        </w:trPr>
        <w:tc>
          <w:tcPr>
            <w:tcW w:w="112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9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06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530"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发放人数</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发放奖励人数</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3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按时足额发放率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485"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按时支付完成率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按时完成率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15"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严格标准发放率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标准发放率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15" w:hRule="atLeast"/>
        </w:trPr>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维护社会稳定</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44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60"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545" w:hRule="atLeast"/>
        </w:trPr>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促进文明建设</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r>
        <w:tblPrEx>
          <w:tblCellMar>
            <w:top w:w="0" w:type="dxa"/>
            <w:left w:w="108" w:type="dxa"/>
            <w:bottom w:w="0" w:type="dxa"/>
            <w:right w:w="108" w:type="dxa"/>
          </w:tblCellMar>
        </w:tblPrEx>
        <w:trPr>
          <w:trHeight w:val="465" w:hRule="atLeast"/>
        </w:trPr>
        <w:tc>
          <w:tcPr>
            <w:tcW w:w="11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9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306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≧95优</w:t>
            </w:r>
          </w:p>
        </w:tc>
        <w:tc>
          <w:tcPr>
            <w:tcW w:w="4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根据县委县政府有关文件要求</w:t>
            </w:r>
          </w:p>
        </w:tc>
      </w:tr>
    </w:tbl>
    <w:p>
      <w:pPr>
        <w:numPr>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4.中文域名工作经费绩效目标表</w:t>
      </w:r>
    </w:p>
    <w:tbl>
      <w:tblPr>
        <w:tblStyle w:val="8"/>
        <w:tblW w:w="13558" w:type="dxa"/>
        <w:tblInd w:w="93" w:type="dxa"/>
        <w:tblLayout w:type="fixed"/>
        <w:tblCellMar>
          <w:top w:w="0" w:type="dxa"/>
          <w:left w:w="108" w:type="dxa"/>
          <w:bottom w:w="0" w:type="dxa"/>
          <w:right w:w="108" w:type="dxa"/>
        </w:tblCellMar>
      </w:tblPr>
      <w:tblGrid>
        <w:gridCol w:w="1183"/>
        <w:gridCol w:w="1860"/>
        <w:gridCol w:w="2805"/>
        <w:gridCol w:w="1515"/>
        <w:gridCol w:w="1200"/>
        <w:gridCol w:w="135"/>
        <w:gridCol w:w="1770"/>
        <w:gridCol w:w="3090"/>
      </w:tblGrid>
      <w:tr>
        <w:tblPrEx>
          <w:tblCellMar>
            <w:top w:w="0" w:type="dxa"/>
            <w:left w:w="108" w:type="dxa"/>
            <w:bottom w:w="0" w:type="dxa"/>
            <w:right w:w="108" w:type="dxa"/>
          </w:tblCellMar>
        </w:tblPrEx>
        <w:trPr>
          <w:trHeight w:val="270" w:hRule="atLeast"/>
        </w:trPr>
        <w:tc>
          <w:tcPr>
            <w:tcW w:w="13558" w:type="dxa"/>
            <w:gridSpan w:val="8"/>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225001中共宁晋县委机构编制委员会办公室本级                              单位：万元</w:t>
            </w:r>
          </w:p>
        </w:tc>
      </w:tr>
      <w:tr>
        <w:tblPrEx>
          <w:tblCellMar>
            <w:top w:w="0" w:type="dxa"/>
            <w:left w:w="108" w:type="dxa"/>
            <w:bottom w:w="0" w:type="dxa"/>
            <w:right w:w="108" w:type="dxa"/>
          </w:tblCellMar>
        </w:tblPrEx>
        <w:trPr>
          <w:trHeight w:val="500" w:hRule="atLeast"/>
        </w:trPr>
        <w:tc>
          <w:tcPr>
            <w:tcW w:w="11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466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13052821K8EN3MM6ZHRER</w:t>
            </w:r>
          </w:p>
        </w:tc>
        <w:tc>
          <w:tcPr>
            <w:tcW w:w="15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6195"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中文域名工作经费</w:t>
            </w:r>
          </w:p>
        </w:tc>
      </w:tr>
      <w:tr>
        <w:tblPrEx>
          <w:tblCellMar>
            <w:top w:w="0" w:type="dxa"/>
            <w:left w:w="108" w:type="dxa"/>
            <w:bottom w:w="0" w:type="dxa"/>
            <w:right w:w="108" w:type="dxa"/>
          </w:tblCellMar>
        </w:tblPrEx>
        <w:trPr>
          <w:trHeight w:val="360"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w:t>
            </w:r>
          </w:p>
        </w:tc>
        <w:tc>
          <w:tcPr>
            <w:tcW w:w="15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33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w:t>
            </w:r>
          </w:p>
        </w:tc>
        <w:tc>
          <w:tcPr>
            <w:tcW w:w="177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72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375" w:type="dxa"/>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正确认识网上名称管理工作的重要意义，切实将网上名称管理工作作为一项综合性管理工作抓紧、抓好，做好中文域名注册、网站挂标等工作，争取中文域名注册完成达到100%。</w:t>
            </w:r>
          </w:p>
        </w:tc>
      </w:tr>
      <w:tr>
        <w:tblPrEx>
          <w:tblCellMar>
            <w:top w:w="0" w:type="dxa"/>
            <w:left w:w="108" w:type="dxa"/>
            <w:bottom w:w="0" w:type="dxa"/>
            <w:right w:w="108" w:type="dxa"/>
          </w:tblCellMar>
        </w:tblPrEx>
        <w:trPr>
          <w:trHeight w:val="340"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466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5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4995"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4665"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1515"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4995"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CellMar>
            <w:top w:w="0" w:type="dxa"/>
            <w:left w:w="108" w:type="dxa"/>
            <w:bottom w:w="0" w:type="dxa"/>
            <w:right w:w="108" w:type="dxa"/>
          </w:tblCellMar>
        </w:tblPrEx>
        <w:trPr>
          <w:trHeight w:val="1560" w:hRule="atLeast"/>
        </w:trPr>
        <w:tc>
          <w:tcPr>
            <w:tcW w:w="11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375" w:type="dxa"/>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1.正确认识网上名称管理工作的重要意义，切实将网上名称管理工作作为一项综合性管理工作抓紧、抓好，做好中文域名注册、网站挂标等工作，争取中文域名注册完成达到100%。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2.开展机构编制实名制及人员编制使用情况核准，机构编制执行情况跟踪评估和监督检查工作；指导全县党政群机关、事业单位和其他非营利性单位网上名称管理工作。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3.做好中文域名注册、网站挂标等工作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4.充分认识网上名称管理工作的重要意义</w:t>
            </w:r>
          </w:p>
        </w:tc>
      </w:tr>
      <w:tr>
        <w:tblPrEx>
          <w:tblCellMar>
            <w:top w:w="0" w:type="dxa"/>
            <w:left w:w="108" w:type="dxa"/>
            <w:bottom w:w="0" w:type="dxa"/>
            <w:right w:w="108" w:type="dxa"/>
          </w:tblCellMar>
        </w:tblPrEx>
        <w:trPr>
          <w:trHeight w:val="270" w:hRule="atLeast"/>
        </w:trPr>
        <w:tc>
          <w:tcPr>
            <w:tcW w:w="11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86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71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355"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加大网上名称管理宣传力度</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实现全覆盖工作目标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领会中央编办域名管理中心提出</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网上挂标率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任务完成的及时性</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网站挂标的时效性</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r>
        <w:tblPrEx>
          <w:tblCellMar>
            <w:top w:w="0" w:type="dxa"/>
            <w:left w:w="108" w:type="dxa"/>
            <w:bottom w:w="0" w:type="dxa"/>
            <w:right w:w="108" w:type="dxa"/>
          </w:tblCellMar>
        </w:tblPrEx>
        <w:trPr>
          <w:trHeight w:val="43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项目预算控制数</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列入了财政预算</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35" w:hRule="atLeast"/>
        </w:trPr>
        <w:tc>
          <w:tcPr>
            <w:tcW w:w="118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网上挂标率</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网上挂标率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全县覆盖率</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全县覆盖率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r>
        <w:tblPrEx>
          <w:tblCellMar>
            <w:top w:w="0" w:type="dxa"/>
            <w:left w:w="108" w:type="dxa"/>
            <w:bottom w:w="0" w:type="dxa"/>
            <w:right w:w="108" w:type="dxa"/>
          </w:tblCellMar>
        </w:tblPrEx>
        <w:trPr>
          <w:trHeight w:val="430"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受益总人数</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受益总人数</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45" w:hRule="atLeast"/>
        </w:trPr>
        <w:tc>
          <w:tcPr>
            <w:tcW w:w="118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实现全覆盖工作目标</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所有单位都要进行网站挂标</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510" w:hRule="atLeast"/>
        </w:trPr>
        <w:tc>
          <w:tcPr>
            <w:tcW w:w="11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8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27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对网站挂标的满意程度</w:t>
            </w:r>
          </w:p>
        </w:tc>
        <w:tc>
          <w:tcPr>
            <w:tcW w:w="190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邢机编办[2015]16号</w:t>
            </w:r>
          </w:p>
        </w:tc>
      </w:tr>
    </w:tbl>
    <w:p>
      <w:pPr>
        <w:numPr>
          <w:ilvl w:val="0"/>
          <w:numId w:val="0"/>
        </w:numPr>
        <w:jc w:val="both"/>
        <w:rPr>
          <w:rFonts w:hint="default" w:ascii="仿宋_GB2312" w:hAnsi="仿宋_GB2312" w:eastAsia="仿宋_GB2312" w:cs="仿宋_GB2312"/>
          <w:b/>
          <w:bCs/>
          <w:sz w:val="32"/>
          <w:szCs w:val="32"/>
          <w:lang w:val="en-US" w:eastAsia="zh-CN"/>
        </w:rPr>
      </w:pPr>
    </w:p>
    <w:p>
      <w:pPr>
        <w:numPr>
          <w:ilvl w:val="0"/>
          <w:numId w:val="0"/>
        </w:numPr>
        <w:jc w:val="both"/>
        <w:rPr>
          <w:rFonts w:hint="default" w:ascii="仿宋_GB2312" w:hAnsi="仿宋_GB2312" w:eastAsia="仿宋_GB2312" w:cs="仿宋_GB2312"/>
          <w:b/>
          <w:bCs/>
          <w:sz w:val="32"/>
          <w:szCs w:val="32"/>
          <w:lang w:val="en-US" w:eastAsia="zh-CN"/>
        </w:rPr>
      </w:pPr>
    </w:p>
    <w:p>
      <w:pPr>
        <w:numPr>
          <w:numId w:val="0"/>
        </w:numPr>
        <w:ind w:firstLine="643" w:firstLineChars="200"/>
        <w:jc w:val="both"/>
        <w:rPr>
          <w:rFonts w:hint="eastAsia" w:ascii="仿宋_GB2312" w:hAnsi="仿宋_GB2312" w:eastAsia="仿宋_GB2312" w:cs="仿宋_GB2312"/>
          <w:b/>
          <w:bCs/>
          <w:sz w:val="32"/>
          <w:szCs w:val="32"/>
          <w:lang w:val="en-US" w:eastAsia="zh-CN"/>
        </w:rPr>
      </w:pPr>
      <w:bookmarkStart w:id="19" w:name="_GoBack"/>
      <w:bookmarkEnd w:id="19"/>
      <w:r>
        <w:rPr>
          <w:rFonts w:hint="eastAsia" w:ascii="仿宋_GB2312" w:hAnsi="仿宋_GB2312" w:eastAsia="仿宋_GB2312" w:cs="仿宋_GB2312"/>
          <w:b/>
          <w:bCs/>
          <w:sz w:val="32"/>
          <w:szCs w:val="32"/>
          <w:lang w:val="en-US" w:eastAsia="zh-CN"/>
        </w:rPr>
        <w:t>5.机构改革工作经费绩效目标表</w:t>
      </w:r>
    </w:p>
    <w:tbl>
      <w:tblPr>
        <w:tblStyle w:val="8"/>
        <w:tblW w:w="14053" w:type="dxa"/>
        <w:tblInd w:w="93" w:type="dxa"/>
        <w:tblLayout w:type="fixed"/>
        <w:tblCellMar>
          <w:top w:w="0" w:type="dxa"/>
          <w:left w:w="108" w:type="dxa"/>
          <w:bottom w:w="0" w:type="dxa"/>
          <w:right w:w="108" w:type="dxa"/>
        </w:tblCellMar>
      </w:tblPr>
      <w:tblGrid>
        <w:gridCol w:w="1198"/>
        <w:gridCol w:w="1695"/>
        <w:gridCol w:w="2190"/>
        <w:gridCol w:w="1530"/>
        <w:gridCol w:w="900"/>
        <w:gridCol w:w="2265"/>
        <w:gridCol w:w="4275"/>
      </w:tblGrid>
      <w:tr>
        <w:tblPrEx>
          <w:tblCellMar>
            <w:top w:w="0" w:type="dxa"/>
            <w:left w:w="108" w:type="dxa"/>
            <w:bottom w:w="0" w:type="dxa"/>
            <w:right w:w="108" w:type="dxa"/>
          </w:tblCellMar>
        </w:tblPrEx>
        <w:trPr>
          <w:trHeight w:val="270" w:hRule="atLeast"/>
        </w:trPr>
        <w:tc>
          <w:tcPr>
            <w:tcW w:w="1405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225001中共宁晋县委机构编制委员会办公室本级                              单位：万元</w:t>
            </w:r>
          </w:p>
        </w:tc>
      </w:tr>
      <w:tr>
        <w:tblPrEx>
          <w:tblCellMar>
            <w:top w:w="0" w:type="dxa"/>
            <w:left w:w="108" w:type="dxa"/>
            <w:bottom w:w="0" w:type="dxa"/>
            <w:right w:w="108" w:type="dxa"/>
          </w:tblCellMar>
        </w:tblPrEx>
        <w:trPr>
          <w:trHeight w:val="500" w:hRule="atLeast"/>
        </w:trPr>
        <w:tc>
          <w:tcPr>
            <w:tcW w:w="119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388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13052821QV1XCMK80PSO7</w:t>
            </w:r>
          </w:p>
        </w:tc>
        <w:tc>
          <w:tcPr>
            <w:tcW w:w="15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744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机构改革工作经费</w:t>
            </w:r>
          </w:p>
        </w:tc>
      </w:tr>
      <w:tr>
        <w:tblPrEx>
          <w:tblCellMar>
            <w:top w:w="0" w:type="dxa"/>
            <w:left w:w="108" w:type="dxa"/>
            <w:bottom w:w="0" w:type="dxa"/>
            <w:right w:w="108" w:type="dxa"/>
          </w:tblCellMar>
        </w:tblPrEx>
        <w:trPr>
          <w:trHeight w:val="36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15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72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285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事业单位改革印刷费4万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办公费（电脑耗材、办公用品）1万</w:t>
            </w:r>
          </w:p>
        </w:tc>
      </w:tr>
      <w:tr>
        <w:tblPrEx>
          <w:tblCellMar>
            <w:top w:w="0" w:type="dxa"/>
            <w:left w:w="108" w:type="dxa"/>
            <w:bottom w:w="0" w:type="dxa"/>
            <w:right w:w="108" w:type="dxa"/>
          </w:tblCellMar>
        </w:tblPrEx>
        <w:trPr>
          <w:trHeight w:val="34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388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9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654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388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9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654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325" w:hRule="atLeast"/>
        </w:trPr>
        <w:tc>
          <w:tcPr>
            <w:tcW w:w="119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285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1.切实增强“四个意识”、坚定“四个自信”、做到“两个维护”，充分运用党和国家机构改革的重要理论成果、实践成果、创新思路和举措。</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2.加快推进政事分开、事企分开、管办分离。优化布局结构，完善制度机制，强化公益属性，提高治理效能，促进新时代公益事业平衡充分高质量发展。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3.积极稳妥推进事业单位改革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4.改革事业单位机构设置和职能配置，理顺职责关系</w:t>
            </w:r>
          </w:p>
        </w:tc>
      </w:tr>
      <w:tr>
        <w:tblPrEx>
          <w:tblCellMar>
            <w:top w:w="0" w:type="dxa"/>
            <w:left w:w="108" w:type="dxa"/>
            <w:bottom w:w="0" w:type="dxa"/>
            <w:right w:w="108" w:type="dxa"/>
          </w:tblCellMar>
        </w:tblPrEx>
        <w:trPr>
          <w:trHeight w:val="270" w:hRule="atLeast"/>
        </w:trPr>
        <w:tc>
          <w:tcPr>
            <w:tcW w:w="119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243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50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事业单位改革发展和履行职责</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整合、脱钩、转企、转型</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46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机构设置和职能配置</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建立政事权限清单</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0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服务更高效</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理顺政事管办关系</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385"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按期完成率</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优化布局结构</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00" w:hRule="atLeast"/>
        </w:trPr>
        <w:tc>
          <w:tcPr>
            <w:tcW w:w="119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系统优化</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理清职责边界</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50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权责关系协同</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科学设置内设机构</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501"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保障社会发展</w:t>
            </w:r>
          </w:p>
        </w:tc>
        <w:tc>
          <w:tcPr>
            <w:tcW w:w="243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不再设立承担行政职能的事业单位</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70" w:hRule="atLeast"/>
        </w:trPr>
        <w:tc>
          <w:tcPr>
            <w:tcW w:w="119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稳步扎实推进</w:t>
            </w:r>
          </w:p>
        </w:tc>
        <w:tc>
          <w:tcPr>
            <w:tcW w:w="243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继续完善财政政策支持</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r>
        <w:tblPrEx>
          <w:tblCellMar>
            <w:top w:w="0" w:type="dxa"/>
            <w:left w:w="108" w:type="dxa"/>
            <w:bottom w:w="0" w:type="dxa"/>
            <w:right w:w="108" w:type="dxa"/>
          </w:tblCellMar>
        </w:tblPrEx>
        <w:trPr>
          <w:trHeight w:val="525" w:hRule="atLeast"/>
        </w:trPr>
        <w:tc>
          <w:tcPr>
            <w:tcW w:w="119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1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服务对象满意程度</w:t>
            </w:r>
          </w:p>
        </w:tc>
        <w:tc>
          <w:tcPr>
            <w:tcW w:w="243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对机构改革和事业单位改革的满意程度</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42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中办发[2020]13号</w:t>
            </w:r>
          </w:p>
        </w:tc>
      </w:tr>
    </w:tbl>
    <w:p>
      <w:pPr>
        <w:numPr>
          <w:ilvl w:val="0"/>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i w:val="0"/>
          <w:iCs w:val="0"/>
          <w:color w:val="000000"/>
          <w:kern w:val="0"/>
          <w:sz w:val="32"/>
          <w:szCs w:val="32"/>
          <w:u w:val="none"/>
          <w:lang w:val="en-US" w:eastAsia="zh-CN" w:bidi="ar"/>
        </w:rPr>
        <w:t>机构编制标准化管理工作经费绩效目标表</w:t>
      </w:r>
    </w:p>
    <w:tbl>
      <w:tblPr>
        <w:tblStyle w:val="8"/>
        <w:tblW w:w="14503" w:type="dxa"/>
        <w:tblInd w:w="93" w:type="dxa"/>
        <w:tblLayout w:type="fixed"/>
        <w:tblCellMar>
          <w:top w:w="0" w:type="dxa"/>
          <w:left w:w="108" w:type="dxa"/>
          <w:bottom w:w="0" w:type="dxa"/>
          <w:right w:w="108" w:type="dxa"/>
        </w:tblCellMar>
      </w:tblPr>
      <w:tblGrid>
        <w:gridCol w:w="1363"/>
        <w:gridCol w:w="2265"/>
        <w:gridCol w:w="3060"/>
        <w:gridCol w:w="1890"/>
        <w:gridCol w:w="1710"/>
        <w:gridCol w:w="1695"/>
        <w:gridCol w:w="2520"/>
      </w:tblGrid>
      <w:tr>
        <w:tblPrEx>
          <w:tblCellMar>
            <w:top w:w="0" w:type="dxa"/>
            <w:left w:w="108" w:type="dxa"/>
            <w:bottom w:w="0" w:type="dxa"/>
            <w:right w:w="108" w:type="dxa"/>
          </w:tblCellMar>
        </w:tblPrEx>
        <w:trPr>
          <w:trHeight w:val="270" w:hRule="atLeast"/>
        </w:trPr>
        <w:tc>
          <w:tcPr>
            <w:tcW w:w="14503" w:type="dxa"/>
            <w:gridSpan w:val="7"/>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225001中共宁晋县委机构编制委员会办公室本级                              单位：万元</w:t>
            </w:r>
          </w:p>
        </w:tc>
      </w:tr>
      <w:tr>
        <w:tblPrEx>
          <w:tblCellMar>
            <w:top w:w="0" w:type="dxa"/>
            <w:left w:w="108" w:type="dxa"/>
            <w:bottom w:w="0" w:type="dxa"/>
            <w:right w:w="108" w:type="dxa"/>
          </w:tblCellMar>
        </w:tblPrEx>
        <w:trPr>
          <w:trHeight w:val="415" w:hRule="atLeast"/>
        </w:trPr>
        <w:tc>
          <w:tcPr>
            <w:tcW w:w="136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项目编码</w:t>
            </w:r>
          </w:p>
        </w:tc>
        <w:tc>
          <w:tcPr>
            <w:tcW w:w="532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13052821YPGK2117CK6MU</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项目名称</w:t>
            </w:r>
          </w:p>
        </w:tc>
        <w:tc>
          <w:tcPr>
            <w:tcW w:w="592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机构编制标准化管理工作经费</w:t>
            </w:r>
          </w:p>
        </w:tc>
      </w:tr>
      <w:tr>
        <w:tblPrEx>
          <w:tblCellMar>
            <w:top w:w="0" w:type="dxa"/>
            <w:left w:w="108" w:type="dxa"/>
            <w:bottom w:w="0" w:type="dxa"/>
            <w:right w:w="108" w:type="dxa"/>
          </w:tblCellMar>
        </w:tblPrEx>
        <w:trPr>
          <w:trHeight w:val="360"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预算规模及资金用途</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预算数</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其中：财政资金</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其他资金</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CellMar>
            <w:top w:w="0" w:type="dxa"/>
            <w:left w:w="108" w:type="dxa"/>
            <w:bottom w:w="0" w:type="dxa"/>
            <w:right w:w="108" w:type="dxa"/>
          </w:tblCellMar>
        </w:tblPrEx>
        <w:trPr>
          <w:trHeight w:val="72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13140"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全面推行实名制管理和编制使用的核准制度，进一步强化机构编制工作的主动性、前瞻性。按照既管住编制，又盘活资源，用好资源的总体要求，积极作为，探索更好服务全县经济发展的思路和举措。</w:t>
            </w:r>
          </w:p>
        </w:tc>
      </w:tr>
      <w:tr>
        <w:tblPrEx>
          <w:tblCellMar>
            <w:top w:w="0" w:type="dxa"/>
            <w:left w:w="108" w:type="dxa"/>
            <w:bottom w:w="0" w:type="dxa"/>
            <w:right w:w="108" w:type="dxa"/>
          </w:tblCellMar>
        </w:tblPrEx>
        <w:trPr>
          <w:trHeight w:val="340"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资金支出计划（%）</w:t>
            </w:r>
          </w:p>
        </w:tc>
        <w:tc>
          <w:tcPr>
            <w:tcW w:w="53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3月底</w:t>
            </w:r>
          </w:p>
        </w:tc>
        <w:tc>
          <w:tcPr>
            <w:tcW w:w="18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6月底</w:t>
            </w:r>
          </w:p>
        </w:tc>
        <w:tc>
          <w:tcPr>
            <w:tcW w:w="171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10月底</w:t>
            </w: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12月底</w:t>
            </w:r>
          </w:p>
        </w:tc>
      </w:tr>
      <w:tr>
        <w:tblPrEx>
          <w:tblCellMar>
            <w:top w:w="0" w:type="dxa"/>
            <w:left w:w="108" w:type="dxa"/>
            <w:bottom w:w="0" w:type="dxa"/>
            <w:right w:w="108" w:type="dxa"/>
          </w:tblCellMar>
        </w:tblPrEx>
        <w:trPr>
          <w:trHeight w:val="32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532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8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171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421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108" w:type="dxa"/>
            <w:bottom w:w="0" w:type="dxa"/>
            <w:right w:w="108" w:type="dxa"/>
          </w:tblCellMar>
        </w:tblPrEx>
        <w:trPr>
          <w:trHeight w:val="1430" w:hRule="atLeast"/>
        </w:trPr>
        <w:tc>
          <w:tcPr>
            <w:tcW w:w="136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140"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1.全面推行实名制管理和编制使用的核准制度，进一步强化机构编制工作的主动性、前瞻性。按照既管住编制，又盘活资源，用好资源的总体要求，积极作为，探索更好服务全县经济发展的思路和举措。</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2.加强机构编制标准化管理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3.全面推行实名制管理和编制使用的核准制度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4.认真负责，确保数据的真实性和准确性</w:t>
            </w:r>
          </w:p>
        </w:tc>
      </w:tr>
      <w:tr>
        <w:tblPrEx>
          <w:tblCellMar>
            <w:top w:w="0" w:type="dxa"/>
            <w:left w:w="108" w:type="dxa"/>
            <w:bottom w:w="0" w:type="dxa"/>
            <w:right w:w="108" w:type="dxa"/>
          </w:tblCellMar>
        </w:tblPrEx>
        <w:trPr>
          <w:trHeight w:val="270" w:hRule="atLeast"/>
        </w:trPr>
        <w:tc>
          <w:tcPr>
            <w:tcW w:w="136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226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6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指标确定依据</w:t>
            </w:r>
          </w:p>
        </w:tc>
      </w:tr>
      <w:tr>
        <w:tblPrEx>
          <w:tblCellMar>
            <w:top w:w="0" w:type="dxa"/>
            <w:left w:w="108" w:type="dxa"/>
            <w:bottom w:w="0" w:type="dxa"/>
            <w:right w:w="108" w:type="dxa"/>
          </w:tblCellMar>
        </w:tblPrEx>
        <w:trPr>
          <w:trHeight w:val="545"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全面推行实名制管理和编制使用</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机构编制实名制管理推行率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4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为机构编制管理工作提供数据支持</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机构编制实名制推行率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48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统计上报工作完成率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0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成本控制</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杜绝人为的编造</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530" w:hRule="atLeast"/>
        </w:trPr>
        <w:tc>
          <w:tcPr>
            <w:tcW w:w="136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机构编制实名制的推行率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推行率和使用率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4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提供数据支撑准确率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准确率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15"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统计上报工作完成率</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r>
        <w:tblPrEx>
          <w:tblCellMar>
            <w:top w:w="0" w:type="dxa"/>
            <w:left w:w="108" w:type="dxa"/>
            <w:bottom w:w="0" w:type="dxa"/>
            <w:right w:w="108" w:type="dxa"/>
          </w:tblCellMar>
        </w:tblPrEx>
        <w:trPr>
          <w:trHeight w:val="500" w:hRule="atLeast"/>
        </w:trPr>
        <w:tc>
          <w:tcPr>
            <w:tcW w:w="136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bCs/>
                <w:i w:val="0"/>
                <w:iCs w:val="0"/>
                <w:color w:val="000000"/>
                <w:sz w:val="18"/>
                <w:szCs w:val="18"/>
                <w:u w:val="none"/>
              </w:rPr>
            </w:pP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提高工作积极性</w:t>
            </w:r>
          </w:p>
        </w:tc>
        <w:tc>
          <w:tcPr>
            <w:tcW w:w="36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提高职工工作积极性</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部门职责</w:t>
            </w:r>
          </w:p>
        </w:tc>
      </w:tr>
      <w:tr>
        <w:tblPrEx>
          <w:tblCellMar>
            <w:top w:w="0" w:type="dxa"/>
            <w:left w:w="108" w:type="dxa"/>
            <w:bottom w:w="0" w:type="dxa"/>
            <w:right w:w="108" w:type="dxa"/>
          </w:tblCellMar>
        </w:tblPrEx>
        <w:trPr>
          <w:trHeight w:val="495" w:hRule="atLeast"/>
        </w:trPr>
        <w:tc>
          <w:tcPr>
            <w:tcW w:w="13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226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306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36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接受编制办理的满意程度</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≧100百分比</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邢机编[2015]43号</w:t>
            </w:r>
          </w:p>
        </w:tc>
      </w:tr>
    </w:tbl>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年，中共宁晋县委机构编制委员会办公室本级安排政府采购预算0.00万元。具体内容见下表。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225001中共宁晋县委机构编制委员会办公室本级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w:t>
            </w:r>
            <w:r>
              <w:rPr>
                <w:rFonts w:hint="eastAsia"/>
                <w:lang w:val="en-US"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中共宁晋县委机构编制委员会办公室本级上年末固定资产金额为</w:t>
      </w:r>
      <w:r>
        <w:rPr>
          <w:rFonts w:hint="eastAsia" w:eastAsia="方正仿宋_GBK" w:cs="Times New Roman"/>
          <w:b w:val="0"/>
          <w:color w:val="000000"/>
          <w:sz w:val="28"/>
          <w:lang w:val="en-US" w:eastAsia="zh-CN"/>
        </w:rPr>
        <w:t>4.59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4"/>
            </w:pPr>
            <w:r>
              <w:t>225001中共宁晋县委机构编制委员会办公室本级</w:t>
            </w:r>
          </w:p>
        </w:tc>
        <w:tc>
          <w:tcPr>
            <w:tcW w:w="9866" w:type="dxa"/>
            <w:gridSpan w:val="2"/>
            <w:tcBorders>
              <w:top w:val="single" w:color="FFFFFF" w:sz="6" w:space="0"/>
              <w:left w:val="single" w:color="FFFFFF" w:sz="6" w:space="0"/>
              <w:right w:val="single" w:color="FFFFFF" w:sz="6" w:space="0"/>
            </w:tcBorders>
            <w:vAlign w:val="center"/>
          </w:tcPr>
          <w:p>
            <w:pPr>
              <w:pStyle w:val="12"/>
            </w:pPr>
            <w:r>
              <w:t>截止时间：202</w:t>
            </w:r>
            <w:r>
              <w:rPr>
                <w:rFonts w:hint="eastAsia"/>
                <w:lang w:val="en-US" w:eastAsia="zh-CN"/>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5"/>
            </w:pPr>
            <w:r>
              <w:t>项   目</w:t>
            </w:r>
          </w:p>
        </w:tc>
        <w:tc>
          <w:tcPr>
            <w:tcW w:w="4933" w:type="dxa"/>
            <w:vAlign w:val="center"/>
          </w:tcPr>
          <w:p>
            <w:pPr>
              <w:pStyle w:val="15"/>
            </w:pPr>
            <w:r>
              <w:t>数量</w:t>
            </w:r>
          </w:p>
        </w:tc>
        <w:tc>
          <w:tcPr>
            <w:tcW w:w="4933"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ind w:firstLine="0" w:firstLineChars="0"/>
              <w:jc w:val="left"/>
            </w:pPr>
            <w:r>
              <w:rPr>
                <w:rFonts w:hint="eastAsia"/>
                <w:lang w:val="en-US" w:eastAsia="zh-CN"/>
              </w:rPr>
              <w:t>1.通用电子设备（台）</w:t>
            </w:r>
          </w:p>
        </w:tc>
        <w:tc>
          <w:tcPr>
            <w:tcW w:w="4933" w:type="dxa"/>
            <w:vAlign w:val="center"/>
          </w:tcPr>
          <w:p>
            <w:pPr>
              <w:pStyle w:val="18"/>
              <w:ind w:firstLine="0" w:firstLineChars="0"/>
            </w:pPr>
            <w:r>
              <w:rPr>
                <w:rFonts w:hint="eastAsia"/>
                <w:lang w:val="en-US" w:eastAsia="zh-CN"/>
              </w:rPr>
              <w:t>13</w:t>
            </w:r>
          </w:p>
        </w:tc>
        <w:tc>
          <w:tcPr>
            <w:tcW w:w="4933" w:type="dxa"/>
            <w:vAlign w:val="center"/>
          </w:tcPr>
          <w:p>
            <w:pPr>
              <w:pStyle w:val="16"/>
              <w:ind w:firstLine="0" w:firstLineChars="0"/>
              <w:jc w:val="center"/>
              <w:rPr>
                <w:rFonts w:hint="default" w:eastAsia="方正书宋_GBK"/>
                <w:lang w:val="en-US" w:eastAsia="zh-CN"/>
              </w:rPr>
            </w:pPr>
            <w:r>
              <w:rPr>
                <w:rFonts w:hint="eastAsia"/>
                <w:lang w:val="en-US" w:eastAsia="zh-CN"/>
              </w:rP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7"/>
              <w:ind w:firstLine="0" w:firstLineChars="0"/>
              <w:jc w:val="left"/>
            </w:pPr>
            <w:r>
              <w:rPr>
                <w:rFonts w:hint="eastAsia"/>
                <w:lang w:val="en-US" w:eastAsia="zh-CN"/>
              </w:rPr>
              <w:t>2.家具用品（张）</w:t>
            </w:r>
          </w:p>
        </w:tc>
        <w:tc>
          <w:tcPr>
            <w:tcW w:w="4933" w:type="dxa"/>
            <w:vAlign w:val="center"/>
          </w:tcPr>
          <w:p>
            <w:pPr>
              <w:pStyle w:val="18"/>
              <w:ind w:firstLine="0" w:firstLineChars="0"/>
            </w:pPr>
            <w:r>
              <w:rPr>
                <w:rFonts w:hint="eastAsia"/>
                <w:lang w:val="en-US" w:eastAsia="zh-CN"/>
              </w:rPr>
              <w:t>8</w:t>
            </w:r>
          </w:p>
        </w:tc>
        <w:tc>
          <w:tcPr>
            <w:tcW w:w="4933" w:type="dxa"/>
            <w:vAlign w:val="center"/>
          </w:tcPr>
          <w:p>
            <w:pPr>
              <w:pStyle w:val="16"/>
              <w:ind w:firstLine="0" w:firstLineChars="0"/>
              <w:jc w:val="center"/>
              <w:rPr>
                <w:rFonts w:hint="default"/>
                <w:lang w:val="en-US"/>
              </w:rPr>
            </w:pPr>
            <w:r>
              <w:rPr>
                <w:rFonts w:hint="eastAsia"/>
                <w:lang w:val="en-US" w:eastAsia="zh-CN"/>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ind w:firstLine="0" w:firstLineChars="0"/>
              <w:jc w:val="center"/>
            </w:pPr>
            <w:r>
              <w:rPr>
                <w:rFonts w:hint="eastAsia"/>
                <w:lang w:eastAsia="zh-CN"/>
              </w:rPr>
              <w:t>固定资产金额</w:t>
            </w:r>
          </w:p>
        </w:tc>
        <w:tc>
          <w:tcPr>
            <w:tcW w:w="4933" w:type="dxa"/>
            <w:vAlign w:val="center"/>
          </w:tcPr>
          <w:p>
            <w:pPr>
              <w:pStyle w:val="18"/>
              <w:ind w:firstLine="0" w:firstLineChars="0"/>
            </w:pPr>
          </w:p>
        </w:tc>
        <w:tc>
          <w:tcPr>
            <w:tcW w:w="4933" w:type="dxa"/>
            <w:vAlign w:val="center"/>
          </w:tcPr>
          <w:p>
            <w:pPr>
              <w:pStyle w:val="16"/>
              <w:ind w:firstLine="0" w:firstLineChars="0"/>
              <w:jc w:val="center"/>
              <w:rPr>
                <w:rFonts w:hint="default" w:eastAsia="方正书宋_GBK"/>
                <w:lang w:val="en-US" w:eastAsia="zh-CN"/>
              </w:rPr>
            </w:pPr>
            <w:r>
              <w:rPr>
                <w:rFonts w:hint="eastAsia"/>
                <w:lang w:val="en-US" w:eastAsia="zh-CN"/>
              </w:rPr>
              <w:t>4.59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Calibri Light">
    <w:panose1 w:val="020F0302020204030204"/>
    <w:charset w:val="00"/>
    <w:family w:val="auto"/>
    <w:pitch w:val="default"/>
    <w:sig w:usb0="A00002EF" w:usb1="4000207B" w:usb2="00000000"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FZFSK--GBK1-0">
    <w:altName w:val="黑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6A0DE7"/>
    <w:multiLevelType w:val="singleLevel"/>
    <w:tmpl w:val="BB6A0DE7"/>
    <w:lvl w:ilvl="0" w:tentative="0">
      <w:start w:val="1"/>
      <w:numFmt w:val="decimal"/>
      <w:lvlText w:val="%1."/>
      <w:lvlJc w:val="left"/>
      <w:pPr>
        <w:tabs>
          <w:tab w:val="left" w:pos="312"/>
        </w:tabs>
      </w:pPr>
    </w:lvl>
  </w:abstractNum>
  <w:abstractNum w:abstractNumId="1">
    <w:nsid w:val="E8071AF7"/>
    <w:multiLevelType w:val="singleLevel"/>
    <w:tmpl w:val="E8071AF7"/>
    <w:lvl w:ilvl="0" w:tentative="0">
      <w:start w:val="4"/>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iZDFhZGIwMjRiZDA3ZWE0MzliMTQwMWNjMWI0MTcifQ=="/>
  </w:docVars>
  <w:rsids>
    <w:rsidRoot w:val="00000000"/>
    <w:rsid w:val="00040E6E"/>
    <w:rsid w:val="003357D8"/>
    <w:rsid w:val="004C3D27"/>
    <w:rsid w:val="00643BE3"/>
    <w:rsid w:val="007F5255"/>
    <w:rsid w:val="00931656"/>
    <w:rsid w:val="009A5BA8"/>
    <w:rsid w:val="00A10993"/>
    <w:rsid w:val="00B92BAA"/>
    <w:rsid w:val="00C75CC1"/>
    <w:rsid w:val="00E92866"/>
    <w:rsid w:val="00F205CE"/>
    <w:rsid w:val="0103164E"/>
    <w:rsid w:val="010827C0"/>
    <w:rsid w:val="010D3EFE"/>
    <w:rsid w:val="010D66B0"/>
    <w:rsid w:val="013730A5"/>
    <w:rsid w:val="016A5229"/>
    <w:rsid w:val="01813954"/>
    <w:rsid w:val="01E35850"/>
    <w:rsid w:val="022C6982"/>
    <w:rsid w:val="023375B6"/>
    <w:rsid w:val="02403C86"/>
    <w:rsid w:val="025832D3"/>
    <w:rsid w:val="02637EB0"/>
    <w:rsid w:val="02867E41"/>
    <w:rsid w:val="02A62291"/>
    <w:rsid w:val="02B250DA"/>
    <w:rsid w:val="02D768EE"/>
    <w:rsid w:val="02EC457B"/>
    <w:rsid w:val="02FE3F81"/>
    <w:rsid w:val="030671D3"/>
    <w:rsid w:val="03202C2D"/>
    <w:rsid w:val="034E3CB1"/>
    <w:rsid w:val="035F0179"/>
    <w:rsid w:val="03657AC5"/>
    <w:rsid w:val="03790995"/>
    <w:rsid w:val="0394658D"/>
    <w:rsid w:val="03A74C8A"/>
    <w:rsid w:val="03C7005D"/>
    <w:rsid w:val="03CE5F43"/>
    <w:rsid w:val="03DC636B"/>
    <w:rsid w:val="03EC6418"/>
    <w:rsid w:val="04125958"/>
    <w:rsid w:val="042B5143"/>
    <w:rsid w:val="04471852"/>
    <w:rsid w:val="0494610D"/>
    <w:rsid w:val="04AA5D15"/>
    <w:rsid w:val="04C11604"/>
    <w:rsid w:val="04C80BE4"/>
    <w:rsid w:val="051554AC"/>
    <w:rsid w:val="0519242A"/>
    <w:rsid w:val="051931EE"/>
    <w:rsid w:val="05294D64"/>
    <w:rsid w:val="05551D4C"/>
    <w:rsid w:val="057F7796"/>
    <w:rsid w:val="05B747B5"/>
    <w:rsid w:val="05B90B89"/>
    <w:rsid w:val="060774EA"/>
    <w:rsid w:val="0628161B"/>
    <w:rsid w:val="06433435"/>
    <w:rsid w:val="064E5741"/>
    <w:rsid w:val="065344DE"/>
    <w:rsid w:val="06747452"/>
    <w:rsid w:val="0680104B"/>
    <w:rsid w:val="069042C4"/>
    <w:rsid w:val="06C4371F"/>
    <w:rsid w:val="06DA075B"/>
    <w:rsid w:val="06EB6E0C"/>
    <w:rsid w:val="06F07F7E"/>
    <w:rsid w:val="07585F66"/>
    <w:rsid w:val="078F59E9"/>
    <w:rsid w:val="0796000D"/>
    <w:rsid w:val="07A56FBB"/>
    <w:rsid w:val="07B0770E"/>
    <w:rsid w:val="07BA04DB"/>
    <w:rsid w:val="07CA5765"/>
    <w:rsid w:val="07D83267"/>
    <w:rsid w:val="07D93108"/>
    <w:rsid w:val="07E62897"/>
    <w:rsid w:val="07EF46DA"/>
    <w:rsid w:val="081952B3"/>
    <w:rsid w:val="084C5688"/>
    <w:rsid w:val="085A5FF7"/>
    <w:rsid w:val="087F0F2D"/>
    <w:rsid w:val="08964B56"/>
    <w:rsid w:val="08BF40AC"/>
    <w:rsid w:val="08D60105"/>
    <w:rsid w:val="08D62A4E"/>
    <w:rsid w:val="08E92ED7"/>
    <w:rsid w:val="0930099F"/>
    <w:rsid w:val="09894884"/>
    <w:rsid w:val="09936181"/>
    <w:rsid w:val="09C3371E"/>
    <w:rsid w:val="09C83435"/>
    <w:rsid w:val="09D50F2E"/>
    <w:rsid w:val="09E57B43"/>
    <w:rsid w:val="0A173A74"/>
    <w:rsid w:val="0A2A2657"/>
    <w:rsid w:val="0A2A37A7"/>
    <w:rsid w:val="0A2F5665"/>
    <w:rsid w:val="0A3002E1"/>
    <w:rsid w:val="0A314B36"/>
    <w:rsid w:val="0A782765"/>
    <w:rsid w:val="0A9B5CF9"/>
    <w:rsid w:val="0A9F4195"/>
    <w:rsid w:val="0AAC1FC6"/>
    <w:rsid w:val="0AB415CF"/>
    <w:rsid w:val="0ADB7197"/>
    <w:rsid w:val="0B097861"/>
    <w:rsid w:val="0B163D2C"/>
    <w:rsid w:val="0B2E376B"/>
    <w:rsid w:val="0B916856"/>
    <w:rsid w:val="0B920297"/>
    <w:rsid w:val="0BB579E9"/>
    <w:rsid w:val="0BD065D0"/>
    <w:rsid w:val="0BDD4154"/>
    <w:rsid w:val="0BEF6A57"/>
    <w:rsid w:val="0C05627A"/>
    <w:rsid w:val="0C0B7609"/>
    <w:rsid w:val="0C4D07AA"/>
    <w:rsid w:val="0C5C3A6E"/>
    <w:rsid w:val="0C653393"/>
    <w:rsid w:val="0C832E23"/>
    <w:rsid w:val="0C917B0E"/>
    <w:rsid w:val="0C9870EE"/>
    <w:rsid w:val="0CC223BD"/>
    <w:rsid w:val="0D1D1C55"/>
    <w:rsid w:val="0D2F0593"/>
    <w:rsid w:val="0D3D37F2"/>
    <w:rsid w:val="0D8B6C53"/>
    <w:rsid w:val="0D8E10AA"/>
    <w:rsid w:val="0D9A4F5E"/>
    <w:rsid w:val="0DBF4B4E"/>
    <w:rsid w:val="0DCB52A1"/>
    <w:rsid w:val="0DF465A6"/>
    <w:rsid w:val="0E1C77D2"/>
    <w:rsid w:val="0E342E47"/>
    <w:rsid w:val="0E3E1F7C"/>
    <w:rsid w:val="0E63197E"/>
    <w:rsid w:val="0E9D049B"/>
    <w:rsid w:val="0FA609F8"/>
    <w:rsid w:val="0FBE2456"/>
    <w:rsid w:val="0FC95811"/>
    <w:rsid w:val="0FCD3553"/>
    <w:rsid w:val="0FDD12BC"/>
    <w:rsid w:val="0FDF2F6F"/>
    <w:rsid w:val="0FF442E2"/>
    <w:rsid w:val="10151DD4"/>
    <w:rsid w:val="102D1C9C"/>
    <w:rsid w:val="106D0892"/>
    <w:rsid w:val="107E484D"/>
    <w:rsid w:val="108A1444"/>
    <w:rsid w:val="108F0808"/>
    <w:rsid w:val="10974502"/>
    <w:rsid w:val="10A65B52"/>
    <w:rsid w:val="10AB142F"/>
    <w:rsid w:val="10B116A2"/>
    <w:rsid w:val="10B21081"/>
    <w:rsid w:val="10B34A9A"/>
    <w:rsid w:val="10E723F2"/>
    <w:rsid w:val="110336BE"/>
    <w:rsid w:val="11074842"/>
    <w:rsid w:val="112076B2"/>
    <w:rsid w:val="11352B54"/>
    <w:rsid w:val="11421D1E"/>
    <w:rsid w:val="114809B7"/>
    <w:rsid w:val="118E286E"/>
    <w:rsid w:val="11A93670"/>
    <w:rsid w:val="11A958FA"/>
    <w:rsid w:val="11B04526"/>
    <w:rsid w:val="11C52008"/>
    <w:rsid w:val="122B4AE8"/>
    <w:rsid w:val="12443874"/>
    <w:rsid w:val="12816876"/>
    <w:rsid w:val="12883761"/>
    <w:rsid w:val="12A367ED"/>
    <w:rsid w:val="12CE3384"/>
    <w:rsid w:val="12EA06CC"/>
    <w:rsid w:val="12EB3CF0"/>
    <w:rsid w:val="13237F17"/>
    <w:rsid w:val="1336140F"/>
    <w:rsid w:val="133D09EF"/>
    <w:rsid w:val="133E6631"/>
    <w:rsid w:val="1340228E"/>
    <w:rsid w:val="137837D5"/>
    <w:rsid w:val="138A3509"/>
    <w:rsid w:val="138D7670"/>
    <w:rsid w:val="139525D9"/>
    <w:rsid w:val="13B55464"/>
    <w:rsid w:val="13CF0260"/>
    <w:rsid w:val="13D12EE6"/>
    <w:rsid w:val="13E250F3"/>
    <w:rsid w:val="141E51F0"/>
    <w:rsid w:val="14253460"/>
    <w:rsid w:val="145048EB"/>
    <w:rsid w:val="145C6C53"/>
    <w:rsid w:val="145E3298"/>
    <w:rsid w:val="14813126"/>
    <w:rsid w:val="14B7032D"/>
    <w:rsid w:val="14DE7716"/>
    <w:rsid w:val="152D6842"/>
    <w:rsid w:val="153C087D"/>
    <w:rsid w:val="154929C8"/>
    <w:rsid w:val="1557566D"/>
    <w:rsid w:val="15712BD2"/>
    <w:rsid w:val="15AF7257"/>
    <w:rsid w:val="15C9656A"/>
    <w:rsid w:val="15EC1D0B"/>
    <w:rsid w:val="15FF5E46"/>
    <w:rsid w:val="16057435"/>
    <w:rsid w:val="16353C00"/>
    <w:rsid w:val="1658246F"/>
    <w:rsid w:val="166B13D0"/>
    <w:rsid w:val="167E55A7"/>
    <w:rsid w:val="16A6065A"/>
    <w:rsid w:val="16D01B7A"/>
    <w:rsid w:val="16E64EFA"/>
    <w:rsid w:val="1719707D"/>
    <w:rsid w:val="171F3122"/>
    <w:rsid w:val="17544559"/>
    <w:rsid w:val="177644D0"/>
    <w:rsid w:val="178444D4"/>
    <w:rsid w:val="179928DD"/>
    <w:rsid w:val="17C0574B"/>
    <w:rsid w:val="17F223E1"/>
    <w:rsid w:val="180B10BC"/>
    <w:rsid w:val="184B6186"/>
    <w:rsid w:val="185365BF"/>
    <w:rsid w:val="18AB63FB"/>
    <w:rsid w:val="18B43502"/>
    <w:rsid w:val="18CD6371"/>
    <w:rsid w:val="18D31D6A"/>
    <w:rsid w:val="18DE057F"/>
    <w:rsid w:val="18E310E7"/>
    <w:rsid w:val="18F953B8"/>
    <w:rsid w:val="19015459"/>
    <w:rsid w:val="193B293C"/>
    <w:rsid w:val="19834846"/>
    <w:rsid w:val="198509FA"/>
    <w:rsid w:val="199351C8"/>
    <w:rsid w:val="199663FA"/>
    <w:rsid w:val="199C7819"/>
    <w:rsid w:val="19BC1F42"/>
    <w:rsid w:val="19DE010A"/>
    <w:rsid w:val="19F82192"/>
    <w:rsid w:val="1A0E6C42"/>
    <w:rsid w:val="1A491AD4"/>
    <w:rsid w:val="1A502932"/>
    <w:rsid w:val="1A5A742A"/>
    <w:rsid w:val="1A845156"/>
    <w:rsid w:val="1A8C5DB8"/>
    <w:rsid w:val="1AAD0098"/>
    <w:rsid w:val="1AF23E6D"/>
    <w:rsid w:val="1AF851FC"/>
    <w:rsid w:val="1B007897"/>
    <w:rsid w:val="1B0436BF"/>
    <w:rsid w:val="1B087B35"/>
    <w:rsid w:val="1B1C70FB"/>
    <w:rsid w:val="1B2772DC"/>
    <w:rsid w:val="1B754A9E"/>
    <w:rsid w:val="1B775612"/>
    <w:rsid w:val="1B7C4315"/>
    <w:rsid w:val="1B8B6070"/>
    <w:rsid w:val="1BA23AE5"/>
    <w:rsid w:val="1BBE6445"/>
    <w:rsid w:val="1BDD6BCF"/>
    <w:rsid w:val="1BFD36C5"/>
    <w:rsid w:val="1C2F4C4D"/>
    <w:rsid w:val="1C4C57FF"/>
    <w:rsid w:val="1C6E7E6B"/>
    <w:rsid w:val="1C880C11"/>
    <w:rsid w:val="1CE57F1E"/>
    <w:rsid w:val="1CE67A02"/>
    <w:rsid w:val="1CE7377A"/>
    <w:rsid w:val="1D2247B2"/>
    <w:rsid w:val="1D570900"/>
    <w:rsid w:val="1D5D0E0B"/>
    <w:rsid w:val="1D7768AC"/>
    <w:rsid w:val="1DA10FC2"/>
    <w:rsid w:val="1DBC4FE6"/>
    <w:rsid w:val="1DBE272D"/>
    <w:rsid w:val="1DD12460"/>
    <w:rsid w:val="1E0F11DA"/>
    <w:rsid w:val="1E3F274D"/>
    <w:rsid w:val="1E483217"/>
    <w:rsid w:val="1E85149C"/>
    <w:rsid w:val="1E8707A4"/>
    <w:rsid w:val="1EA72126"/>
    <w:rsid w:val="1EBC18FF"/>
    <w:rsid w:val="1EC75611"/>
    <w:rsid w:val="1EEE0269"/>
    <w:rsid w:val="1F037238"/>
    <w:rsid w:val="1F226CEB"/>
    <w:rsid w:val="1F2C36C6"/>
    <w:rsid w:val="1F3D1F8D"/>
    <w:rsid w:val="1F4153C3"/>
    <w:rsid w:val="1FA025B1"/>
    <w:rsid w:val="1FD04999"/>
    <w:rsid w:val="1FE02E2E"/>
    <w:rsid w:val="1FF266BE"/>
    <w:rsid w:val="1FF40688"/>
    <w:rsid w:val="200F7270"/>
    <w:rsid w:val="200F76A6"/>
    <w:rsid w:val="201865BF"/>
    <w:rsid w:val="20592BE1"/>
    <w:rsid w:val="206D21E8"/>
    <w:rsid w:val="20861683"/>
    <w:rsid w:val="209C2214"/>
    <w:rsid w:val="209D0D1F"/>
    <w:rsid w:val="209E20C7"/>
    <w:rsid w:val="20A64532"/>
    <w:rsid w:val="20D34084"/>
    <w:rsid w:val="211C0628"/>
    <w:rsid w:val="213F3B84"/>
    <w:rsid w:val="216E6218"/>
    <w:rsid w:val="219F6866"/>
    <w:rsid w:val="21AC1386"/>
    <w:rsid w:val="21EB619F"/>
    <w:rsid w:val="21F229A5"/>
    <w:rsid w:val="21FC7CC7"/>
    <w:rsid w:val="22001566"/>
    <w:rsid w:val="222B21A1"/>
    <w:rsid w:val="22325497"/>
    <w:rsid w:val="22334856"/>
    <w:rsid w:val="223C73A7"/>
    <w:rsid w:val="225F451C"/>
    <w:rsid w:val="226F4201"/>
    <w:rsid w:val="22BE7B97"/>
    <w:rsid w:val="22FA4207"/>
    <w:rsid w:val="22FC78F8"/>
    <w:rsid w:val="2305275B"/>
    <w:rsid w:val="23164DB9"/>
    <w:rsid w:val="231764A8"/>
    <w:rsid w:val="232B2612"/>
    <w:rsid w:val="23432A54"/>
    <w:rsid w:val="234B4A63"/>
    <w:rsid w:val="237F2170"/>
    <w:rsid w:val="23963804"/>
    <w:rsid w:val="239A0718"/>
    <w:rsid w:val="239C3122"/>
    <w:rsid w:val="23A56138"/>
    <w:rsid w:val="23C13EDB"/>
    <w:rsid w:val="23E66539"/>
    <w:rsid w:val="23E822B1"/>
    <w:rsid w:val="23F252C0"/>
    <w:rsid w:val="240864B0"/>
    <w:rsid w:val="24417C14"/>
    <w:rsid w:val="2442300E"/>
    <w:rsid w:val="24747FE9"/>
    <w:rsid w:val="24775DB4"/>
    <w:rsid w:val="24783674"/>
    <w:rsid w:val="2480073C"/>
    <w:rsid w:val="24891ED1"/>
    <w:rsid w:val="24AD08F3"/>
    <w:rsid w:val="24CC1E89"/>
    <w:rsid w:val="24D046C0"/>
    <w:rsid w:val="25090731"/>
    <w:rsid w:val="250A26FB"/>
    <w:rsid w:val="25116705"/>
    <w:rsid w:val="253F4153"/>
    <w:rsid w:val="255C0AB5"/>
    <w:rsid w:val="259D4DC7"/>
    <w:rsid w:val="25AF13AC"/>
    <w:rsid w:val="25C01B16"/>
    <w:rsid w:val="25E62553"/>
    <w:rsid w:val="25F339CE"/>
    <w:rsid w:val="261D1FBA"/>
    <w:rsid w:val="263315C3"/>
    <w:rsid w:val="269E30FB"/>
    <w:rsid w:val="26AB5818"/>
    <w:rsid w:val="26C32B62"/>
    <w:rsid w:val="26C53ACE"/>
    <w:rsid w:val="26C80178"/>
    <w:rsid w:val="26CB349E"/>
    <w:rsid w:val="26E251BC"/>
    <w:rsid w:val="26E75774"/>
    <w:rsid w:val="270A7F20"/>
    <w:rsid w:val="270C2DF9"/>
    <w:rsid w:val="275E5EB1"/>
    <w:rsid w:val="27710810"/>
    <w:rsid w:val="27853427"/>
    <w:rsid w:val="27C04855"/>
    <w:rsid w:val="27E45486"/>
    <w:rsid w:val="27EC7E96"/>
    <w:rsid w:val="2842515E"/>
    <w:rsid w:val="288051AE"/>
    <w:rsid w:val="28856E04"/>
    <w:rsid w:val="28D043D2"/>
    <w:rsid w:val="28F811E9"/>
    <w:rsid w:val="29096BD2"/>
    <w:rsid w:val="29147C8F"/>
    <w:rsid w:val="2919115F"/>
    <w:rsid w:val="29192F0D"/>
    <w:rsid w:val="29283150"/>
    <w:rsid w:val="294F34D1"/>
    <w:rsid w:val="297164B4"/>
    <w:rsid w:val="29774917"/>
    <w:rsid w:val="298861E2"/>
    <w:rsid w:val="29AB2260"/>
    <w:rsid w:val="29D8191C"/>
    <w:rsid w:val="29F86FC6"/>
    <w:rsid w:val="2A0E0598"/>
    <w:rsid w:val="2A3C7D99"/>
    <w:rsid w:val="2A426494"/>
    <w:rsid w:val="2A4368C5"/>
    <w:rsid w:val="2A930A9D"/>
    <w:rsid w:val="2AA420D9"/>
    <w:rsid w:val="2AAA204E"/>
    <w:rsid w:val="2AE97F8D"/>
    <w:rsid w:val="2B0B3640"/>
    <w:rsid w:val="2B5A3EEA"/>
    <w:rsid w:val="2B606BD1"/>
    <w:rsid w:val="2B624A3B"/>
    <w:rsid w:val="2B6F150A"/>
    <w:rsid w:val="2B8A1EA0"/>
    <w:rsid w:val="2B8A3D12"/>
    <w:rsid w:val="2B9140C6"/>
    <w:rsid w:val="2BA240C6"/>
    <w:rsid w:val="2BB67139"/>
    <w:rsid w:val="2BC5737C"/>
    <w:rsid w:val="2C004054"/>
    <w:rsid w:val="2C010E94"/>
    <w:rsid w:val="2C475FE3"/>
    <w:rsid w:val="2C5A7BC2"/>
    <w:rsid w:val="2C7F535E"/>
    <w:rsid w:val="2C8879D7"/>
    <w:rsid w:val="2CA64AB8"/>
    <w:rsid w:val="2CB25B52"/>
    <w:rsid w:val="2CCE400E"/>
    <w:rsid w:val="2CD72C54"/>
    <w:rsid w:val="2CE33F5E"/>
    <w:rsid w:val="2CED6B8B"/>
    <w:rsid w:val="2D2307FE"/>
    <w:rsid w:val="2D285F31"/>
    <w:rsid w:val="2D2D3F10"/>
    <w:rsid w:val="2D2F2CFF"/>
    <w:rsid w:val="2D300825"/>
    <w:rsid w:val="2D7149CE"/>
    <w:rsid w:val="2D83304B"/>
    <w:rsid w:val="2D8C0151"/>
    <w:rsid w:val="2DA21723"/>
    <w:rsid w:val="2DAF3E40"/>
    <w:rsid w:val="2DB76B15"/>
    <w:rsid w:val="2DDA23E8"/>
    <w:rsid w:val="2E0363D2"/>
    <w:rsid w:val="2E213F4D"/>
    <w:rsid w:val="2E474078"/>
    <w:rsid w:val="2E536746"/>
    <w:rsid w:val="2E5A5945"/>
    <w:rsid w:val="2EC847E1"/>
    <w:rsid w:val="2F176141"/>
    <w:rsid w:val="2F3357D4"/>
    <w:rsid w:val="2F4F1612"/>
    <w:rsid w:val="2F587E65"/>
    <w:rsid w:val="2F6F1AD9"/>
    <w:rsid w:val="2FA42D9B"/>
    <w:rsid w:val="2FEA0268"/>
    <w:rsid w:val="300114B1"/>
    <w:rsid w:val="30087837"/>
    <w:rsid w:val="301306B6"/>
    <w:rsid w:val="302A0383"/>
    <w:rsid w:val="305B02AF"/>
    <w:rsid w:val="306233EC"/>
    <w:rsid w:val="30D74501"/>
    <w:rsid w:val="30F667AA"/>
    <w:rsid w:val="31440D43"/>
    <w:rsid w:val="3163741B"/>
    <w:rsid w:val="318C25C3"/>
    <w:rsid w:val="318F0394"/>
    <w:rsid w:val="3194066D"/>
    <w:rsid w:val="319A375A"/>
    <w:rsid w:val="319D3425"/>
    <w:rsid w:val="31C22EA0"/>
    <w:rsid w:val="31C3435E"/>
    <w:rsid w:val="31CB13C9"/>
    <w:rsid w:val="31D43E75"/>
    <w:rsid w:val="31DB5204"/>
    <w:rsid w:val="31EA18EB"/>
    <w:rsid w:val="31F4315B"/>
    <w:rsid w:val="31F44517"/>
    <w:rsid w:val="321D35F7"/>
    <w:rsid w:val="322D3C0E"/>
    <w:rsid w:val="32342B66"/>
    <w:rsid w:val="32496611"/>
    <w:rsid w:val="324E3C27"/>
    <w:rsid w:val="32977B7B"/>
    <w:rsid w:val="32EB3B6C"/>
    <w:rsid w:val="32F43417"/>
    <w:rsid w:val="330A4485"/>
    <w:rsid w:val="330A7AFB"/>
    <w:rsid w:val="334176E6"/>
    <w:rsid w:val="339B7340"/>
    <w:rsid w:val="339C174C"/>
    <w:rsid w:val="33CA19D4"/>
    <w:rsid w:val="33E17ED2"/>
    <w:rsid w:val="33F20F2A"/>
    <w:rsid w:val="341C7156"/>
    <w:rsid w:val="34311A53"/>
    <w:rsid w:val="343B7960"/>
    <w:rsid w:val="34E42621"/>
    <w:rsid w:val="34E940DB"/>
    <w:rsid w:val="34F211E2"/>
    <w:rsid w:val="35004F81"/>
    <w:rsid w:val="35357321"/>
    <w:rsid w:val="358A6C0E"/>
    <w:rsid w:val="359F7A84"/>
    <w:rsid w:val="35CB1A33"/>
    <w:rsid w:val="360C62D3"/>
    <w:rsid w:val="3613710F"/>
    <w:rsid w:val="36973A6B"/>
    <w:rsid w:val="36D44917"/>
    <w:rsid w:val="36D7419B"/>
    <w:rsid w:val="3715770A"/>
    <w:rsid w:val="379540A7"/>
    <w:rsid w:val="379C3864"/>
    <w:rsid w:val="37AD3697"/>
    <w:rsid w:val="37BA58BB"/>
    <w:rsid w:val="37C4673A"/>
    <w:rsid w:val="381274A5"/>
    <w:rsid w:val="381B0A50"/>
    <w:rsid w:val="384004B6"/>
    <w:rsid w:val="38683569"/>
    <w:rsid w:val="38714956"/>
    <w:rsid w:val="388859B9"/>
    <w:rsid w:val="38B14F10"/>
    <w:rsid w:val="3902576C"/>
    <w:rsid w:val="391A0D07"/>
    <w:rsid w:val="397E75E4"/>
    <w:rsid w:val="39A6259B"/>
    <w:rsid w:val="39E40627"/>
    <w:rsid w:val="39E84962"/>
    <w:rsid w:val="39F72DF7"/>
    <w:rsid w:val="3A112500"/>
    <w:rsid w:val="3A1549B3"/>
    <w:rsid w:val="3A241712"/>
    <w:rsid w:val="3A2B2B4A"/>
    <w:rsid w:val="3A361B71"/>
    <w:rsid w:val="3A391CF9"/>
    <w:rsid w:val="3A7E0E22"/>
    <w:rsid w:val="3A857CC8"/>
    <w:rsid w:val="3A9C574C"/>
    <w:rsid w:val="3AA12D62"/>
    <w:rsid w:val="3AA840F1"/>
    <w:rsid w:val="3AB7517F"/>
    <w:rsid w:val="3ABD5DEE"/>
    <w:rsid w:val="3AD15273"/>
    <w:rsid w:val="3B201ED9"/>
    <w:rsid w:val="3B5129DA"/>
    <w:rsid w:val="3B516536"/>
    <w:rsid w:val="3B567FF1"/>
    <w:rsid w:val="3BED44B1"/>
    <w:rsid w:val="3BEF2B4D"/>
    <w:rsid w:val="3C37572C"/>
    <w:rsid w:val="3C3C221E"/>
    <w:rsid w:val="3C3F2833"/>
    <w:rsid w:val="3C426CE4"/>
    <w:rsid w:val="3C602E54"/>
    <w:rsid w:val="3C701445"/>
    <w:rsid w:val="3C8F7971"/>
    <w:rsid w:val="3CB90495"/>
    <w:rsid w:val="3CBD0327"/>
    <w:rsid w:val="3CD15B81"/>
    <w:rsid w:val="3CD9606B"/>
    <w:rsid w:val="3CEC29BB"/>
    <w:rsid w:val="3CF67395"/>
    <w:rsid w:val="3D100B2A"/>
    <w:rsid w:val="3D7529B0"/>
    <w:rsid w:val="3D9C36F6"/>
    <w:rsid w:val="3DAF084E"/>
    <w:rsid w:val="3DBD4283"/>
    <w:rsid w:val="3DCE3E6E"/>
    <w:rsid w:val="3DDF607B"/>
    <w:rsid w:val="3DE6740A"/>
    <w:rsid w:val="3DFD6502"/>
    <w:rsid w:val="3DFF227A"/>
    <w:rsid w:val="3E19659F"/>
    <w:rsid w:val="3E1F5331"/>
    <w:rsid w:val="3E4141B1"/>
    <w:rsid w:val="3E467648"/>
    <w:rsid w:val="3E5325C6"/>
    <w:rsid w:val="3E846654"/>
    <w:rsid w:val="3E9E41A8"/>
    <w:rsid w:val="3EA452C3"/>
    <w:rsid w:val="3EB2521D"/>
    <w:rsid w:val="3ECB404E"/>
    <w:rsid w:val="3F035D9A"/>
    <w:rsid w:val="3F0E7A41"/>
    <w:rsid w:val="3F144AD7"/>
    <w:rsid w:val="3F6B2D2B"/>
    <w:rsid w:val="3FBA6DA0"/>
    <w:rsid w:val="3FFA719D"/>
    <w:rsid w:val="3FFB1C76"/>
    <w:rsid w:val="405A12FE"/>
    <w:rsid w:val="405A1DCD"/>
    <w:rsid w:val="405B0A5F"/>
    <w:rsid w:val="40703903"/>
    <w:rsid w:val="407E2D76"/>
    <w:rsid w:val="40866C82"/>
    <w:rsid w:val="409C567D"/>
    <w:rsid w:val="40A31FB7"/>
    <w:rsid w:val="40AD0938"/>
    <w:rsid w:val="40B732E0"/>
    <w:rsid w:val="40BC6B48"/>
    <w:rsid w:val="40CB0B39"/>
    <w:rsid w:val="40D13611"/>
    <w:rsid w:val="40E60808"/>
    <w:rsid w:val="40FB31F5"/>
    <w:rsid w:val="41675108"/>
    <w:rsid w:val="418A09F4"/>
    <w:rsid w:val="41915912"/>
    <w:rsid w:val="41B65345"/>
    <w:rsid w:val="41D91034"/>
    <w:rsid w:val="41E11E68"/>
    <w:rsid w:val="42024A2E"/>
    <w:rsid w:val="42116A20"/>
    <w:rsid w:val="421502BE"/>
    <w:rsid w:val="42246753"/>
    <w:rsid w:val="42446DF5"/>
    <w:rsid w:val="42521821"/>
    <w:rsid w:val="42601716"/>
    <w:rsid w:val="426E4D48"/>
    <w:rsid w:val="429569E3"/>
    <w:rsid w:val="42A81132"/>
    <w:rsid w:val="42E06BC9"/>
    <w:rsid w:val="42F0679A"/>
    <w:rsid w:val="43370A25"/>
    <w:rsid w:val="433F136A"/>
    <w:rsid w:val="43471FE5"/>
    <w:rsid w:val="43670FED"/>
    <w:rsid w:val="43684A23"/>
    <w:rsid w:val="437E6337"/>
    <w:rsid w:val="43DD153F"/>
    <w:rsid w:val="43EA69B6"/>
    <w:rsid w:val="44240C8C"/>
    <w:rsid w:val="4456696C"/>
    <w:rsid w:val="44613DD2"/>
    <w:rsid w:val="44D97CC8"/>
    <w:rsid w:val="450A1C47"/>
    <w:rsid w:val="45251DDE"/>
    <w:rsid w:val="454B2248"/>
    <w:rsid w:val="454D4212"/>
    <w:rsid w:val="454D75BE"/>
    <w:rsid w:val="4550785F"/>
    <w:rsid w:val="4560523B"/>
    <w:rsid w:val="45632B61"/>
    <w:rsid w:val="45F07CA2"/>
    <w:rsid w:val="462F1280"/>
    <w:rsid w:val="462F5E6A"/>
    <w:rsid w:val="46372227"/>
    <w:rsid w:val="46524241"/>
    <w:rsid w:val="465305B7"/>
    <w:rsid w:val="466B6511"/>
    <w:rsid w:val="46774EA5"/>
    <w:rsid w:val="46830FA7"/>
    <w:rsid w:val="468679DC"/>
    <w:rsid w:val="46B81B2D"/>
    <w:rsid w:val="46D00C57"/>
    <w:rsid w:val="47041788"/>
    <w:rsid w:val="471E7C15"/>
    <w:rsid w:val="47307948"/>
    <w:rsid w:val="474D674C"/>
    <w:rsid w:val="47954FCD"/>
    <w:rsid w:val="47B16C82"/>
    <w:rsid w:val="47B17EC7"/>
    <w:rsid w:val="47E37A4F"/>
    <w:rsid w:val="4800556C"/>
    <w:rsid w:val="480D7C89"/>
    <w:rsid w:val="48537D92"/>
    <w:rsid w:val="487535FD"/>
    <w:rsid w:val="48AB0D7E"/>
    <w:rsid w:val="49064E04"/>
    <w:rsid w:val="490E3CB9"/>
    <w:rsid w:val="492D2391"/>
    <w:rsid w:val="494249BB"/>
    <w:rsid w:val="49471751"/>
    <w:rsid w:val="495D254A"/>
    <w:rsid w:val="497D5769"/>
    <w:rsid w:val="49883B80"/>
    <w:rsid w:val="49A87C69"/>
    <w:rsid w:val="49B23DBA"/>
    <w:rsid w:val="49D243A1"/>
    <w:rsid w:val="49F31A11"/>
    <w:rsid w:val="4A0033A4"/>
    <w:rsid w:val="4A005146"/>
    <w:rsid w:val="4A0A0924"/>
    <w:rsid w:val="4A0D21C2"/>
    <w:rsid w:val="4A2319E6"/>
    <w:rsid w:val="4A241DF1"/>
    <w:rsid w:val="4A3C7BCF"/>
    <w:rsid w:val="4A4F09E1"/>
    <w:rsid w:val="4A5120AF"/>
    <w:rsid w:val="4A7C588D"/>
    <w:rsid w:val="4A875BAC"/>
    <w:rsid w:val="4AC960E9"/>
    <w:rsid w:val="4ADA2ABE"/>
    <w:rsid w:val="4AE9329F"/>
    <w:rsid w:val="4AFA15FB"/>
    <w:rsid w:val="4B3774F7"/>
    <w:rsid w:val="4B563752"/>
    <w:rsid w:val="4B5F07FC"/>
    <w:rsid w:val="4B761187"/>
    <w:rsid w:val="4B7A73E4"/>
    <w:rsid w:val="4B7D0C82"/>
    <w:rsid w:val="4BA5402A"/>
    <w:rsid w:val="4BBE3774"/>
    <w:rsid w:val="4BDA206F"/>
    <w:rsid w:val="4BE331DB"/>
    <w:rsid w:val="4C3752D5"/>
    <w:rsid w:val="4C3D6D8F"/>
    <w:rsid w:val="4C4341F5"/>
    <w:rsid w:val="4C54452E"/>
    <w:rsid w:val="4C91241F"/>
    <w:rsid w:val="4C9F1402"/>
    <w:rsid w:val="4CC76658"/>
    <w:rsid w:val="4CD171C7"/>
    <w:rsid w:val="4CF32D3D"/>
    <w:rsid w:val="4CFC1042"/>
    <w:rsid w:val="4D245A57"/>
    <w:rsid w:val="4D2B228A"/>
    <w:rsid w:val="4D4D33E3"/>
    <w:rsid w:val="4D5679DC"/>
    <w:rsid w:val="4D6C0FAE"/>
    <w:rsid w:val="4D700A9E"/>
    <w:rsid w:val="4DA17955"/>
    <w:rsid w:val="4DDB5D1D"/>
    <w:rsid w:val="4E135168"/>
    <w:rsid w:val="4E2C2A55"/>
    <w:rsid w:val="4E4925F9"/>
    <w:rsid w:val="4E6112A5"/>
    <w:rsid w:val="4E775E5C"/>
    <w:rsid w:val="4E964534"/>
    <w:rsid w:val="4EFB506E"/>
    <w:rsid w:val="4EFD566E"/>
    <w:rsid w:val="4F193FF0"/>
    <w:rsid w:val="4F2A1121"/>
    <w:rsid w:val="4F2F4622"/>
    <w:rsid w:val="4F4210BE"/>
    <w:rsid w:val="4F6B59C1"/>
    <w:rsid w:val="4F7622B4"/>
    <w:rsid w:val="4F786330"/>
    <w:rsid w:val="4F7F146C"/>
    <w:rsid w:val="4F894099"/>
    <w:rsid w:val="4F89697F"/>
    <w:rsid w:val="4F8F2450"/>
    <w:rsid w:val="4FA45D92"/>
    <w:rsid w:val="4FBA16A6"/>
    <w:rsid w:val="4FCF72BB"/>
    <w:rsid w:val="501658D5"/>
    <w:rsid w:val="502E7C52"/>
    <w:rsid w:val="5033552D"/>
    <w:rsid w:val="505D5412"/>
    <w:rsid w:val="50FA3B34"/>
    <w:rsid w:val="513A6CF7"/>
    <w:rsid w:val="515801C7"/>
    <w:rsid w:val="518E2B4E"/>
    <w:rsid w:val="51CE66DB"/>
    <w:rsid w:val="51D830B6"/>
    <w:rsid w:val="51E6045F"/>
    <w:rsid w:val="51E67581"/>
    <w:rsid w:val="52892D6A"/>
    <w:rsid w:val="52C66D47"/>
    <w:rsid w:val="52CA226C"/>
    <w:rsid w:val="52DC0984"/>
    <w:rsid w:val="52DC7024"/>
    <w:rsid w:val="52F74712"/>
    <w:rsid w:val="53034162"/>
    <w:rsid w:val="53043E75"/>
    <w:rsid w:val="5371731E"/>
    <w:rsid w:val="53762B86"/>
    <w:rsid w:val="53842779"/>
    <w:rsid w:val="539D6365"/>
    <w:rsid w:val="53C102A5"/>
    <w:rsid w:val="53D06CA2"/>
    <w:rsid w:val="53D14261"/>
    <w:rsid w:val="53D8114B"/>
    <w:rsid w:val="53F86B05"/>
    <w:rsid w:val="53FA5565"/>
    <w:rsid w:val="540D34EB"/>
    <w:rsid w:val="54244390"/>
    <w:rsid w:val="542D76E9"/>
    <w:rsid w:val="5463135D"/>
    <w:rsid w:val="54923EFF"/>
    <w:rsid w:val="54A0435F"/>
    <w:rsid w:val="54B020C8"/>
    <w:rsid w:val="54B24092"/>
    <w:rsid w:val="54CA40E0"/>
    <w:rsid w:val="54DE60AE"/>
    <w:rsid w:val="54E104D3"/>
    <w:rsid w:val="550A5C7C"/>
    <w:rsid w:val="551E1E45"/>
    <w:rsid w:val="557430F6"/>
    <w:rsid w:val="559425F0"/>
    <w:rsid w:val="55A7171D"/>
    <w:rsid w:val="55AA2FBB"/>
    <w:rsid w:val="55AF2380"/>
    <w:rsid w:val="55B50C82"/>
    <w:rsid w:val="55F042D1"/>
    <w:rsid w:val="560501F2"/>
    <w:rsid w:val="5612303A"/>
    <w:rsid w:val="562D25B4"/>
    <w:rsid w:val="56313359"/>
    <w:rsid w:val="56503B63"/>
    <w:rsid w:val="565F5230"/>
    <w:rsid w:val="5668404C"/>
    <w:rsid w:val="56694C24"/>
    <w:rsid w:val="56731B3E"/>
    <w:rsid w:val="568630E0"/>
    <w:rsid w:val="568A7075"/>
    <w:rsid w:val="568F468B"/>
    <w:rsid w:val="573174F0"/>
    <w:rsid w:val="57485645"/>
    <w:rsid w:val="575A03FE"/>
    <w:rsid w:val="576461D9"/>
    <w:rsid w:val="57790E97"/>
    <w:rsid w:val="579A4DF2"/>
    <w:rsid w:val="57CC7219"/>
    <w:rsid w:val="57D367F9"/>
    <w:rsid w:val="57E9312A"/>
    <w:rsid w:val="57F37192"/>
    <w:rsid w:val="58117322"/>
    <w:rsid w:val="58476489"/>
    <w:rsid w:val="584D4227"/>
    <w:rsid w:val="58851503"/>
    <w:rsid w:val="58A95B45"/>
    <w:rsid w:val="591F781C"/>
    <w:rsid w:val="596F6BE7"/>
    <w:rsid w:val="59757E35"/>
    <w:rsid w:val="59A74F0E"/>
    <w:rsid w:val="59AF12B9"/>
    <w:rsid w:val="59B9510A"/>
    <w:rsid w:val="59C60A89"/>
    <w:rsid w:val="59CC52AE"/>
    <w:rsid w:val="59E07329"/>
    <w:rsid w:val="5A2275C4"/>
    <w:rsid w:val="5A31541D"/>
    <w:rsid w:val="5A675A17"/>
    <w:rsid w:val="5A6E45B7"/>
    <w:rsid w:val="5A783688"/>
    <w:rsid w:val="5A962C48"/>
    <w:rsid w:val="5A9A1850"/>
    <w:rsid w:val="5A9E5E67"/>
    <w:rsid w:val="5AA0000E"/>
    <w:rsid w:val="5AB86683"/>
    <w:rsid w:val="5AC32B55"/>
    <w:rsid w:val="5ADC3C17"/>
    <w:rsid w:val="5AF26F96"/>
    <w:rsid w:val="5B1D5796"/>
    <w:rsid w:val="5B433C96"/>
    <w:rsid w:val="5B433D33"/>
    <w:rsid w:val="5B4506D2"/>
    <w:rsid w:val="5B61236E"/>
    <w:rsid w:val="5B6B6483"/>
    <w:rsid w:val="5B6D2AC1"/>
    <w:rsid w:val="5B99183B"/>
    <w:rsid w:val="5B995664"/>
    <w:rsid w:val="5BC31BCA"/>
    <w:rsid w:val="5BFC633D"/>
    <w:rsid w:val="5C173E24"/>
    <w:rsid w:val="5C1E200D"/>
    <w:rsid w:val="5C251FB4"/>
    <w:rsid w:val="5C252EE1"/>
    <w:rsid w:val="5C361105"/>
    <w:rsid w:val="5C390BF5"/>
    <w:rsid w:val="5C4A4F8E"/>
    <w:rsid w:val="5CA42512"/>
    <w:rsid w:val="5CB5471F"/>
    <w:rsid w:val="5CC302B0"/>
    <w:rsid w:val="5CEB0141"/>
    <w:rsid w:val="5CEB1EEF"/>
    <w:rsid w:val="5CF52D6E"/>
    <w:rsid w:val="5CF83A26"/>
    <w:rsid w:val="5D047455"/>
    <w:rsid w:val="5D375134"/>
    <w:rsid w:val="5D5E0913"/>
    <w:rsid w:val="5D630301"/>
    <w:rsid w:val="5D8924AB"/>
    <w:rsid w:val="5D9B1B67"/>
    <w:rsid w:val="5DB046BD"/>
    <w:rsid w:val="5DB47279"/>
    <w:rsid w:val="5DBF6043"/>
    <w:rsid w:val="5DE57DF3"/>
    <w:rsid w:val="5DF03535"/>
    <w:rsid w:val="5E280F21"/>
    <w:rsid w:val="5E283F46"/>
    <w:rsid w:val="5E663254"/>
    <w:rsid w:val="5E6E2E7C"/>
    <w:rsid w:val="5EA44324"/>
    <w:rsid w:val="5EA5070E"/>
    <w:rsid w:val="5EAB402C"/>
    <w:rsid w:val="5EC7073A"/>
    <w:rsid w:val="5F122944"/>
    <w:rsid w:val="5F4A5B1F"/>
    <w:rsid w:val="5F6D2922"/>
    <w:rsid w:val="5F6E6E08"/>
    <w:rsid w:val="5F942D12"/>
    <w:rsid w:val="5FA168CF"/>
    <w:rsid w:val="5FA171DD"/>
    <w:rsid w:val="5FA665A1"/>
    <w:rsid w:val="5FB52C88"/>
    <w:rsid w:val="5FDE3BAD"/>
    <w:rsid w:val="5FF34951"/>
    <w:rsid w:val="601B3DC0"/>
    <w:rsid w:val="602334F8"/>
    <w:rsid w:val="6038523B"/>
    <w:rsid w:val="604A517F"/>
    <w:rsid w:val="60594CEB"/>
    <w:rsid w:val="60771CEC"/>
    <w:rsid w:val="60940AF0"/>
    <w:rsid w:val="60AF1486"/>
    <w:rsid w:val="60D07E21"/>
    <w:rsid w:val="61181F1A"/>
    <w:rsid w:val="612109E6"/>
    <w:rsid w:val="61300818"/>
    <w:rsid w:val="61B76844"/>
    <w:rsid w:val="61FF370F"/>
    <w:rsid w:val="62025CAE"/>
    <w:rsid w:val="62173786"/>
    <w:rsid w:val="62243678"/>
    <w:rsid w:val="622E2F2E"/>
    <w:rsid w:val="623B56C7"/>
    <w:rsid w:val="62520A22"/>
    <w:rsid w:val="62802DF2"/>
    <w:rsid w:val="62966DA1"/>
    <w:rsid w:val="62C65EBD"/>
    <w:rsid w:val="62D022B3"/>
    <w:rsid w:val="62D6719E"/>
    <w:rsid w:val="62E418BB"/>
    <w:rsid w:val="62F31BF5"/>
    <w:rsid w:val="637F7835"/>
    <w:rsid w:val="63AD5074"/>
    <w:rsid w:val="64030466"/>
    <w:rsid w:val="641C2BD4"/>
    <w:rsid w:val="641F57D1"/>
    <w:rsid w:val="6424218B"/>
    <w:rsid w:val="64430863"/>
    <w:rsid w:val="646B11FC"/>
    <w:rsid w:val="64C80D68"/>
    <w:rsid w:val="64CF20F6"/>
    <w:rsid w:val="64D176A3"/>
    <w:rsid w:val="64DC1CA7"/>
    <w:rsid w:val="653502EE"/>
    <w:rsid w:val="65414924"/>
    <w:rsid w:val="65514CCF"/>
    <w:rsid w:val="656B31BB"/>
    <w:rsid w:val="65813C56"/>
    <w:rsid w:val="65BF3B8D"/>
    <w:rsid w:val="65C75F49"/>
    <w:rsid w:val="65C77271"/>
    <w:rsid w:val="65C92FEA"/>
    <w:rsid w:val="66191C02"/>
    <w:rsid w:val="66A31A8D"/>
    <w:rsid w:val="67177D85"/>
    <w:rsid w:val="6753700F"/>
    <w:rsid w:val="676D1753"/>
    <w:rsid w:val="67775515"/>
    <w:rsid w:val="67B35CFF"/>
    <w:rsid w:val="67BF5488"/>
    <w:rsid w:val="67D143D7"/>
    <w:rsid w:val="682A76CE"/>
    <w:rsid w:val="68416511"/>
    <w:rsid w:val="684833E0"/>
    <w:rsid w:val="68567A56"/>
    <w:rsid w:val="685E210F"/>
    <w:rsid w:val="686B6B0D"/>
    <w:rsid w:val="6878648B"/>
    <w:rsid w:val="68817BAC"/>
    <w:rsid w:val="68831B76"/>
    <w:rsid w:val="68D221B5"/>
    <w:rsid w:val="68DD07DB"/>
    <w:rsid w:val="694965AB"/>
    <w:rsid w:val="696F3EA8"/>
    <w:rsid w:val="6970600C"/>
    <w:rsid w:val="69792C19"/>
    <w:rsid w:val="69821E2D"/>
    <w:rsid w:val="69CA33C9"/>
    <w:rsid w:val="69D361E5"/>
    <w:rsid w:val="69E4657A"/>
    <w:rsid w:val="69F1073A"/>
    <w:rsid w:val="69F937FB"/>
    <w:rsid w:val="6A440E91"/>
    <w:rsid w:val="6A4B0DB3"/>
    <w:rsid w:val="6A4F0F97"/>
    <w:rsid w:val="6A794FDE"/>
    <w:rsid w:val="6A9040D6"/>
    <w:rsid w:val="6AA87672"/>
    <w:rsid w:val="6AF26B3F"/>
    <w:rsid w:val="6B0600C0"/>
    <w:rsid w:val="6B301415"/>
    <w:rsid w:val="6B6F1F3D"/>
    <w:rsid w:val="6B737C7F"/>
    <w:rsid w:val="6BB32772"/>
    <w:rsid w:val="6BE40B7D"/>
    <w:rsid w:val="6BFB1A23"/>
    <w:rsid w:val="6C096CBF"/>
    <w:rsid w:val="6C212FB3"/>
    <w:rsid w:val="6C2C6080"/>
    <w:rsid w:val="6C4B4758"/>
    <w:rsid w:val="6C5555D7"/>
    <w:rsid w:val="6C93095F"/>
    <w:rsid w:val="6CA976D1"/>
    <w:rsid w:val="6CAB3449"/>
    <w:rsid w:val="6CB70445"/>
    <w:rsid w:val="6CB8291E"/>
    <w:rsid w:val="6CBE317C"/>
    <w:rsid w:val="6CC00230"/>
    <w:rsid w:val="6CF01415"/>
    <w:rsid w:val="6D8141AA"/>
    <w:rsid w:val="6D9B34BE"/>
    <w:rsid w:val="6DA54386"/>
    <w:rsid w:val="6DB2450A"/>
    <w:rsid w:val="6E117752"/>
    <w:rsid w:val="6E166FE8"/>
    <w:rsid w:val="6E34121C"/>
    <w:rsid w:val="6E5C0D00"/>
    <w:rsid w:val="6EBF6757"/>
    <w:rsid w:val="6ECF4294"/>
    <w:rsid w:val="6ED8604B"/>
    <w:rsid w:val="6EEB1191"/>
    <w:rsid w:val="6F1E43A6"/>
    <w:rsid w:val="6F370FC4"/>
    <w:rsid w:val="6F3847F4"/>
    <w:rsid w:val="6F4A3F3C"/>
    <w:rsid w:val="6F502086"/>
    <w:rsid w:val="6F646F71"/>
    <w:rsid w:val="6F655B31"/>
    <w:rsid w:val="6FA7614A"/>
    <w:rsid w:val="6FE32EFA"/>
    <w:rsid w:val="6FE96534"/>
    <w:rsid w:val="6FF11ABB"/>
    <w:rsid w:val="700A66D9"/>
    <w:rsid w:val="70357BF9"/>
    <w:rsid w:val="706950A3"/>
    <w:rsid w:val="70B759B6"/>
    <w:rsid w:val="70BD199D"/>
    <w:rsid w:val="70D77F28"/>
    <w:rsid w:val="710F1337"/>
    <w:rsid w:val="71193077"/>
    <w:rsid w:val="71265794"/>
    <w:rsid w:val="712B4B58"/>
    <w:rsid w:val="714D04D7"/>
    <w:rsid w:val="71683119"/>
    <w:rsid w:val="71722787"/>
    <w:rsid w:val="71836742"/>
    <w:rsid w:val="71A32941"/>
    <w:rsid w:val="71CC00E9"/>
    <w:rsid w:val="71E82A49"/>
    <w:rsid w:val="71ED1E0E"/>
    <w:rsid w:val="7229553C"/>
    <w:rsid w:val="72312642"/>
    <w:rsid w:val="725D51E5"/>
    <w:rsid w:val="7272399F"/>
    <w:rsid w:val="727D63C7"/>
    <w:rsid w:val="72A4291F"/>
    <w:rsid w:val="72E24FC7"/>
    <w:rsid w:val="72E254FD"/>
    <w:rsid w:val="72E476B5"/>
    <w:rsid w:val="72F06261"/>
    <w:rsid w:val="72F21323"/>
    <w:rsid w:val="732C6241"/>
    <w:rsid w:val="73441400"/>
    <w:rsid w:val="73577E87"/>
    <w:rsid w:val="735F0AE9"/>
    <w:rsid w:val="73852CDF"/>
    <w:rsid w:val="738E13CF"/>
    <w:rsid w:val="739C1D3D"/>
    <w:rsid w:val="73AA6208"/>
    <w:rsid w:val="73B75A60"/>
    <w:rsid w:val="73C51B92"/>
    <w:rsid w:val="73F64FDE"/>
    <w:rsid w:val="74784559"/>
    <w:rsid w:val="748A7E1A"/>
    <w:rsid w:val="749B58BB"/>
    <w:rsid w:val="74AB25CF"/>
    <w:rsid w:val="75157FF9"/>
    <w:rsid w:val="7516167C"/>
    <w:rsid w:val="756D1BE3"/>
    <w:rsid w:val="75751129"/>
    <w:rsid w:val="75AD3D8E"/>
    <w:rsid w:val="75B16ECE"/>
    <w:rsid w:val="75DE5D4A"/>
    <w:rsid w:val="75EB2B08"/>
    <w:rsid w:val="763A339C"/>
    <w:rsid w:val="764B1AB0"/>
    <w:rsid w:val="767672D1"/>
    <w:rsid w:val="769211D6"/>
    <w:rsid w:val="769551E6"/>
    <w:rsid w:val="769A026B"/>
    <w:rsid w:val="769E5DCD"/>
    <w:rsid w:val="76AA4771"/>
    <w:rsid w:val="76AE24AB"/>
    <w:rsid w:val="76AF7FDA"/>
    <w:rsid w:val="76CC0B8C"/>
    <w:rsid w:val="770C3AED"/>
    <w:rsid w:val="771A3ADA"/>
    <w:rsid w:val="771E24A0"/>
    <w:rsid w:val="77275DC2"/>
    <w:rsid w:val="773D67BB"/>
    <w:rsid w:val="77404108"/>
    <w:rsid w:val="77976AA4"/>
    <w:rsid w:val="779E031E"/>
    <w:rsid w:val="77AD276B"/>
    <w:rsid w:val="77C61DA6"/>
    <w:rsid w:val="77E6701E"/>
    <w:rsid w:val="77F24622"/>
    <w:rsid w:val="780B7492"/>
    <w:rsid w:val="78161D6A"/>
    <w:rsid w:val="784422EE"/>
    <w:rsid w:val="784A7FBA"/>
    <w:rsid w:val="784C049C"/>
    <w:rsid w:val="78AC2F39"/>
    <w:rsid w:val="792512B8"/>
    <w:rsid w:val="793A6280"/>
    <w:rsid w:val="793B3DA7"/>
    <w:rsid w:val="79621333"/>
    <w:rsid w:val="79751263"/>
    <w:rsid w:val="798718F2"/>
    <w:rsid w:val="798E2128"/>
    <w:rsid w:val="799D352A"/>
    <w:rsid w:val="79DA536E"/>
    <w:rsid w:val="79EC0299"/>
    <w:rsid w:val="79FC7092"/>
    <w:rsid w:val="7A100D8F"/>
    <w:rsid w:val="7A2860D9"/>
    <w:rsid w:val="7A2F7467"/>
    <w:rsid w:val="7A5E7D4D"/>
    <w:rsid w:val="7A707A80"/>
    <w:rsid w:val="7AAB55EF"/>
    <w:rsid w:val="7AAD65DE"/>
    <w:rsid w:val="7B18439F"/>
    <w:rsid w:val="7B22057D"/>
    <w:rsid w:val="7B2F3497"/>
    <w:rsid w:val="7B4B6651"/>
    <w:rsid w:val="7B65510B"/>
    <w:rsid w:val="7B6B0973"/>
    <w:rsid w:val="7B9D48A5"/>
    <w:rsid w:val="7BB06386"/>
    <w:rsid w:val="7BDA6622"/>
    <w:rsid w:val="7BDF4EBD"/>
    <w:rsid w:val="7BEE5100"/>
    <w:rsid w:val="7C2A2AC3"/>
    <w:rsid w:val="7C4F50C8"/>
    <w:rsid w:val="7C6D4277"/>
    <w:rsid w:val="7C9D5FDB"/>
    <w:rsid w:val="7CB84A5A"/>
    <w:rsid w:val="7CDB7433"/>
    <w:rsid w:val="7CF76237"/>
    <w:rsid w:val="7D0050EB"/>
    <w:rsid w:val="7D0821F2"/>
    <w:rsid w:val="7D6E3C91"/>
    <w:rsid w:val="7D913F95"/>
    <w:rsid w:val="7DC0201E"/>
    <w:rsid w:val="7DC600E3"/>
    <w:rsid w:val="7DF3597E"/>
    <w:rsid w:val="7E0724A9"/>
    <w:rsid w:val="7E462FD2"/>
    <w:rsid w:val="7E690C76"/>
    <w:rsid w:val="7E955D07"/>
    <w:rsid w:val="7EAF501B"/>
    <w:rsid w:val="7EE953D2"/>
    <w:rsid w:val="7F045D64"/>
    <w:rsid w:val="7F054C3B"/>
    <w:rsid w:val="7F0B46C3"/>
    <w:rsid w:val="7F160BF6"/>
    <w:rsid w:val="7F171820"/>
    <w:rsid w:val="7F2D47C7"/>
    <w:rsid w:val="7F471666"/>
    <w:rsid w:val="7F4875BE"/>
    <w:rsid w:val="7FB84341"/>
    <w:rsid w:val="7FBD4EF6"/>
    <w:rsid w:val="7FDD5B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basedOn w:val="10"/>
    <w:qFormat/>
    <w:uiPriority w:val="0"/>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2022-07-29T10:46:54Z</dcterms:created>
  <dcterms:modified xsi:type="dcterms:W3CDTF">2022-07-29T02:46:54Z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2022-07-29T10:46:57Z</dcterms:created>
  <dcterms:modified xsi:type="dcterms:W3CDTF">2022-07-29T02:46:57Z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Props1.xml><?xml version="1.0" encoding="utf-8"?>
<ds:datastoreItem xmlns:ds="http://schemas.openxmlformats.org/officeDocument/2006/customXml" ds:itemID="{7e827f43-cb5f-4a44-b9f8-61ee11988084}">
  <ds:schemaRefs/>
</ds:datastoreItem>
</file>

<file path=customXml/itemProps10.xml><?xml version="1.0" encoding="utf-8"?>
<ds:datastoreItem xmlns:ds="http://schemas.openxmlformats.org/officeDocument/2006/customXml" ds:itemID="{19cbca7a-401d-4c1e-b4b0-5b4529869db5}">
  <ds:schemaRefs/>
</ds:datastoreItem>
</file>

<file path=customXml/itemProps11.xml><?xml version="1.0" encoding="utf-8"?>
<ds:datastoreItem xmlns:ds="http://schemas.openxmlformats.org/officeDocument/2006/customXml" ds:itemID="{2ce22ec8-d5f5-4d8c-97c4-81729bd30650}">
  <ds:schemaRefs/>
</ds:datastoreItem>
</file>

<file path=customXml/itemProps12.xml><?xml version="1.0" encoding="utf-8"?>
<ds:datastoreItem xmlns:ds="http://schemas.openxmlformats.org/officeDocument/2006/customXml" ds:itemID="{a3a0f6c4-c953-407a-89d0-16d450658658}">
  <ds:schemaRefs/>
</ds:datastoreItem>
</file>

<file path=customXml/itemProps13.xml><?xml version="1.0" encoding="utf-8"?>
<ds:datastoreItem xmlns:ds="http://schemas.openxmlformats.org/officeDocument/2006/customXml" ds:itemID="{1637bdf5-d9a7-4957-a93a-13920390a4f4}">
  <ds:schemaRefs/>
</ds:datastoreItem>
</file>

<file path=customXml/itemProps14.xml><?xml version="1.0" encoding="utf-8"?>
<ds:datastoreItem xmlns:ds="http://schemas.openxmlformats.org/officeDocument/2006/customXml" ds:itemID="{f36aae77-8e29-4208-8dc9-de7cdda491bc}">
  <ds:schemaRefs/>
</ds:datastoreItem>
</file>

<file path=customXml/itemProps15.xml><?xml version="1.0" encoding="utf-8"?>
<ds:datastoreItem xmlns:ds="http://schemas.openxmlformats.org/officeDocument/2006/customXml" ds:itemID="{036b4130-85b2-4e31-9cd7-da87da3b5041}">
  <ds:schemaRefs/>
</ds:datastoreItem>
</file>

<file path=customXml/itemProps16.xml><?xml version="1.0" encoding="utf-8"?>
<ds:datastoreItem xmlns:ds="http://schemas.openxmlformats.org/officeDocument/2006/customXml" ds:itemID="{bdd97287-4511-4d0d-8beb-71d3322637c1}">
  <ds:schemaRefs/>
</ds:datastoreItem>
</file>

<file path=customXml/itemProps17.xml><?xml version="1.0" encoding="utf-8"?>
<ds:datastoreItem xmlns:ds="http://schemas.openxmlformats.org/officeDocument/2006/customXml" ds:itemID="{f84ed7e2-cf01-4249-852b-44699c05cc07}">
  <ds:schemaRefs/>
</ds:datastoreItem>
</file>

<file path=customXml/itemProps18.xml><?xml version="1.0" encoding="utf-8"?>
<ds:datastoreItem xmlns:ds="http://schemas.openxmlformats.org/officeDocument/2006/customXml" ds:itemID="{c7f92682-cea7-4cda-acb0-9b102a4db753}">
  <ds:schemaRefs/>
</ds:datastoreItem>
</file>

<file path=customXml/itemProps19.xml><?xml version="1.0" encoding="utf-8"?>
<ds:datastoreItem xmlns:ds="http://schemas.openxmlformats.org/officeDocument/2006/customXml" ds:itemID="{ca74be1f-422a-46b1-8576-f294fec9d6b7}">
  <ds:schemaRefs/>
</ds:datastoreItem>
</file>

<file path=customXml/itemProps2.xml><?xml version="1.0" encoding="utf-8"?>
<ds:datastoreItem xmlns:ds="http://schemas.openxmlformats.org/officeDocument/2006/customXml" ds:itemID="{3a493fbe-af73-4c79-b041-5de1f2f91449}">
  <ds:schemaRefs/>
</ds:datastoreItem>
</file>

<file path=customXml/itemProps20.xml><?xml version="1.0" encoding="utf-8"?>
<ds:datastoreItem xmlns:ds="http://schemas.openxmlformats.org/officeDocument/2006/customXml" ds:itemID="{39d5ff32-f447-405a-97c4-d7b6406749a4}">
  <ds:schemaRefs/>
</ds:datastoreItem>
</file>

<file path=customXml/itemProps21.xml><?xml version="1.0" encoding="utf-8"?>
<ds:datastoreItem xmlns:ds="http://schemas.openxmlformats.org/officeDocument/2006/customXml" ds:itemID="{6208a89f-deee-4e73-836d-f76425de1855}">
  <ds:schemaRefs/>
</ds:datastoreItem>
</file>

<file path=customXml/itemProps22.xml><?xml version="1.0" encoding="utf-8"?>
<ds:datastoreItem xmlns:ds="http://schemas.openxmlformats.org/officeDocument/2006/customXml" ds:itemID="{f326f2cc-01d3-414b-8d27-0b039665b820}">
  <ds:schemaRefs/>
</ds:datastoreItem>
</file>

<file path=customXml/itemProps23.xml><?xml version="1.0" encoding="utf-8"?>
<ds:datastoreItem xmlns:ds="http://schemas.openxmlformats.org/officeDocument/2006/customXml" ds:itemID="{100ee51a-872a-424c-a893-a188f3d9fe9b}">
  <ds:schemaRefs/>
</ds:datastoreItem>
</file>

<file path=customXml/itemProps24.xml><?xml version="1.0" encoding="utf-8"?>
<ds:datastoreItem xmlns:ds="http://schemas.openxmlformats.org/officeDocument/2006/customXml" ds:itemID="{4da06f0a-710e-4b86-b1f6-0d9c265309fe}">
  <ds:schemaRefs/>
</ds:datastoreItem>
</file>

<file path=customXml/itemProps25.xml><?xml version="1.0" encoding="utf-8"?>
<ds:datastoreItem xmlns:ds="http://schemas.openxmlformats.org/officeDocument/2006/customXml" ds:itemID="{1c06766b-f202-4821-afea-de6cd934f161}">
  <ds:schemaRefs/>
</ds:datastoreItem>
</file>

<file path=customXml/itemProps26.xml><?xml version="1.0" encoding="utf-8"?>
<ds:datastoreItem xmlns:ds="http://schemas.openxmlformats.org/officeDocument/2006/customXml" ds:itemID="{ff99bfb0-cf01-4d0c-b0d7-e90dcbe72b87}">
  <ds:schemaRefs/>
</ds:datastoreItem>
</file>

<file path=customXml/itemProps27.xml><?xml version="1.0" encoding="utf-8"?>
<ds:datastoreItem xmlns:ds="http://schemas.openxmlformats.org/officeDocument/2006/customXml" ds:itemID="{463fb1b2-9fcb-4143-b084-df49d72ee5b8}">
  <ds:schemaRefs/>
</ds:datastoreItem>
</file>

<file path=customXml/itemProps28.xml><?xml version="1.0" encoding="utf-8"?>
<ds:datastoreItem xmlns:ds="http://schemas.openxmlformats.org/officeDocument/2006/customXml" ds:itemID="{65591813-cacf-45f9-94d2-6b19797ff24f}">
  <ds:schemaRefs/>
</ds:datastoreItem>
</file>

<file path=customXml/itemProps29.xml><?xml version="1.0" encoding="utf-8"?>
<ds:datastoreItem xmlns:ds="http://schemas.openxmlformats.org/officeDocument/2006/customXml" ds:itemID="{46bdc11e-4a6a-4f97-bea5-283afbec611f}">
  <ds:schemaRefs/>
</ds:datastoreItem>
</file>

<file path=customXml/itemProps3.xml><?xml version="1.0" encoding="utf-8"?>
<ds:datastoreItem xmlns:ds="http://schemas.openxmlformats.org/officeDocument/2006/customXml" ds:itemID="{2bd60f3d-40dd-4e8d-b186-6b13b29ae1e7}">
  <ds:schemaRefs/>
</ds:datastoreItem>
</file>

<file path=customXml/itemProps30.xml><?xml version="1.0" encoding="utf-8"?>
<ds:datastoreItem xmlns:ds="http://schemas.openxmlformats.org/officeDocument/2006/customXml" ds:itemID="{e7b8e3d8-c470-42ca-bbde-88dc2d694b31}">
  <ds:schemaRefs/>
</ds:datastoreItem>
</file>

<file path=customXml/itemProps4.xml><?xml version="1.0" encoding="utf-8"?>
<ds:datastoreItem xmlns:ds="http://schemas.openxmlformats.org/officeDocument/2006/customXml" ds:itemID="{815195e5-3682-4581-8b09-49c9a450458b}">
  <ds:schemaRefs/>
</ds:datastoreItem>
</file>

<file path=customXml/itemProps5.xml><?xml version="1.0" encoding="utf-8"?>
<ds:datastoreItem xmlns:ds="http://schemas.openxmlformats.org/officeDocument/2006/customXml" ds:itemID="{43fb54fd-8ff6-4c63-9749-c593a51c6a25}">
  <ds:schemaRefs/>
</ds:datastoreItem>
</file>

<file path=customXml/itemProps6.xml><?xml version="1.0" encoding="utf-8"?>
<ds:datastoreItem xmlns:ds="http://schemas.openxmlformats.org/officeDocument/2006/customXml" ds:itemID="{29d05b66-39aa-4309-83f5-7fb72329dd07}">
  <ds:schemaRefs/>
</ds:datastoreItem>
</file>

<file path=customXml/itemProps7.xml><?xml version="1.0" encoding="utf-8"?>
<ds:datastoreItem xmlns:ds="http://schemas.openxmlformats.org/officeDocument/2006/customXml" ds:itemID="{22249aa3-f669-4921-891a-b019ed61cd14}">
  <ds:schemaRefs/>
</ds:datastoreItem>
</file>

<file path=customXml/itemProps8.xml><?xml version="1.0" encoding="utf-8"?>
<ds:datastoreItem xmlns:ds="http://schemas.openxmlformats.org/officeDocument/2006/customXml" ds:itemID="{5f403e0a-838b-4794-974b-88488787eca5}">
  <ds:schemaRefs/>
</ds:datastoreItem>
</file>

<file path=customXml/itemProps9.xml><?xml version="1.0" encoding="utf-8"?>
<ds:datastoreItem xmlns:ds="http://schemas.openxmlformats.org/officeDocument/2006/customXml" ds:itemID="{a9fd658b-3779-420d-9d85-4b3753d04871}">
  <ds:schemaRefs/>
</ds:datastoreItem>
</file>

<file path=docProps/app.xml><?xml version="1.0" encoding="utf-8"?>
<Properties xmlns="http://schemas.openxmlformats.org/officeDocument/2006/extended-properties" xmlns:vt="http://schemas.openxmlformats.org/officeDocument/2006/docPropsVTypes">
  <Pages>59</Pages>
  <Words>20191</Words>
  <Characters>24039</Characters>
  <TotalTime>15</TotalTime>
  <ScaleCrop>false</ScaleCrop>
  <LinksUpToDate>false</LinksUpToDate>
  <CharactersWithSpaces>25113</CharactersWithSpaces>
  <Application>WPS Office_11.1.0.12358_F1E327BC-269C-435d-A152-05C5408002CA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2022-07-29T10:46:00Z</dcterms:created>
  <dc:creator>Administrator</dc:creator>
  <cp:lastModifiedBy>Administrator</cp:lastModifiedBy>
  <dcterms:modified xsi:type="dcterms:W3CDTF">2022-09-16T11:25:26Z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71BC5F0617944567ABD0B22D45EAD5D3</vt:lpwstr>
  </property>
</Properties>
</file>