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spacing w:line="600" w:lineRule="exact"/>
        <w:jc w:val="center"/>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宁晋县交通运输局</w:t>
      </w:r>
    </w:p>
    <w:p>
      <w:pPr>
        <w:keepNext w:val="0"/>
        <w:keepLines w:val="0"/>
        <w:pageBreakBefore w:val="0"/>
        <w:kinsoku/>
        <w:wordWrap/>
        <w:overflowPunct/>
        <w:topLinePunct w:val="0"/>
        <w:autoSpaceDE/>
        <w:autoSpaceDN/>
        <w:bidi w:val="0"/>
        <w:spacing w:line="60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关于促进交通运输发展的六条政策措施</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spacing w:before="180" w:beforeAutospacing="0" w:after="0" w:afterAutospacing="0" w:line="600" w:lineRule="exact"/>
        <w:ind w:left="0" w:right="0" w:firstLine="0"/>
        <w:rPr>
          <w:rFonts w:hint="eastAsia" w:ascii="宋体" w:hAnsi="宋体" w:eastAsia="宋体" w:cs="宋体"/>
          <w:i w:val="0"/>
          <w:iCs w:val="0"/>
          <w:caps w:val="0"/>
          <w:color w:val="666666"/>
          <w:spacing w:val="0"/>
          <w:sz w:val="14"/>
          <w:szCs w:val="14"/>
        </w:rPr>
      </w:pPr>
      <w:r>
        <w:rPr>
          <w:rFonts w:hint="eastAsia" w:ascii="宋体" w:hAnsi="宋体" w:eastAsia="宋体" w:cs="宋体"/>
          <w:i w:val="0"/>
          <w:iCs w:val="0"/>
          <w:caps w:val="0"/>
          <w:color w:val="666666"/>
          <w:spacing w:val="0"/>
          <w:sz w:val="14"/>
          <w:szCs w:val="14"/>
          <w:shd w:val="clear" w:color="auto" w:fill="FFFFFF"/>
        </w:rPr>
        <w:t>　　</w:t>
      </w:r>
    </w:p>
    <w:p>
      <w:pPr>
        <w:pStyle w:val="10"/>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600" w:lineRule="exact"/>
        <w:ind w:left="-10" w:leftChars="0" w:right="0" w:firstLine="640" w:firstLineChars="0"/>
        <w:textAlignment w:val="auto"/>
        <w:rPr>
          <w:rFonts w:hint="eastAsia" w:ascii="楷体_GB2312" w:hAnsi="楷体_GB2312" w:eastAsia="楷体_GB2312" w:cs="楷体_GB2312"/>
          <w:i w:val="0"/>
          <w:iCs w:val="0"/>
          <w:caps w:val="0"/>
          <w:color w:val="auto"/>
          <w:spacing w:val="0"/>
          <w:sz w:val="32"/>
          <w:szCs w:val="32"/>
          <w:highlight w:val="none"/>
          <w:shd w:val="clear" w:color="auto" w:fill="FFFFFF"/>
          <w:lang w:eastAsia="zh-CN"/>
        </w:rPr>
      </w:pPr>
      <w:r>
        <w:rPr>
          <w:rFonts w:hint="eastAsia" w:ascii="黑体" w:hAnsi="黑体" w:eastAsia="黑体" w:cs="黑体"/>
          <w:sz w:val="32"/>
          <w:szCs w:val="32"/>
        </w:rPr>
        <w:t>加快在建项目建设进度。</w:t>
      </w:r>
      <w:r>
        <w:rPr>
          <w:rStyle w:val="20"/>
          <w:rFonts w:hint="eastAsia" w:ascii="仿宋_GB2312" w:hAnsi="仿宋_GB2312" w:eastAsia="仿宋_GB2312"/>
          <w:sz w:val="32"/>
          <w:szCs w:val="32"/>
          <w:lang w:val="en-US" w:eastAsia="zh-CN"/>
        </w:rPr>
        <w:t>继续全力以赴加快与河北高速集团有限公司青银分公司对接移交工作，根据建设协议完善土地手续办理、落实开办费用、开展资产清查签署移交协议，形成更多实物投资，推动宁晋县青银高速增设国道G339线互通式立交工程早移交、早开通、早运营。</w:t>
      </w:r>
      <w:r>
        <w:rPr>
          <w:rFonts w:hint="eastAsia" w:ascii="楷体_GB2312" w:hAnsi="楷体_GB2312" w:eastAsia="楷体_GB2312" w:cs="楷体_GB2312"/>
          <w:i w:val="0"/>
          <w:iCs w:val="0"/>
          <w:caps w:val="0"/>
          <w:color w:val="auto"/>
          <w:spacing w:val="0"/>
          <w:sz w:val="32"/>
          <w:szCs w:val="32"/>
          <w:highlight w:val="none"/>
          <w:shd w:val="clear" w:color="auto" w:fill="FFFFFF"/>
          <w:lang w:eastAsia="zh-CN"/>
        </w:rPr>
        <w:t>（县</w:t>
      </w:r>
      <w:r>
        <w:rPr>
          <w:rFonts w:hint="eastAsia" w:ascii="楷体_GB2312" w:hAnsi="楷体_GB2312" w:eastAsia="楷体_GB2312" w:cs="楷体_GB2312"/>
          <w:i w:val="0"/>
          <w:iCs w:val="0"/>
          <w:caps w:val="0"/>
          <w:color w:val="auto"/>
          <w:spacing w:val="0"/>
          <w:sz w:val="32"/>
          <w:szCs w:val="32"/>
          <w:highlight w:val="none"/>
          <w:shd w:val="clear" w:color="auto" w:fill="FFFFFF"/>
        </w:rPr>
        <w:t>交通运输</w:t>
      </w:r>
      <w:r>
        <w:rPr>
          <w:rFonts w:hint="eastAsia" w:ascii="楷体_GB2312" w:hAnsi="楷体_GB2312" w:eastAsia="楷体_GB2312" w:cs="楷体_GB2312"/>
          <w:i w:val="0"/>
          <w:iCs w:val="0"/>
          <w:caps w:val="0"/>
          <w:color w:val="auto"/>
          <w:spacing w:val="0"/>
          <w:sz w:val="32"/>
          <w:szCs w:val="32"/>
          <w:highlight w:val="none"/>
          <w:shd w:val="clear" w:color="auto" w:fill="FFFFFF"/>
          <w:lang w:eastAsia="zh-CN"/>
        </w:rPr>
        <w:t>局（</w:t>
      </w:r>
      <w:r>
        <w:rPr>
          <w:rFonts w:hint="eastAsia" w:ascii="楷体_GB2312" w:hAnsi="楷体_GB2312" w:eastAsia="楷体_GB2312" w:cs="楷体_GB2312"/>
          <w:i w:val="0"/>
          <w:iCs w:val="0"/>
          <w:caps w:val="0"/>
          <w:color w:val="auto"/>
          <w:spacing w:val="0"/>
          <w:sz w:val="32"/>
          <w:szCs w:val="32"/>
          <w:highlight w:val="none"/>
          <w:shd w:val="clear" w:color="auto" w:fill="FFFFFF"/>
        </w:rPr>
        <w:t>其他交通运输项目</w:t>
      </w:r>
      <w:r>
        <w:rPr>
          <w:rFonts w:hint="eastAsia" w:ascii="楷体_GB2312" w:hAnsi="楷体_GB2312" w:eastAsia="楷体_GB2312" w:cs="楷体_GB2312"/>
          <w:i w:val="0"/>
          <w:iCs w:val="0"/>
          <w:caps w:val="0"/>
          <w:color w:val="auto"/>
          <w:spacing w:val="0"/>
          <w:sz w:val="32"/>
          <w:szCs w:val="32"/>
          <w:highlight w:val="none"/>
          <w:shd w:val="clear" w:color="auto" w:fill="FFFFFF"/>
          <w:lang w:eastAsia="zh-CN"/>
        </w:rPr>
        <w:t>），县财政局、县自然资源和规划局、</w:t>
      </w:r>
      <w:r>
        <w:rPr>
          <w:rFonts w:hint="eastAsia" w:ascii="楷体_GB2312" w:hAnsi="楷体_GB2312" w:eastAsia="楷体_GB2312" w:cs="楷体_GB2312"/>
          <w:i w:val="0"/>
          <w:iCs w:val="0"/>
          <w:caps w:val="0"/>
          <w:color w:val="auto"/>
          <w:spacing w:val="0"/>
          <w:sz w:val="32"/>
          <w:szCs w:val="32"/>
          <w:highlight w:val="none"/>
          <w:shd w:val="clear" w:color="auto" w:fill="FFFFFF"/>
          <w:lang w:val="en-US" w:eastAsia="zh-CN"/>
        </w:rPr>
        <w:t>县税务局</w:t>
      </w:r>
      <w:r>
        <w:rPr>
          <w:rFonts w:hint="eastAsia" w:ascii="楷体_GB2312" w:hAnsi="楷体_GB2312" w:eastAsia="楷体_GB2312" w:cs="楷体_GB2312"/>
          <w:i w:val="0"/>
          <w:iCs w:val="0"/>
          <w:caps w:val="0"/>
          <w:color w:val="auto"/>
          <w:spacing w:val="0"/>
          <w:sz w:val="32"/>
          <w:szCs w:val="32"/>
          <w:highlight w:val="none"/>
          <w:shd w:val="clear" w:color="auto" w:fill="FFFFFF"/>
          <w:lang w:eastAsia="zh-CN"/>
        </w:rPr>
        <w:t>）</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rFonts w:hint="eastAsia" w:ascii="楷体_GB2312" w:hAnsi="楷体_GB2312" w:eastAsia="楷体_GB2312" w:cs="楷体_GB2312"/>
          <w:i w:val="0"/>
          <w:iCs w:val="0"/>
          <w:caps w:val="0"/>
          <w:color w:val="auto"/>
          <w:spacing w:val="0"/>
          <w:sz w:val="32"/>
          <w:szCs w:val="32"/>
          <w:highlight w:val="none"/>
          <w:shd w:val="clear" w:color="auto" w:fill="FFFFFF"/>
          <w:lang w:eastAsia="zh-CN"/>
        </w:rPr>
      </w:pPr>
      <w:r>
        <w:rPr>
          <w:rFonts w:hint="eastAsia" w:ascii="黑体" w:hAnsi="黑体" w:eastAsia="黑体" w:cs="黑体"/>
          <w:sz w:val="32"/>
          <w:szCs w:val="32"/>
          <w:highlight w:val="none"/>
        </w:rPr>
        <w:t>二、推动新开工项目尽早实施。</w:t>
      </w:r>
      <w:r>
        <w:rPr>
          <w:rFonts w:hint="eastAsia" w:ascii="仿宋" w:hAnsi="仿宋" w:eastAsia="仿宋" w:cs="仿宋"/>
          <w:b w:val="0"/>
          <w:bCs w:val="0"/>
          <w:sz w:val="32"/>
          <w:szCs w:val="32"/>
          <w:highlight w:val="none"/>
          <w:lang w:val="en-US" w:eastAsia="zh-CN"/>
        </w:rPr>
        <w:t>加快推进2022年农村公路项目进场施工，确保下半年完成交通</w:t>
      </w:r>
      <w:r>
        <w:rPr>
          <w:rStyle w:val="20"/>
          <w:rFonts w:hint="eastAsia" w:ascii="仿宋" w:hAnsi="仿宋" w:eastAsia="仿宋" w:cs="仿宋"/>
          <w:b w:val="0"/>
          <w:bCs w:val="0"/>
          <w:sz w:val="32"/>
          <w:szCs w:val="32"/>
          <w:highlight w:val="none"/>
          <w:lang w:val="en-US" w:eastAsia="zh-CN"/>
        </w:rPr>
        <w:t>年度投资1.6亿元。全力</w:t>
      </w:r>
      <w:r>
        <w:rPr>
          <w:rStyle w:val="20"/>
          <w:rFonts w:hint="eastAsia" w:ascii="仿宋" w:hAnsi="仿宋" w:eastAsia="仿宋" w:cs="仿宋"/>
          <w:b w:val="0"/>
          <w:bCs w:val="0"/>
          <w:sz w:val="32"/>
          <w:szCs w:val="32"/>
          <w:highlight w:val="none"/>
          <w:lang w:val="en-US"/>
        </w:rPr>
        <w:t>推进</w:t>
      </w:r>
      <w:r>
        <w:rPr>
          <w:rStyle w:val="20"/>
          <w:rFonts w:hint="eastAsia" w:ascii="仿宋" w:hAnsi="仿宋" w:eastAsia="仿宋" w:cs="仿宋"/>
          <w:b w:val="0"/>
          <w:bCs w:val="0"/>
          <w:sz w:val="32"/>
          <w:szCs w:val="32"/>
          <w:highlight w:val="none"/>
        </w:rPr>
        <w:t>国道G</w:t>
      </w:r>
      <w:r>
        <w:rPr>
          <w:rStyle w:val="20"/>
          <w:rFonts w:hint="eastAsia" w:ascii="仿宋" w:hAnsi="仿宋" w:eastAsia="仿宋" w:cs="仿宋"/>
          <w:b w:val="0"/>
          <w:bCs w:val="0"/>
          <w:sz w:val="32"/>
          <w:szCs w:val="32"/>
          <w:highlight w:val="none"/>
          <w:lang w:val="en-US"/>
        </w:rPr>
        <w:t>515宁晋</w:t>
      </w:r>
      <w:r>
        <w:rPr>
          <w:rStyle w:val="20"/>
          <w:rFonts w:hint="eastAsia" w:ascii="仿宋" w:hAnsi="仿宋" w:eastAsia="仿宋" w:cs="仿宋"/>
          <w:b w:val="0"/>
          <w:bCs w:val="0"/>
          <w:sz w:val="32"/>
          <w:szCs w:val="32"/>
          <w:highlight w:val="none"/>
        </w:rPr>
        <w:t>段</w:t>
      </w:r>
      <w:r>
        <w:rPr>
          <w:rStyle w:val="20"/>
          <w:rFonts w:hint="eastAsia" w:ascii="仿宋" w:hAnsi="仿宋" w:eastAsia="仿宋" w:cs="仿宋"/>
          <w:b w:val="0"/>
          <w:bCs w:val="0"/>
          <w:sz w:val="32"/>
          <w:szCs w:val="32"/>
          <w:highlight w:val="none"/>
          <w:lang w:val="en-US"/>
        </w:rPr>
        <w:t>征地组卷工作，</w:t>
      </w:r>
      <w:r>
        <w:rPr>
          <w:rStyle w:val="20"/>
          <w:rFonts w:hint="eastAsia" w:ascii="仿宋" w:hAnsi="仿宋" w:eastAsia="仿宋" w:cs="仿宋"/>
          <w:b w:val="0"/>
          <w:bCs w:val="0"/>
          <w:sz w:val="32"/>
          <w:szCs w:val="32"/>
          <w:highlight w:val="none"/>
          <w:lang w:val="en-US" w:eastAsia="zh-CN"/>
        </w:rPr>
        <w:t>年底前控制性工程开工。</w:t>
      </w:r>
      <w:r>
        <w:rPr>
          <w:rFonts w:hint="eastAsia" w:ascii="楷体_GB2312" w:hAnsi="楷体_GB2312" w:eastAsia="楷体_GB2312" w:cs="楷体_GB2312"/>
          <w:i w:val="0"/>
          <w:iCs w:val="0"/>
          <w:caps w:val="0"/>
          <w:color w:val="auto"/>
          <w:spacing w:val="0"/>
          <w:sz w:val="32"/>
          <w:szCs w:val="32"/>
          <w:highlight w:val="none"/>
          <w:shd w:val="clear" w:color="auto" w:fill="FFFFFF"/>
          <w:lang w:eastAsia="zh-CN"/>
        </w:rPr>
        <w:t>（县</w:t>
      </w:r>
      <w:r>
        <w:rPr>
          <w:rFonts w:hint="eastAsia" w:ascii="楷体_GB2312" w:hAnsi="楷体_GB2312" w:eastAsia="楷体_GB2312" w:cs="楷体_GB2312"/>
          <w:i w:val="0"/>
          <w:iCs w:val="0"/>
          <w:caps w:val="0"/>
          <w:color w:val="auto"/>
          <w:spacing w:val="0"/>
          <w:sz w:val="32"/>
          <w:szCs w:val="32"/>
          <w:highlight w:val="none"/>
          <w:shd w:val="clear" w:color="auto" w:fill="FFFFFF"/>
        </w:rPr>
        <w:t>交通运输</w:t>
      </w:r>
      <w:r>
        <w:rPr>
          <w:rFonts w:hint="eastAsia" w:ascii="楷体_GB2312" w:hAnsi="楷体_GB2312" w:eastAsia="楷体_GB2312" w:cs="楷体_GB2312"/>
          <w:i w:val="0"/>
          <w:iCs w:val="0"/>
          <w:caps w:val="0"/>
          <w:color w:val="auto"/>
          <w:spacing w:val="0"/>
          <w:sz w:val="32"/>
          <w:szCs w:val="32"/>
          <w:highlight w:val="none"/>
          <w:shd w:val="clear" w:color="auto" w:fill="FFFFFF"/>
          <w:lang w:eastAsia="zh-CN"/>
        </w:rPr>
        <w:t>局（</w:t>
      </w:r>
      <w:r>
        <w:rPr>
          <w:rFonts w:hint="eastAsia" w:ascii="楷体_GB2312" w:hAnsi="楷体_GB2312" w:eastAsia="楷体_GB2312" w:cs="楷体_GB2312"/>
          <w:i w:val="0"/>
          <w:iCs w:val="0"/>
          <w:caps w:val="0"/>
          <w:color w:val="auto"/>
          <w:spacing w:val="0"/>
          <w:sz w:val="32"/>
          <w:szCs w:val="32"/>
          <w:highlight w:val="none"/>
          <w:shd w:val="clear" w:color="auto" w:fill="FFFFFF"/>
        </w:rPr>
        <w:t>其他交通运输项目</w:t>
      </w:r>
      <w:r>
        <w:rPr>
          <w:rFonts w:hint="eastAsia" w:ascii="楷体_GB2312" w:hAnsi="楷体_GB2312" w:eastAsia="楷体_GB2312" w:cs="楷体_GB2312"/>
          <w:i w:val="0"/>
          <w:iCs w:val="0"/>
          <w:caps w:val="0"/>
          <w:color w:val="auto"/>
          <w:spacing w:val="0"/>
          <w:sz w:val="32"/>
          <w:szCs w:val="32"/>
          <w:highlight w:val="none"/>
          <w:shd w:val="clear" w:color="auto" w:fill="FFFFFF"/>
          <w:lang w:eastAsia="zh-CN"/>
        </w:rPr>
        <w:t>）、县财政局、县自然资源和规划局，有关</w:t>
      </w:r>
      <w:r>
        <w:rPr>
          <w:rFonts w:hint="eastAsia" w:ascii="楷体_GB2312" w:hAnsi="楷体_GB2312" w:eastAsia="楷体_GB2312" w:cs="楷体_GB2312"/>
          <w:i w:val="0"/>
          <w:iCs w:val="0"/>
          <w:caps w:val="0"/>
          <w:color w:val="auto"/>
          <w:spacing w:val="0"/>
          <w:sz w:val="32"/>
          <w:szCs w:val="32"/>
          <w:highlight w:val="none"/>
          <w:shd w:val="clear" w:color="auto" w:fill="FFFFFF"/>
          <w:lang w:val="en-US" w:eastAsia="zh-CN"/>
        </w:rPr>
        <w:t>乡镇</w:t>
      </w:r>
      <w:r>
        <w:rPr>
          <w:rFonts w:hint="eastAsia" w:ascii="楷体_GB2312" w:hAnsi="楷体_GB2312" w:eastAsia="楷体_GB2312" w:cs="楷体_GB2312"/>
          <w:i w:val="0"/>
          <w:iCs w:val="0"/>
          <w:caps w:val="0"/>
          <w:color w:val="auto"/>
          <w:spacing w:val="0"/>
          <w:sz w:val="32"/>
          <w:szCs w:val="32"/>
          <w:highlight w:val="none"/>
          <w:shd w:val="clear" w:color="auto" w:fill="FFFFFF"/>
        </w:rPr>
        <w:t>政府</w:t>
      </w:r>
      <w:r>
        <w:rPr>
          <w:rFonts w:hint="eastAsia" w:ascii="楷体_GB2312" w:hAnsi="楷体_GB2312" w:eastAsia="楷体_GB2312" w:cs="楷体_GB2312"/>
          <w:i w:val="0"/>
          <w:iCs w:val="0"/>
          <w:caps w:val="0"/>
          <w:color w:val="auto"/>
          <w:spacing w:val="0"/>
          <w:sz w:val="32"/>
          <w:szCs w:val="32"/>
          <w:highlight w:val="none"/>
          <w:shd w:val="clear" w:color="auto" w:fill="FFFFFF"/>
          <w:lang w:eastAsia="zh-CN"/>
        </w:rPr>
        <w:t>）</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rFonts w:hint="eastAsia" w:ascii="楷体_GB2312" w:hAnsi="楷体_GB2312" w:eastAsia="楷体_GB2312" w:cs="楷体_GB2312"/>
          <w:i w:val="0"/>
          <w:iCs w:val="0"/>
          <w:caps w:val="0"/>
          <w:color w:val="auto"/>
          <w:spacing w:val="0"/>
          <w:sz w:val="32"/>
          <w:szCs w:val="32"/>
          <w:highlight w:val="none"/>
          <w:shd w:val="clear" w:color="auto" w:fill="FFFFFF"/>
          <w:lang w:eastAsia="zh-CN"/>
        </w:rPr>
      </w:pPr>
      <w:r>
        <w:rPr>
          <w:rFonts w:hint="eastAsia" w:ascii="黑体" w:hAnsi="黑体" w:eastAsia="黑体" w:cs="黑体"/>
          <w:sz w:val="32"/>
          <w:szCs w:val="32"/>
          <w:highlight w:val="none"/>
        </w:rPr>
        <w:t>三、推进“十四五”时期成熟项目应开尽开、能开尽开。</w:t>
      </w:r>
      <w:r>
        <w:rPr>
          <w:rStyle w:val="20"/>
          <w:rFonts w:hint="default" w:ascii="仿宋_GB2312" w:hAnsi="仿宋_GB2312" w:eastAsia="仿宋_GB2312"/>
          <w:sz w:val="32"/>
          <w:szCs w:val="32"/>
          <w:highlight w:val="none"/>
          <w:lang w:val="en-US" w:eastAsia="zh-CN"/>
        </w:rPr>
        <w:t>全面梳理“十四五”</w:t>
      </w:r>
      <w:r>
        <w:rPr>
          <w:rStyle w:val="20"/>
          <w:rFonts w:hint="eastAsia" w:ascii="仿宋_GB2312" w:hAnsi="仿宋_GB2312" w:eastAsia="仿宋_GB2312"/>
          <w:sz w:val="32"/>
          <w:szCs w:val="32"/>
          <w:highlight w:val="none"/>
          <w:lang w:val="en-US" w:eastAsia="zh-CN"/>
        </w:rPr>
        <w:t>期间交通建设</w:t>
      </w:r>
      <w:r>
        <w:rPr>
          <w:rStyle w:val="20"/>
          <w:rFonts w:hint="default" w:ascii="仿宋_GB2312" w:hAnsi="仿宋_GB2312" w:eastAsia="仿宋_GB2312"/>
          <w:sz w:val="32"/>
          <w:szCs w:val="32"/>
          <w:highlight w:val="none"/>
          <w:lang w:val="en-US" w:eastAsia="zh-CN"/>
        </w:rPr>
        <w:t>项目</w:t>
      </w:r>
      <w:r>
        <w:rPr>
          <w:rStyle w:val="20"/>
          <w:rFonts w:hint="eastAsia" w:ascii="仿宋_GB2312" w:hAnsi="仿宋_GB2312" w:eastAsia="仿宋_GB2312"/>
          <w:sz w:val="32"/>
          <w:szCs w:val="32"/>
          <w:highlight w:val="none"/>
          <w:lang w:val="en-US" w:eastAsia="zh-CN"/>
        </w:rPr>
        <w:t>，加快项目前期工作进度。争取国道G339宁晋段建设项目今年立项，确保明年</w:t>
      </w:r>
      <w:r>
        <w:rPr>
          <w:rStyle w:val="20"/>
          <w:rFonts w:hint="default" w:ascii="仿宋_GB2312" w:hAnsi="仿宋_GB2312" w:eastAsia="仿宋_GB2312"/>
          <w:sz w:val="32"/>
          <w:szCs w:val="32"/>
          <w:highlight w:val="none"/>
          <w:lang w:val="en-US" w:eastAsia="zh-CN"/>
        </w:rPr>
        <w:t>开工</w:t>
      </w:r>
      <w:r>
        <w:rPr>
          <w:rStyle w:val="20"/>
          <w:rFonts w:hint="eastAsia" w:ascii="仿宋_GB2312" w:hAnsi="仿宋_GB2312" w:eastAsia="仿宋_GB2312"/>
          <w:sz w:val="32"/>
          <w:szCs w:val="32"/>
          <w:highlight w:val="none"/>
          <w:lang w:val="en-US" w:eastAsia="zh-CN"/>
        </w:rPr>
        <w:t>建设</w:t>
      </w:r>
      <w:r>
        <w:rPr>
          <w:rStyle w:val="20"/>
          <w:rFonts w:hint="default" w:ascii="仿宋_GB2312" w:hAnsi="仿宋_GB2312" w:eastAsia="仿宋_GB2312"/>
          <w:sz w:val="32"/>
          <w:szCs w:val="32"/>
          <w:highlight w:val="none"/>
          <w:lang w:val="en-US" w:eastAsia="zh-CN"/>
        </w:rPr>
        <w:t>。</w:t>
      </w:r>
      <w:r>
        <w:rPr>
          <w:rFonts w:hint="eastAsia" w:ascii="楷体_GB2312" w:hAnsi="楷体_GB2312" w:eastAsia="楷体_GB2312" w:cs="楷体_GB2312"/>
          <w:i w:val="0"/>
          <w:iCs w:val="0"/>
          <w:caps w:val="0"/>
          <w:color w:val="auto"/>
          <w:spacing w:val="0"/>
          <w:sz w:val="32"/>
          <w:szCs w:val="32"/>
          <w:highlight w:val="none"/>
          <w:shd w:val="clear" w:color="auto" w:fill="FFFFFF"/>
          <w:lang w:eastAsia="zh-CN"/>
        </w:rPr>
        <w:t>（县</w:t>
      </w:r>
      <w:r>
        <w:rPr>
          <w:rFonts w:hint="eastAsia" w:ascii="楷体_GB2312" w:hAnsi="楷体_GB2312" w:eastAsia="楷体_GB2312" w:cs="楷体_GB2312"/>
          <w:i w:val="0"/>
          <w:iCs w:val="0"/>
          <w:caps w:val="0"/>
          <w:color w:val="auto"/>
          <w:spacing w:val="0"/>
          <w:sz w:val="32"/>
          <w:szCs w:val="32"/>
          <w:highlight w:val="none"/>
          <w:shd w:val="clear" w:color="auto" w:fill="FFFFFF"/>
        </w:rPr>
        <w:t>交通运输</w:t>
      </w:r>
      <w:r>
        <w:rPr>
          <w:rFonts w:hint="eastAsia" w:ascii="楷体_GB2312" w:hAnsi="楷体_GB2312" w:eastAsia="楷体_GB2312" w:cs="楷体_GB2312"/>
          <w:i w:val="0"/>
          <w:iCs w:val="0"/>
          <w:caps w:val="0"/>
          <w:color w:val="auto"/>
          <w:spacing w:val="0"/>
          <w:sz w:val="32"/>
          <w:szCs w:val="32"/>
          <w:highlight w:val="none"/>
          <w:shd w:val="clear" w:color="auto" w:fill="FFFFFF"/>
          <w:lang w:eastAsia="zh-CN"/>
        </w:rPr>
        <w:t>局</w:t>
      </w:r>
      <w:r>
        <w:rPr>
          <w:rFonts w:hint="eastAsia" w:ascii="楷体_GB2312" w:hAnsi="楷体_GB2312" w:eastAsia="楷体_GB2312" w:cs="楷体_GB2312"/>
          <w:i w:val="0"/>
          <w:iCs w:val="0"/>
          <w:caps w:val="0"/>
          <w:color w:val="auto"/>
          <w:spacing w:val="0"/>
          <w:sz w:val="32"/>
          <w:szCs w:val="32"/>
          <w:highlight w:val="none"/>
          <w:shd w:val="clear" w:color="auto" w:fill="FFFFFF"/>
        </w:rPr>
        <w:t>、</w:t>
      </w:r>
      <w:r>
        <w:rPr>
          <w:rFonts w:hint="eastAsia" w:ascii="楷体_GB2312" w:hAnsi="楷体_GB2312" w:eastAsia="楷体_GB2312" w:cs="楷体_GB2312"/>
          <w:i w:val="0"/>
          <w:iCs w:val="0"/>
          <w:caps w:val="0"/>
          <w:color w:val="auto"/>
          <w:spacing w:val="0"/>
          <w:sz w:val="32"/>
          <w:szCs w:val="32"/>
          <w:highlight w:val="none"/>
          <w:shd w:val="clear" w:color="auto" w:fill="FFFFFF"/>
          <w:lang w:eastAsia="zh-CN"/>
        </w:rPr>
        <w:t>县财政局、县自然资源和规划局，有关</w:t>
      </w:r>
      <w:r>
        <w:rPr>
          <w:rFonts w:hint="eastAsia" w:ascii="楷体_GB2312" w:hAnsi="楷体_GB2312" w:eastAsia="楷体_GB2312" w:cs="楷体_GB2312"/>
          <w:i w:val="0"/>
          <w:iCs w:val="0"/>
          <w:caps w:val="0"/>
          <w:color w:val="auto"/>
          <w:spacing w:val="0"/>
          <w:sz w:val="32"/>
          <w:szCs w:val="32"/>
          <w:highlight w:val="none"/>
          <w:shd w:val="clear" w:color="auto" w:fill="FFFFFF"/>
          <w:lang w:val="en-US" w:eastAsia="zh-CN"/>
        </w:rPr>
        <w:t>乡镇</w:t>
      </w:r>
      <w:r>
        <w:rPr>
          <w:rFonts w:hint="eastAsia" w:ascii="楷体_GB2312" w:hAnsi="楷体_GB2312" w:eastAsia="楷体_GB2312" w:cs="楷体_GB2312"/>
          <w:i w:val="0"/>
          <w:iCs w:val="0"/>
          <w:caps w:val="0"/>
          <w:color w:val="auto"/>
          <w:spacing w:val="0"/>
          <w:sz w:val="32"/>
          <w:szCs w:val="32"/>
          <w:highlight w:val="none"/>
          <w:shd w:val="clear" w:color="auto" w:fill="FFFFFF"/>
        </w:rPr>
        <w:t>政府</w:t>
      </w:r>
      <w:r>
        <w:rPr>
          <w:rFonts w:hint="eastAsia" w:ascii="楷体_GB2312" w:hAnsi="楷体_GB2312" w:eastAsia="楷体_GB2312" w:cs="楷体_GB2312"/>
          <w:i w:val="0"/>
          <w:iCs w:val="0"/>
          <w:caps w:val="0"/>
          <w:color w:val="auto"/>
          <w:spacing w:val="0"/>
          <w:sz w:val="32"/>
          <w:szCs w:val="32"/>
          <w:highlight w:val="none"/>
          <w:shd w:val="clear" w:color="auto" w:fill="FFFFFF"/>
          <w:lang w:eastAsia="zh-CN"/>
        </w:rPr>
        <w:t>）</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rFonts w:hint="eastAsia" w:ascii="楷体_GB2312" w:hAnsi="楷体_GB2312" w:eastAsia="楷体_GB2312" w:cs="楷体_GB2312"/>
          <w:i w:val="0"/>
          <w:iCs w:val="0"/>
          <w:caps w:val="0"/>
          <w:color w:val="auto"/>
          <w:spacing w:val="0"/>
          <w:sz w:val="32"/>
          <w:szCs w:val="32"/>
          <w:highlight w:val="none"/>
          <w:shd w:val="clear" w:color="auto" w:fill="FFFFFF"/>
        </w:rPr>
      </w:pPr>
      <w:r>
        <w:rPr>
          <w:rFonts w:hint="eastAsia" w:ascii="黑体" w:hAnsi="黑体" w:eastAsia="黑体" w:cs="黑体"/>
          <w:sz w:val="32"/>
          <w:szCs w:val="32"/>
          <w:highlight w:val="none"/>
        </w:rPr>
        <w:t>四、推动交通物流畅上加畅。</w:t>
      </w:r>
      <w:r>
        <w:rPr>
          <w:rFonts w:hint="eastAsia" w:ascii="仿宋" w:hAnsi="仿宋" w:eastAsia="仿宋" w:cs="仿宋"/>
          <w:sz w:val="32"/>
          <w:szCs w:val="32"/>
        </w:rPr>
        <w:t>全面取消对来自无疫情风险地区货运车辆的防疫通行限制，对来自或进出疫情中、高风险地区所在县(市、区、旗)的货运车辆落实“即采即走即追”制度。深入开展关心关爱货车司机行动，依法推行轻微免罚、首违不罚</w:t>
      </w:r>
      <w:r>
        <w:rPr>
          <w:rStyle w:val="20"/>
          <w:rFonts w:hint="default" w:ascii="仿宋_GB2312" w:hAnsi="仿宋_GB2312" w:eastAsia="仿宋_GB2312"/>
          <w:sz w:val="32"/>
          <w:szCs w:val="32"/>
          <w:highlight w:val="none"/>
          <w:lang w:val="en-US" w:eastAsia="zh-CN"/>
        </w:rPr>
        <w:t>。</w:t>
      </w:r>
      <w:r>
        <w:rPr>
          <w:rFonts w:hint="default" w:ascii="楷体_GB2312" w:hAnsi="楷体_GB2312" w:eastAsia="楷体_GB2312" w:cs="楷体_GB2312"/>
          <w:i w:val="0"/>
          <w:iCs w:val="0"/>
          <w:caps w:val="0"/>
          <w:color w:val="auto"/>
          <w:spacing w:val="0"/>
          <w:sz w:val="32"/>
          <w:szCs w:val="32"/>
          <w:highlight w:val="none"/>
          <w:shd w:val="clear" w:color="auto" w:fill="FFFFFF"/>
        </w:rPr>
        <w:t>(</w:t>
      </w:r>
      <w:r>
        <w:rPr>
          <w:rFonts w:hint="eastAsia" w:ascii="楷体_GB2312" w:hAnsi="楷体_GB2312" w:eastAsia="楷体_GB2312" w:cs="楷体_GB2312"/>
          <w:i w:val="0"/>
          <w:iCs w:val="0"/>
          <w:caps w:val="0"/>
          <w:color w:val="auto"/>
          <w:spacing w:val="0"/>
          <w:sz w:val="32"/>
          <w:szCs w:val="32"/>
          <w:highlight w:val="none"/>
          <w:shd w:val="clear" w:color="auto" w:fill="FFFFFF"/>
          <w:lang w:eastAsia="zh-CN"/>
        </w:rPr>
        <w:t>县</w:t>
      </w:r>
      <w:r>
        <w:rPr>
          <w:rFonts w:hint="default" w:ascii="楷体_GB2312" w:hAnsi="楷体_GB2312" w:eastAsia="楷体_GB2312" w:cs="楷体_GB2312"/>
          <w:i w:val="0"/>
          <w:iCs w:val="0"/>
          <w:caps w:val="0"/>
          <w:color w:val="auto"/>
          <w:spacing w:val="0"/>
          <w:sz w:val="32"/>
          <w:szCs w:val="32"/>
          <w:highlight w:val="none"/>
          <w:shd w:val="clear" w:color="auto" w:fill="FFFFFF"/>
        </w:rPr>
        <w:t>交通运输局、</w:t>
      </w:r>
      <w:r>
        <w:rPr>
          <w:rFonts w:hint="eastAsia" w:ascii="楷体_GB2312" w:hAnsi="楷体_GB2312" w:eastAsia="楷体_GB2312" w:cs="楷体_GB2312"/>
          <w:i w:val="0"/>
          <w:iCs w:val="0"/>
          <w:caps w:val="0"/>
          <w:color w:val="auto"/>
          <w:spacing w:val="0"/>
          <w:sz w:val="32"/>
          <w:szCs w:val="32"/>
          <w:highlight w:val="none"/>
          <w:shd w:val="clear" w:color="auto" w:fill="FFFFFF"/>
          <w:lang w:eastAsia="zh-CN"/>
        </w:rPr>
        <w:t>县</w:t>
      </w:r>
      <w:r>
        <w:rPr>
          <w:rFonts w:hint="default" w:ascii="楷体_GB2312" w:hAnsi="楷体_GB2312" w:eastAsia="楷体_GB2312" w:cs="楷体_GB2312"/>
          <w:i w:val="0"/>
          <w:iCs w:val="0"/>
          <w:caps w:val="0"/>
          <w:color w:val="auto"/>
          <w:spacing w:val="0"/>
          <w:sz w:val="32"/>
          <w:szCs w:val="32"/>
          <w:highlight w:val="none"/>
          <w:shd w:val="clear" w:color="auto" w:fill="FFFFFF"/>
        </w:rPr>
        <w:t>发展改革</w:t>
      </w:r>
      <w:r>
        <w:rPr>
          <w:rFonts w:hint="eastAsia" w:ascii="楷体_GB2312" w:hAnsi="楷体_GB2312" w:eastAsia="楷体_GB2312" w:cs="楷体_GB2312"/>
          <w:i w:val="0"/>
          <w:iCs w:val="0"/>
          <w:caps w:val="0"/>
          <w:color w:val="auto"/>
          <w:spacing w:val="0"/>
          <w:sz w:val="32"/>
          <w:szCs w:val="32"/>
          <w:highlight w:val="none"/>
          <w:shd w:val="clear" w:color="auto" w:fill="FFFFFF"/>
          <w:lang w:val="en-US" w:eastAsia="zh-CN"/>
        </w:rPr>
        <w:t>局</w:t>
      </w:r>
      <w:r>
        <w:rPr>
          <w:rFonts w:hint="default" w:ascii="楷体_GB2312" w:hAnsi="楷体_GB2312" w:eastAsia="楷体_GB2312" w:cs="楷体_GB2312"/>
          <w:i w:val="0"/>
          <w:iCs w:val="0"/>
          <w:caps w:val="0"/>
          <w:color w:val="auto"/>
          <w:spacing w:val="0"/>
          <w:sz w:val="32"/>
          <w:szCs w:val="32"/>
          <w:highlight w:val="none"/>
          <w:shd w:val="clear" w:color="auto" w:fill="FFFFFF"/>
        </w:rPr>
        <w:t>、</w:t>
      </w:r>
      <w:r>
        <w:rPr>
          <w:rFonts w:hint="eastAsia" w:ascii="楷体_GB2312" w:hAnsi="楷体_GB2312" w:eastAsia="楷体_GB2312" w:cs="楷体_GB2312"/>
          <w:i w:val="0"/>
          <w:iCs w:val="0"/>
          <w:caps w:val="0"/>
          <w:color w:val="auto"/>
          <w:spacing w:val="0"/>
          <w:sz w:val="32"/>
          <w:szCs w:val="32"/>
          <w:highlight w:val="none"/>
          <w:shd w:val="clear" w:color="auto" w:fill="FFFFFF"/>
          <w:lang w:eastAsia="zh-CN"/>
        </w:rPr>
        <w:t>县</w:t>
      </w:r>
      <w:r>
        <w:rPr>
          <w:rFonts w:hint="default" w:ascii="楷体_GB2312" w:hAnsi="楷体_GB2312" w:eastAsia="楷体_GB2312" w:cs="楷体_GB2312"/>
          <w:i w:val="0"/>
          <w:iCs w:val="0"/>
          <w:caps w:val="0"/>
          <w:color w:val="auto"/>
          <w:spacing w:val="0"/>
          <w:sz w:val="32"/>
          <w:szCs w:val="32"/>
          <w:highlight w:val="none"/>
          <w:shd w:val="clear" w:color="auto" w:fill="FFFFFF"/>
        </w:rPr>
        <w:t>公安局、</w:t>
      </w:r>
      <w:r>
        <w:rPr>
          <w:rFonts w:hint="eastAsia" w:ascii="楷体_GB2312" w:hAnsi="楷体_GB2312" w:eastAsia="楷体_GB2312" w:cs="楷体_GB2312"/>
          <w:i w:val="0"/>
          <w:iCs w:val="0"/>
          <w:caps w:val="0"/>
          <w:color w:val="auto"/>
          <w:spacing w:val="0"/>
          <w:sz w:val="32"/>
          <w:szCs w:val="32"/>
          <w:highlight w:val="none"/>
          <w:shd w:val="clear" w:color="auto" w:fill="FFFFFF"/>
          <w:lang w:eastAsia="zh-CN"/>
        </w:rPr>
        <w:t>县</w:t>
      </w:r>
      <w:r>
        <w:rPr>
          <w:rFonts w:hint="default" w:ascii="楷体_GB2312" w:hAnsi="楷体_GB2312" w:eastAsia="楷体_GB2312" w:cs="楷体_GB2312"/>
          <w:i w:val="0"/>
          <w:iCs w:val="0"/>
          <w:caps w:val="0"/>
          <w:color w:val="auto"/>
          <w:spacing w:val="0"/>
          <w:sz w:val="32"/>
          <w:szCs w:val="32"/>
          <w:highlight w:val="none"/>
          <w:shd w:val="clear" w:color="auto" w:fill="FFFFFF"/>
        </w:rPr>
        <w:t>财政局,各</w:t>
      </w:r>
      <w:r>
        <w:rPr>
          <w:rFonts w:hint="eastAsia" w:ascii="楷体_GB2312" w:hAnsi="楷体_GB2312" w:eastAsia="楷体_GB2312" w:cs="楷体_GB2312"/>
          <w:i w:val="0"/>
          <w:iCs w:val="0"/>
          <w:caps w:val="0"/>
          <w:color w:val="auto"/>
          <w:spacing w:val="0"/>
          <w:sz w:val="32"/>
          <w:szCs w:val="32"/>
          <w:highlight w:val="none"/>
          <w:shd w:val="clear" w:color="auto" w:fill="FFFFFF"/>
          <w:lang w:val="en-US" w:eastAsia="zh-CN"/>
        </w:rPr>
        <w:t>乡镇</w:t>
      </w:r>
      <w:r>
        <w:rPr>
          <w:rFonts w:hint="default" w:ascii="楷体_GB2312" w:hAnsi="楷体_GB2312" w:eastAsia="楷体_GB2312" w:cs="楷体_GB2312"/>
          <w:i w:val="0"/>
          <w:iCs w:val="0"/>
          <w:caps w:val="0"/>
          <w:color w:val="auto"/>
          <w:spacing w:val="0"/>
          <w:sz w:val="32"/>
          <w:szCs w:val="32"/>
          <w:highlight w:val="none"/>
          <w:shd w:val="clear" w:color="auto" w:fill="FFFFFF"/>
        </w:rPr>
        <w:t>政府)</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rFonts w:hint="eastAsia" w:ascii="楷体_GB2312" w:hAnsi="楷体_GB2312" w:eastAsia="楷体_GB2312" w:cs="楷体_GB2312"/>
          <w:i w:val="0"/>
          <w:iCs w:val="0"/>
          <w:caps w:val="0"/>
          <w:color w:val="auto"/>
          <w:spacing w:val="0"/>
          <w:sz w:val="32"/>
          <w:szCs w:val="32"/>
          <w:highlight w:val="none"/>
          <w:shd w:val="clear" w:color="auto" w:fill="FFFFFF"/>
        </w:rPr>
      </w:pPr>
      <w:r>
        <w:rPr>
          <w:rFonts w:hint="eastAsia" w:ascii="黑体" w:hAnsi="黑体" w:eastAsia="黑体" w:cs="黑体"/>
          <w:sz w:val="32"/>
          <w:szCs w:val="32"/>
          <w:highlight w:val="none"/>
        </w:rPr>
        <w:t>五、扎实推进路衍经济发展。</w:t>
      </w:r>
      <w:r>
        <w:rPr>
          <w:rStyle w:val="20"/>
          <w:rFonts w:hint="default" w:ascii="仿宋_GB2312" w:hAnsi="仿宋_GB2312" w:eastAsia="仿宋_GB2312"/>
          <w:sz w:val="32"/>
          <w:szCs w:val="32"/>
          <w:highlight w:val="none"/>
          <w:lang w:val="en-US" w:eastAsia="zh-CN"/>
        </w:rPr>
        <w:t>利用</w:t>
      </w:r>
      <w:r>
        <w:rPr>
          <w:rStyle w:val="20"/>
          <w:rFonts w:hint="eastAsia" w:ascii="仿宋_GB2312" w:hAnsi="仿宋_GB2312" w:eastAsia="仿宋_GB2312"/>
          <w:sz w:val="32"/>
          <w:szCs w:val="32"/>
          <w:highlight w:val="none"/>
          <w:lang w:val="en-US" w:eastAsia="zh-CN"/>
        </w:rPr>
        <w:t>公路沿线及</w:t>
      </w:r>
      <w:r>
        <w:rPr>
          <w:rStyle w:val="20"/>
          <w:rFonts w:hint="default" w:ascii="仿宋_GB2312" w:hAnsi="仿宋_GB2312" w:eastAsia="仿宋_GB2312"/>
          <w:sz w:val="32"/>
          <w:szCs w:val="32"/>
          <w:highlight w:val="none"/>
          <w:lang w:val="en-US" w:eastAsia="zh-CN"/>
        </w:rPr>
        <w:t>出入口等节点资源</w:t>
      </w:r>
      <w:r>
        <w:rPr>
          <w:rStyle w:val="20"/>
          <w:rFonts w:hint="eastAsia" w:ascii="仿宋_GB2312" w:hAnsi="仿宋_GB2312" w:eastAsia="仿宋_GB2312"/>
          <w:sz w:val="32"/>
          <w:szCs w:val="32"/>
          <w:highlight w:val="none"/>
          <w:lang w:val="en-US" w:eastAsia="zh-CN"/>
        </w:rPr>
        <w:t>，</w:t>
      </w:r>
      <w:r>
        <w:rPr>
          <w:rStyle w:val="20"/>
          <w:rFonts w:hint="default" w:ascii="仿宋_GB2312" w:hAnsi="仿宋_GB2312" w:eastAsia="仿宋_GB2312"/>
          <w:sz w:val="32"/>
          <w:szCs w:val="32"/>
          <w:highlight w:val="none"/>
          <w:lang w:val="en-US" w:eastAsia="zh-CN"/>
        </w:rPr>
        <w:t>建设物流转运点和仓储集散中心，鼓励支持</w:t>
      </w:r>
      <w:r>
        <w:rPr>
          <w:rStyle w:val="20"/>
          <w:rFonts w:hint="eastAsia" w:ascii="仿宋_GB2312" w:hAnsi="仿宋_GB2312" w:eastAsia="仿宋_GB2312"/>
          <w:sz w:val="32"/>
          <w:szCs w:val="32"/>
          <w:highlight w:val="none"/>
          <w:lang w:val="en-US" w:eastAsia="zh-CN"/>
        </w:rPr>
        <w:t>沿线企业多种经营发展</w:t>
      </w:r>
      <w:r>
        <w:rPr>
          <w:rStyle w:val="20"/>
          <w:rFonts w:hint="default" w:ascii="仿宋_GB2312" w:hAnsi="仿宋_GB2312" w:eastAsia="仿宋_GB2312"/>
          <w:sz w:val="32"/>
          <w:szCs w:val="32"/>
          <w:highlight w:val="none"/>
          <w:lang w:val="en-US" w:eastAsia="zh-CN"/>
        </w:rPr>
        <w:t>。</w:t>
      </w:r>
      <w:r>
        <w:rPr>
          <w:rFonts w:hint="default" w:ascii="楷体_GB2312" w:hAnsi="楷体_GB2312" w:eastAsia="楷体_GB2312" w:cs="楷体_GB2312"/>
          <w:i w:val="0"/>
          <w:iCs w:val="0"/>
          <w:caps w:val="0"/>
          <w:color w:val="auto"/>
          <w:spacing w:val="0"/>
          <w:sz w:val="32"/>
          <w:szCs w:val="32"/>
          <w:highlight w:val="none"/>
          <w:shd w:val="clear" w:color="auto" w:fill="FFFFFF"/>
        </w:rPr>
        <w:t>(</w:t>
      </w:r>
      <w:r>
        <w:rPr>
          <w:rFonts w:hint="eastAsia" w:ascii="楷体_GB2312" w:hAnsi="楷体_GB2312" w:eastAsia="楷体_GB2312" w:cs="楷体_GB2312"/>
          <w:i w:val="0"/>
          <w:iCs w:val="0"/>
          <w:caps w:val="0"/>
          <w:color w:val="auto"/>
          <w:spacing w:val="0"/>
          <w:sz w:val="32"/>
          <w:szCs w:val="32"/>
          <w:highlight w:val="none"/>
          <w:shd w:val="clear" w:color="auto" w:fill="FFFFFF"/>
          <w:lang w:eastAsia="zh-CN"/>
        </w:rPr>
        <w:t>县</w:t>
      </w:r>
      <w:r>
        <w:rPr>
          <w:rFonts w:hint="default" w:ascii="楷体_GB2312" w:hAnsi="楷体_GB2312" w:eastAsia="楷体_GB2312" w:cs="楷体_GB2312"/>
          <w:i w:val="0"/>
          <w:iCs w:val="0"/>
          <w:caps w:val="0"/>
          <w:color w:val="auto"/>
          <w:spacing w:val="0"/>
          <w:sz w:val="32"/>
          <w:szCs w:val="32"/>
          <w:highlight w:val="none"/>
          <w:shd w:val="clear" w:color="auto" w:fill="FFFFFF"/>
        </w:rPr>
        <w:t>交通运输局、</w:t>
      </w:r>
      <w:r>
        <w:rPr>
          <w:rFonts w:hint="eastAsia" w:ascii="楷体_GB2312" w:hAnsi="楷体_GB2312" w:eastAsia="楷体_GB2312" w:cs="楷体_GB2312"/>
          <w:i w:val="0"/>
          <w:iCs w:val="0"/>
          <w:caps w:val="0"/>
          <w:color w:val="auto"/>
          <w:spacing w:val="0"/>
          <w:sz w:val="32"/>
          <w:szCs w:val="32"/>
          <w:highlight w:val="none"/>
          <w:shd w:val="clear" w:color="auto" w:fill="FFFFFF"/>
          <w:lang w:eastAsia="zh-CN"/>
        </w:rPr>
        <w:t>县</w:t>
      </w:r>
      <w:r>
        <w:rPr>
          <w:rFonts w:hint="default" w:ascii="楷体_GB2312" w:hAnsi="楷体_GB2312" w:eastAsia="楷体_GB2312" w:cs="楷体_GB2312"/>
          <w:i w:val="0"/>
          <w:iCs w:val="0"/>
          <w:caps w:val="0"/>
          <w:color w:val="auto"/>
          <w:spacing w:val="0"/>
          <w:sz w:val="32"/>
          <w:szCs w:val="32"/>
          <w:highlight w:val="none"/>
          <w:shd w:val="clear" w:color="auto" w:fill="FFFFFF"/>
        </w:rPr>
        <w:t>发展改革委、</w:t>
      </w:r>
      <w:r>
        <w:rPr>
          <w:rFonts w:hint="eastAsia" w:ascii="楷体_GB2312" w:hAnsi="楷体_GB2312" w:eastAsia="楷体_GB2312" w:cs="楷体_GB2312"/>
          <w:i w:val="0"/>
          <w:iCs w:val="0"/>
          <w:caps w:val="0"/>
          <w:color w:val="auto"/>
          <w:spacing w:val="0"/>
          <w:sz w:val="32"/>
          <w:szCs w:val="32"/>
          <w:highlight w:val="none"/>
          <w:shd w:val="clear" w:color="auto" w:fill="FFFFFF"/>
          <w:lang w:eastAsia="zh-CN"/>
        </w:rPr>
        <w:t>县</w:t>
      </w:r>
      <w:r>
        <w:rPr>
          <w:rFonts w:hint="default" w:ascii="楷体_GB2312" w:hAnsi="楷体_GB2312" w:eastAsia="楷体_GB2312" w:cs="楷体_GB2312"/>
          <w:i w:val="0"/>
          <w:iCs w:val="0"/>
          <w:caps w:val="0"/>
          <w:color w:val="auto"/>
          <w:spacing w:val="0"/>
          <w:sz w:val="32"/>
          <w:szCs w:val="32"/>
          <w:highlight w:val="none"/>
          <w:shd w:val="clear" w:color="auto" w:fill="FFFFFF"/>
        </w:rPr>
        <w:t>自然资源和规划局，各</w:t>
      </w:r>
      <w:r>
        <w:rPr>
          <w:rFonts w:hint="eastAsia" w:ascii="楷体_GB2312" w:hAnsi="楷体_GB2312" w:eastAsia="楷体_GB2312" w:cs="楷体_GB2312"/>
          <w:i w:val="0"/>
          <w:iCs w:val="0"/>
          <w:caps w:val="0"/>
          <w:color w:val="auto"/>
          <w:spacing w:val="0"/>
          <w:sz w:val="32"/>
          <w:szCs w:val="32"/>
          <w:highlight w:val="none"/>
          <w:shd w:val="clear" w:color="auto" w:fill="FFFFFF"/>
          <w:lang w:val="en-US" w:eastAsia="zh-CN"/>
        </w:rPr>
        <w:t>乡镇</w:t>
      </w:r>
      <w:r>
        <w:rPr>
          <w:rFonts w:hint="default" w:ascii="楷体_GB2312" w:hAnsi="楷体_GB2312" w:eastAsia="楷体_GB2312" w:cs="楷体_GB2312"/>
          <w:i w:val="0"/>
          <w:iCs w:val="0"/>
          <w:caps w:val="0"/>
          <w:color w:val="auto"/>
          <w:spacing w:val="0"/>
          <w:sz w:val="32"/>
          <w:szCs w:val="32"/>
          <w:highlight w:val="none"/>
          <w:shd w:val="clear" w:color="auto" w:fill="FFFFFF"/>
        </w:rPr>
        <w:t>政府)</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600" w:lineRule="exact"/>
        <w:ind w:left="0" w:right="0" w:firstLine="640" w:firstLineChars="200"/>
        <w:textAlignment w:val="auto"/>
        <w:rPr>
          <w:rFonts w:hint="eastAsia" w:ascii="楷体_GB2312" w:hAnsi="楷体_GB2312" w:eastAsia="楷体_GB2312" w:cs="楷体_GB2312"/>
          <w:i w:val="0"/>
          <w:iCs w:val="0"/>
          <w:caps w:val="0"/>
          <w:color w:val="auto"/>
          <w:spacing w:val="0"/>
          <w:sz w:val="32"/>
          <w:szCs w:val="32"/>
          <w:shd w:val="clear" w:color="auto" w:fill="FFFFFF"/>
        </w:rPr>
      </w:pPr>
      <w:r>
        <w:rPr>
          <w:rFonts w:hint="eastAsia" w:ascii="黑体" w:hAnsi="黑体" w:eastAsia="黑体" w:cs="黑体"/>
          <w:sz w:val="32"/>
          <w:szCs w:val="32"/>
          <w:highlight w:val="none"/>
        </w:rPr>
        <w:t>六、加强资金保障。</w:t>
      </w:r>
      <w:r>
        <w:rPr>
          <w:rStyle w:val="20"/>
          <w:rFonts w:hint="eastAsia" w:ascii="仿宋_GB2312" w:hAnsi="仿宋_GB2312" w:eastAsia="仿宋_GB2312"/>
          <w:sz w:val="32"/>
          <w:szCs w:val="32"/>
          <w:highlight w:val="none"/>
        </w:rPr>
        <w:t>在防范政府债务风险的前提下</w:t>
      </w:r>
      <w:r>
        <w:rPr>
          <w:rStyle w:val="20"/>
          <w:rFonts w:hint="default" w:ascii="仿宋_GB2312" w:hAnsi="仿宋_GB2312" w:eastAsia="仿宋_GB2312"/>
          <w:sz w:val="32"/>
          <w:szCs w:val="32"/>
          <w:highlight w:val="none"/>
        </w:rPr>
        <w:t>,鼓励依法合规使用政府专项债券,</w:t>
      </w:r>
      <w:r>
        <w:rPr>
          <w:rStyle w:val="20"/>
          <w:rFonts w:hint="eastAsia" w:ascii="仿宋_GB2312" w:hAnsi="仿宋_GB2312" w:eastAsia="仿宋_GB2312"/>
          <w:sz w:val="32"/>
          <w:szCs w:val="32"/>
          <w:highlight w:val="none"/>
        </w:rPr>
        <w:t>进一步加大</w:t>
      </w:r>
      <w:r>
        <w:rPr>
          <w:rStyle w:val="20"/>
          <w:rFonts w:hint="eastAsia" w:ascii="仿宋_GB2312" w:hAnsi="仿宋_GB2312" w:eastAsia="仿宋_GB2312"/>
          <w:sz w:val="32"/>
          <w:szCs w:val="32"/>
          <w:highlight w:val="none"/>
          <w:lang w:val="en-US"/>
        </w:rPr>
        <w:t>交通</w:t>
      </w:r>
      <w:r>
        <w:rPr>
          <w:rStyle w:val="20"/>
          <w:rFonts w:hint="eastAsia" w:ascii="仿宋_GB2312" w:hAnsi="仿宋_GB2312" w:eastAsia="仿宋_GB2312"/>
          <w:sz w:val="32"/>
          <w:szCs w:val="32"/>
          <w:highlight w:val="none"/>
        </w:rPr>
        <w:t>项目储备</w:t>
      </w:r>
      <w:r>
        <w:rPr>
          <w:rStyle w:val="20"/>
          <w:rFonts w:hint="default" w:ascii="仿宋_GB2312" w:hAnsi="仿宋_GB2312" w:eastAsia="仿宋_GB2312"/>
          <w:sz w:val="32"/>
          <w:szCs w:val="32"/>
          <w:highlight w:val="none"/>
        </w:rPr>
        <w:t>。定期举办银企和项目融资对接活动,引导金融机构做好融资服务。鼓励金融机构按市场化原则对信用等级较高、承担疫情防控和应急运输任务较重的交通运输企业加大融资支持力度。鼓励符合条件的交通运输企业拓宽多元化融资渠道</w:t>
      </w:r>
      <w:r>
        <w:rPr>
          <w:rStyle w:val="20"/>
          <w:rFonts w:hint="eastAsia" w:ascii="仿宋_GB2312" w:hAnsi="仿宋_GB2312" w:eastAsia="仿宋_GB2312"/>
          <w:sz w:val="32"/>
          <w:szCs w:val="32"/>
          <w:highlight w:val="none"/>
        </w:rPr>
        <w:t>，</w:t>
      </w:r>
      <w:r>
        <w:rPr>
          <w:rStyle w:val="20"/>
          <w:rFonts w:hint="default" w:ascii="仿宋_GB2312" w:hAnsi="仿宋_GB2312" w:eastAsia="仿宋_GB2312"/>
          <w:sz w:val="32"/>
          <w:szCs w:val="32"/>
          <w:highlight w:val="none"/>
        </w:rPr>
        <w:t>引导社会资本参与</w:t>
      </w:r>
      <w:r>
        <w:rPr>
          <w:rStyle w:val="20"/>
          <w:rFonts w:hint="eastAsia" w:ascii="仿宋_GB2312" w:hAnsi="仿宋_GB2312" w:eastAsia="仿宋_GB2312"/>
          <w:sz w:val="32"/>
          <w:szCs w:val="32"/>
          <w:highlight w:val="none"/>
        </w:rPr>
        <w:t>交通</w:t>
      </w:r>
      <w:r>
        <w:rPr>
          <w:rStyle w:val="20"/>
          <w:rFonts w:hint="default" w:ascii="仿宋_GB2312" w:hAnsi="仿宋_GB2312" w:eastAsia="仿宋_GB2312"/>
          <w:sz w:val="32"/>
          <w:szCs w:val="32"/>
          <w:highlight w:val="none"/>
        </w:rPr>
        <w:t>设施投资运营。</w:t>
      </w:r>
      <w:r>
        <w:rPr>
          <w:rFonts w:hint="default" w:ascii="楷体_GB2312" w:hAnsi="楷体_GB2312" w:eastAsia="楷体_GB2312" w:cs="楷体_GB2312"/>
          <w:i w:val="0"/>
          <w:iCs w:val="0"/>
          <w:caps w:val="0"/>
          <w:color w:val="auto"/>
          <w:spacing w:val="0"/>
          <w:sz w:val="32"/>
          <w:szCs w:val="32"/>
          <w:highlight w:val="none"/>
          <w:shd w:val="clear" w:color="auto" w:fill="FFFFFF"/>
        </w:rPr>
        <w:t>(</w:t>
      </w:r>
      <w:r>
        <w:rPr>
          <w:rFonts w:hint="eastAsia" w:ascii="楷体_GB2312" w:hAnsi="楷体_GB2312" w:eastAsia="楷体_GB2312" w:cs="楷体_GB2312"/>
          <w:i w:val="0"/>
          <w:iCs w:val="0"/>
          <w:caps w:val="0"/>
          <w:color w:val="auto"/>
          <w:spacing w:val="0"/>
          <w:sz w:val="32"/>
          <w:szCs w:val="32"/>
          <w:highlight w:val="none"/>
          <w:shd w:val="clear" w:color="auto" w:fill="FFFFFF"/>
          <w:lang w:eastAsia="zh-CN"/>
        </w:rPr>
        <w:t>县</w:t>
      </w:r>
      <w:r>
        <w:rPr>
          <w:rFonts w:hint="default" w:ascii="楷体_GB2312" w:hAnsi="楷体_GB2312" w:eastAsia="楷体_GB2312" w:cs="楷体_GB2312"/>
          <w:i w:val="0"/>
          <w:iCs w:val="0"/>
          <w:caps w:val="0"/>
          <w:color w:val="auto"/>
          <w:spacing w:val="0"/>
          <w:sz w:val="32"/>
          <w:szCs w:val="32"/>
          <w:highlight w:val="none"/>
          <w:shd w:val="clear" w:color="auto" w:fill="FFFFFF"/>
        </w:rPr>
        <w:t>交通运输局、</w:t>
      </w:r>
      <w:r>
        <w:rPr>
          <w:rFonts w:hint="eastAsia" w:ascii="楷体_GB2312" w:hAnsi="楷体_GB2312" w:eastAsia="楷体_GB2312" w:cs="楷体_GB2312"/>
          <w:i w:val="0"/>
          <w:iCs w:val="0"/>
          <w:caps w:val="0"/>
          <w:color w:val="auto"/>
          <w:spacing w:val="0"/>
          <w:sz w:val="32"/>
          <w:szCs w:val="32"/>
          <w:highlight w:val="none"/>
          <w:shd w:val="clear" w:color="auto" w:fill="FFFFFF"/>
          <w:lang w:eastAsia="zh-CN"/>
        </w:rPr>
        <w:t>县</w:t>
      </w:r>
      <w:r>
        <w:rPr>
          <w:rFonts w:hint="default" w:ascii="楷体_GB2312" w:hAnsi="楷体_GB2312" w:eastAsia="楷体_GB2312" w:cs="楷体_GB2312"/>
          <w:i w:val="0"/>
          <w:iCs w:val="0"/>
          <w:caps w:val="0"/>
          <w:color w:val="auto"/>
          <w:spacing w:val="0"/>
          <w:sz w:val="32"/>
          <w:szCs w:val="32"/>
          <w:highlight w:val="none"/>
          <w:shd w:val="clear" w:color="auto" w:fill="FFFFFF"/>
        </w:rPr>
        <w:t>发展改革</w:t>
      </w:r>
      <w:r>
        <w:rPr>
          <w:rFonts w:hint="eastAsia" w:ascii="楷体_GB2312" w:hAnsi="楷体_GB2312" w:eastAsia="楷体_GB2312" w:cs="楷体_GB2312"/>
          <w:i w:val="0"/>
          <w:iCs w:val="0"/>
          <w:caps w:val="0"/>
          <w:color w:val="auto"/>
          <w:spacing w:val="0"/>
          <w:sz w:val="32"/>
          <w:szCs w:val="32"/>
          <w:highlight w:val="none"/>
          <w:shd w:val="clear" w:color="auto" w:fill="FFFFFF"/>
          <w:lang w:val="en-US" w:eastAsia="zh-CN"/>
        </w:rPr>
        <w:t>局</w:t>
      </w:r>
      <w:r>
        <w:rPr>
          <w:rFonts w:hint="default" w:ascii="楷体_GB2312" w:hAnsi="楷体_GB2312" w:eastAsia="楷体_GB2312" w:cs="楷体_GB2312"/>
          <w:i w:val="0"/>
          <w:iCs w:val="0"/>
          <w:caps w:val="0"/>
          <w:color w:val="auto"/>
          <w:spacing w:val="0"/>
          <w:sz w:val="32"/>
          <w:szCs w:val="32"/>
          <w:highlight w:val="none"/>
          <w:shd w:val="clear" w:color="auto" w:fill="FFFFFF"/>
        </w:rPr>
        <w:t>、</w:t>
      </w:r>
      <w:r>
        <w:rPr>
          <w:rFonts w:hint="eastAsia" w:ascii="楷体_GB2312" w:hAnsi="楷体_GB2312" w:eastAsia="楷体_GB2312" w:cs="楷体_GB2312"/>
          <w:i w:val="0"/>
          <w:iCs w:val="0"/>
          <w:caps w:val="0"/>
          <w:color w:val="auto"/>
          <w:spacing w:val="0"/>
          <w:sz w:val="32"/>
          <w:szCs w:val="32"/>
          <w:highlight w:val="none"/>
          <w:shd w:val="clear" w:color="auto" w:fill="FFFFFF"/>
          <w:lang w:eastAsia="zh-CN"/>
        </w:rPr>
        <w:t>县财政局，</w:t>
      </w:r>
      <w:r>
        <w:rPr>
          <w:rFonts w:hint="default" w:ascii="楷体_GB2312" w:hAnsi="楷体_GB2312" w:eastAsia="楷体_GB2312" w:cs="楷体_GB2312"/>
          <w:i w:val="0"/>
          <w:iCs w:val="0"/>
          <w:caps w:val="0"/>
          <w:color w:val="auto"/>
          <w:spacing w:val="0"/>
          <w:sz w:val="32"/>
          <w:szCs w:val="32"/>
          <w:highlight w:val="none"/>
          <w:shd w:val="clear" w:color="auto" w:fill="FFFFFF"/>
        </w:rPr>
        <w:t>各</w:t>
      </w:r>
      <w:r>
        <w:rPr>
          <w:rFonts w:hint="eastAsia" w:ascii="楷体_GB2312" w:hAnsi="楷体_GB2312" w:eastAsia="楷体_GB2312" w:cs="楷体_GB2312"/>
          <w:i w:val="0"/>
          <w:iCs w:val="0"/>
          <w:caps w:val="0"/>
          <w:color w:val="auto"/>
          <w:spacing w:val="0"/>
          <w:sz w:val="32"/>
          <w:szCs w:val="32"/>
          <w:highlight w:val="none"/>
          <w:shd w:val="clear" w:color="auto" w:fill="FFFFFF"/>
          <w:lang w:val="en-US" w:eastAsia="zh-CN"/>
        </w:rPr>
        <w:t>乡镇</w:t>
      </w:r>
      <w:r>
        <w:rPr>
          <w:rFonts w:hint="default" w:ascii="楷体_GB2312" w:hAnsi="楷体_GB2312" w:eastAsia="楷体_GB2312" w:cs="楷体_GB2312"/>
          <w:i w:val="0"/>
          <w:iCs w:val="0"/>
          <w:caps w:val="0"/>
          <w:color w:val="auto"/>
          <w:spacing w:val="0"/>
          <w:sz w:val="32"/>
          <w:szCs w:val="32"/>
          <w:shd w:val="clear" w:color="auto" w:fill="FFFFFF"/>
        </w:rPr>
        <w:t>政府)</w:t>
      </w:r>
    </w:p>
    <w:p>
      <w:pPr>
        <w:keepNext w:val="0"/>
        <w:keepLines w:val="0"/>
        <w:pageBreakBefore w:val="0"/>
        <w:widowControl w:val="0"/>
        <w:kinsoku/>
        <w:wordWrap/>
        <w:overflowPunct/>
        <w:topLinePunct w:val="0"/>
        <w:autoSpaceDE/>
        <w:autoSpaceDN/>
        <w:bidi w:val="0"/>
        <w:spacing w:line="600" w:lineRule="exact"/>
        <w:rPr>
          <w:rFonts w:hint="default" w:ascii="仿宋_GB2312" w:hAnsi="仿宋_GB2312" w:eastAsia="仿宋_GB2312" w:cs="仿宋_GB2312"/>
          <w:sz w:val="32"/>
          <w:szCs w:val="32"/>
          <w:u w:val="single"/>
          <w:lang w:val="en-US" w:eastAsia="zh-CN"/>
        </w:rPr>
      </w:pPr>
    </w:p>
    <w:p>
      <w:pPr>
        <w:pStyle w:val="6"/>
        <w:rPr>
          <w:rFonts w:hint="default"/>
          <w:lang w:val="en-US" w:eastAsia="zh-CN"/>
        </w:rPr>
      </w:pPr>
      <w:bookmarkStart w:id="0" w:name="_GoBack"/>
      <w:bookmarkEnd w:id="0"/>
    </w:p>
    <w:sectPr>
      <w:pgSz w:w="11906" w:h="16838"/>
      <w:pgMar w:top="1440" w:right="1417" w:bottom="1440" w:left="1417" w:header="851" w:footer="992" w:gutter="0"/>
      <w:cols w:space="0" w:num="1"/>
      <w:rtlGutter w:val="0"/>
      <w:docGrid w:type="lines" w:linePitch="31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方正小标宋简体">
    <w:panose1 w:val="03000509000000000000"/>
    <w:charset w:val="86"/>
    <w:family w:val="auto"/>
    <w:pitch w:val="default"/>
    <w:sig w:usb0="00000001" w:usb1="080E0000" w:usb2="00000000" w:usb3="00000000" w:csb0="00040000" w:csb1="00000000"/>
  </w:font>
  <w:font w:name="方正大标宋简体">
    <w:altName w:val="微软雅黑"/>
    <w:panose1 w:val="02010601030101010101"/>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33F8E47"/>
    <w:multiLevelType w:val="singleLevel"/>
    <w:tmpl w:val="F33F8E47"/>
    <w:lvl w:ilvl="0" w:tentative="0">
      <w:start w:val="1"/>
      <w:numFmt w:val="chineseCounting"/>
      <w:suff w:val="nothing"/>
      <w:lvlText w:val="%1、"/>
      <w:lvlJc w:val="left"/>
      <w:pPr>
        <w:ind w:left="-10"/>
      </w:pPr>
      <w:rPr>
        <w:rFonts w:hint="eastAsia" w:ascii="黑体" w:hAnsi="黑体" w:eastAsia="黑体" w:cs="黑体"/>
        <w:sz w:val="32"/>
        <w:szCs w:val="32"/>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attachedTemplate r:id="rId1"/>
  <w:documentProtection w:enforcement="0"/>
  <w:defaultTabStop w:val="420"/>
  <w:drawingGridVerticalSpacing w:val="158"/>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AxNWRhNDY2MTQzZDI5NTliNWVlNTc5NDAwZWI0OWUifQ=="/>
  </w:docVars>
  <w:rsids>
    <w:rsidRoot w:val="77765BEA"/>
    <w:rsid w:val="08BC4EA3"/>
    <w:rsid w:val="096F6158"/>
    <w:rsid w:val="0F2E72D1"/>
    <w:rsid w:val="11574DB9"/>
    <w:rsid w:val="11FD3EF5"/>
    <w:rsid w:val="11FE6F36"/>
    <w:rsid w:val="152B29D6"/>
    <w:rsid w:val="190C2494"/>
    <w:rsid w:val="191268F2"/>
    <w:rsid w:val="1A212B39"/>
    <w:rsid w:val="228D5979"/>
    <w:rsid w:val="244F5591"/>
    <w:rsid w:val="26921BF8"/>
    <w:rsid w:val="26FB2F3D"/>
    <w:rsid w:val="28D80AC4"/>
    <w:rsid w:val="2C9002B8"/>
    <w:rsid w:val="2EAA6252"/>
    <w:rsid w:val="35210962"/>
    <w:rsid w:val="3C1473CA"/>
    <w:rsid w:val="49A10AE9"/>
    <w:rsid w:val="4D2E4BDF"/>
    <w:rsid w:val="51401CC6"/>
    <w:rsid w:val="51F93101"/>
    <w:rsid w:val="57E67067"/>
    <w:rsid w:val="600F594C"/>
    <w:rsid w:val="65566396"/>
    <w:rsid w:val="699826D7"/>
    <w:rsid w:val="6D535020"/>
    <w:rsid w:val="6F7E2ADB"/>
    <w:rsid w:val="6F9F62E6"/>
    <w:rsid w:val="702742B9"/>
    <w:rsid w:val="70DA21F8"/>
    <w:rsid w:val="741E6703"/>
    <w:rsid w:val="77765BEA"/>
    <w:rsid w:val="784522E8"/>
    <w:rsid w:val="7C5934B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link w:val="19"/>
    <w:qFormat/>
    <w:uiPriority w:val="0"/>
    <w:pPr>
      <w:keepNext/>
      <w:keepLines/>
      <w:spacing w:before="340" w:beforeLines="0" w:beforeAutospacing="0" w:after="330" w:afterLines="0" w:afterAutospacing="0" w:line="576" w:lineRule="auto"/>
      <w:outlineLvl w:val="0"/>
    </w:pPr>
    <w:rPr>
      <w:b/>
      <w:kern w:val="44"/>
      <w:sz w:val="44"/>
    </w:rPr>
  </w:style>
  <w:style w:type="paragraph" w:styleId="4">
    <w:name w:val="heading 2"/>
    <w:basedOn w:val="1"/>
    <w:next w:val="1"/>
    <w:semiHidden/>
    <w:unhideWhenUsed/>
    <w:qFormat/>
    <w:uiPriority w:val="0"/>
    <w:pPr>
      <w:pBdr>
        <w:top w:val="none" w:color="auto" w:sz="0" w:space="0"/>
        <w:left w:val="none" w:color="auto" w:sz="0" w:space="0"/>
        <w:bottom w:val="none" w:color="auto" w:sz="0" w:space="0"/>
        <w:right w:val="none" w:color="auto" w:sz="0" w:space="0"/>
      </w:pBdr>
      <w:spacing w:before="0" w:beforeAutospacing="0" w:after="0" w:afterAutospacing="0"/>
      <w:ind w:left="0" w:right="0"/>
      <w:jc w:val="left"/>
    </w:pPr>
    <w:rPr>
      <w:rFonts w:hint="eastAsia" w:ascii="宋体" w:hAnsi="宋体" w:eastAsia="宋体" w:cs="宋体"/>
      <w:kern w:val="0"/>
      <w:sz w:val="24"/>
      <w:szCs w:val="24"/>
      <w:lang w:val="en-US" w:eastAsia="zh-CN" w:bidi="ar"/>
    </w:rPr>
  </w:style>
  <w:style w:type="character" w:default="1" w:styleId="12">
    <w:name w:val="Default Paragraph Font"/>
    <w:semiHidden/>
    <w:qFormat/>
    <w:uiPriority w:val="0"/>
  </w:style>
  <w:style w:type="table" w:default="1" w:styleId="11">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5">
    <w:name w:val="Body Text"/>
    <w:basedOn w:val="1"/>
    <w:next w:val="6"/>
    <w:qFormat/>
    <w:uiPriority w:val="0"/>
    <w:pPr>
      <w:spacing w:after="120"/>
    </w:pPr>
    <w:rPr>
      <w:rFonts w:ascii="Times New Roman" w:hAnsi="Times New Roman"/>
      <w:szCs w:val="22"/>
    </w:rPr>
  </w:style>
  <w:style w:type="paragraph" w:customStyle="1" w:styleId="6">
    <w:name w:val="正文部分 Char Char Char"/>
    <w:basedOn w:val="5"/>
    <w:next w:val="7"/>
    <w:qFormat/>
    <w:uiPriority w:val="0"/>
    <w:pPr>
      <w:adjustRightInd w:val="0"/>
      <w:snapToGrid w:val="0"/>
      <w:spacing w:line="460" w:lineRule="exact"/>
      <w:textAlignment w:val="baseline"/>
    </w:pPr>
    <w:rPr>
      <w:rFonts w:hAnsi="Calibri"/>
      <w:sz w:val="24"/>
    </w:rPr>
  </w:style>
  <w:style w:type="paragraph" w:customStyle="1" w:styleId="7">
    <w:name w:val="章标题"/>
    <w:basedOn w:val="8"/>
    <w:qFormat/>
    <w:uiPriority w:val="0"/>
    <w:pPr>
      <w:spacing w:line="360" w:lineRule="auto"/>
    </w:pPr>
  </w:style>
  <w:style w:type="paragraph" w:styleId="8">
    <w:name w:val="Title"/>
    <w:basedOn w:val="1"/>
    <w:next w:val="1"/>
    <w:qFormat/>
    <w:uiPriority w:val="0"/>
    <w:pPr>
      <w:spacing w:before="240" w:after="60"/>
      <w:jc w:val="center"/>
      <w:outlineLvl w:val="0"/>
    </w:pPr>
    <w:rPr>
      <w:rFonts w:ascii="Cambria" w:hAnsi="Cambria"/>
      <w:b/>
      <w:bCs/>
      <w:kern w:val="0"/>
      <w:sz w:val="32"/>
      <w:szCs w:val="32"/>
    </w:rPr>
  </w:style>
  <w:style w:type="paragraph" w:styleId="9">
    <w:name w:val="header"/>
    <w:basedOn w:val="1"/>
    <w:qFormat/>
    <w:uiPriority w:val="0"/>
    <w:pPr>
      <w:pBdr>
        <w:top w:val="none" w:color="auto" w:sz="0" w:space="0"/>
        <w:left w:val="none" w:color="auto" w:sz="0" w:space="0"/>
        <w:bottom w:val="none" w:color="auto" w:sz="0" w:space="0"/>
        <w:right w:val="none" w:color="auto" w:sz="0" w:space="0"/>
      </w:pBdr>
      <w:tabs>
        <w:tab w:val="center" w:pos="4153"/>
        <w:tab w:val="right" w:pos="8306"/>
      </w:tabs>
      <w:snapToGrid w:val="0"/>
      <w:spacing w:line="240" w:lineRule="auto"/>
      <w:jc w:val="both"/>
      <w:outlineLvl w:val="9"/>
    </w:pPr>
    <w:rPr>
      <w:sz w:val="18"/>
    </w:rPr>
  </w:style>
  <w:style w:type="paragraph" w:styleId="10">
    <w:name w:val="Normal (Web)"/>
    <w:basedOn w:val="1"/>
    <w:qFormat/>
    <w:uiPriority w:val="0"/>
    <w:pPr>
      <w:spacing w:before="0" w:beforeAutospacing="1" w:after="0" w:afterAutospacing="1"/>
      <w:ind w:left="0" w:right="0"/>
      <w:jc w:val="left"/>
    </w:pPr>
    <w:rPr>
      <w:kern w:val="0"/>
      <w:sz w:val="24"/>
      <w:lang w:val="en-US" w:eastAsia="zh-CN" w:bidi="ar"/>
    </w:rPr>
  </w:style>
  <w:style w:type="character" w:styleId="13">
    <w:name w:val="Strong"/>
    <w:basedOn w:val="12"/>
    <w:qFormat/>
    <w:uiPriority w:val="0"/>
    <w:rPr>
      <w:b/>
    </w:rPr>
  </w:style>
  <w:style w:type="character" w:styleId="14">
    <w:name w:val="page number"/>
    <w:basedOn w:val="12"/>
    <w:uiPriority w:val="0"/>
  </w:style>
  <w:style w:type="character" w:styleId="15">
    <w:name w:val="FollowedHyperlink"/>
    <w:basedOn w:val="12"/>
    <w:qFormat/>
    <w:uiPriority w:val="0"/>
    <w:rPr>
      <w:color w:val="000000"/>
      <w:u w:val="none"/>
    </w:rPr>
  </w:style>
  <w:style w:type="character" w:styleId="16">
    <w:name w:val="Hyperlink"/>
    <w:basedOn w:val="12"/>
    <w:qFormat/>
    <w:uiPriority w:val="0"/>
    <w:rPr>
      <w:color w:val="0000FF"/>
      <w:u w:val="single"/>
    </w:rPr>
  </w:style>
  <w:style w:type="paragraph" w:customStyle="1" w:styleId="17">
    <w:name w:val="Body Text First Indent 21"/>
    <w:basedOn w:val="18"/>
    <w:qFormat/>
    <w:uiPriority w:val="99"/>
    <w:pPr>
      <w:ind w:firstLine="420" w:firstLineChars="200"/>
    </w:pPr>
  </w:style>
  <w:style w:type="paragraph" w:customStyle="1" w:styleId="18">
    <w:name w:val="Body Text Indent1"/>
    <w:basedOn w:val="1"/>
    <w:qFormat/>
    <w:uiPriority w:val="99"/>
    <w:pPr>
      <w:ind w:left="420" w:leftChars="200"/>
    </w:pPr>
    <w:rPr>
      <w:rFonts w:ascii="Times New Roman" w:hAnsi="Times New Roman"/>
      <w:szCs w:val="20"/>
    </w:rPr>
  </w:style>
  <w:style w:type="character" w:customStyle="1" w:styleId="19">
    <w:name w:val="标题 1 Char"/>
    <w:link w:val="3"/>
    <w:qFormat/>
    <w:uiPriority w:val="0"/>
    <w:rPr>
      <w:b/>
      <w:kern w:val="44"/>
      <w:sz w:val="44"/>
    </w:rPr>
  </w:style>
  <w:style w:type="character" w:customStyle="1" w:styleId="20">
    <w:name w:val="NormalCharacter"/>
    <w:semiHidden/>
    <w:qFormat/>
    <w:uiPriority w:val="0"/>
    <w:rPr>
      <w:rFonts w:ascii="Calibri" w:hAnsi="Calibri" w:eastAsia="宋体" w:cs="Times New Roman"/>
      <w:kern w:val="2"/>
      <w:sz w:val="21"/>
      <w:szCs w:val="24"/>
      <w:lang w:val="en-US" w:eastAsia="zh-CN" w:bidi="ar-S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_rels/settings.xml.rels><?xml version="1.0" encoding="UTF-8" standalone="no"?><Relationships xmlns="http://schemas.openxmlformats.org/package/2006/relationships"><Relationship Id="rId1" Target="file:///C:/Users/&#20132;&#36816;&#23616;/AppData/Roaming/Kingsoft/wps/addons/pool/win-i386/knewfileruby_1.0.0.12/template/wps/0.docx" TargetMode="External" Type="http://schemas.openxmlformats.org/officeDocument/2006/relationships/attachedTemplat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0.docx</Template>
  <Pages>4</Pages>
  <Words>1076</Words>
  <Characters>1103</Characters>
  <Lines>0</Lines>
  <Paragraphs>0</Paragraphs>
  <TotalTime>2</TotalTime>
  <ScaleCrop>false</ScaleCrop>
  <LinksUpToDate>false</LinksUpToDate>
  <CharactersWithSpaces>1204</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2021-03-10T07:39:00Z</dcterms:created>
  <dc:creator>江博</dc:creator>
  <cp:lastModifiedBy>在路上、、、</cp:lastModifiedBy>
  <cp:lastPrinted>2022-08-05T02:00:00Z</cp:lastPrinted>
  <dcterms:modified xsi:type="dcterms:W3CDTF">2022-12-06T08:41:03Z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EE79CC5153AA407DA38545601019B3B0</vt:lpwstr>
  </property>
</Properties>
</file>