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customXmlProperties+xml" PartName="/customXml/itemProps1.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footer+xml" PartName="/word/footer1.xml"/>
  <Override ContentType="application/vnd.openxmlformats-officedocument.wordprocessingml.numbering+xml" PartName="/word/numbering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no"?><Relationships xmlns="http://schemas.openxmlformats.org/package/2006/relationships"><Relationship Id="rId1" Target="docProps/app.xml" Type="http://schemas.openxmlformats.org/officeDocument/2006/relationships/extended-properties"/><Relationship Id="rId2" Target="docProps/core.xml" Type="http://schemas.openxmlformats.org/package/2006/relationships/metadata/core-properties"/><Relationship Id="rId3" Target="docProps/custom.xml" Type="http://schemas.openxmlformats.org/officeDocument/2006/relationships/custom-properties"/><Relationship Id="rId4" Target="word/document.xml" Type="http://schemas.openxmlformats.org/officeDocument/2006/relationships/officeDocument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6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20" w:lineRule="exact"/>
        <w:ind w:left="0" w:right="0" w:firstLine="0"/>
        <w:jc w:val="center"/>
        <w:textAlignment w:val="auto"/>
        <w:rPr>
          <w:rFonts w:hint="eastAsia" w:ascii="方正小标宋简体" w:hAnsi="方正小标宋简体" w:eastAsia="方正小标宋简体" w:cs="方正小标宋简体"/>
          <w:i w:val="0"/>
          <w:caps w:val="0"/>
          <w:color w:val="333333"/>
          <w:spacing w:val="0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b/>
          <w:i w:val="0"/>
          <w:caps w:val="0"/>
          <w:color w:val="333333"/>
          <w:spacing w:val="0"/>
          <w:sz w:val="44"/>
          <w:szCs w:val="44"/>
          <w:shd w:val="clear" w:color="auto" w:fill="FFFFFF"/>
          <w:lang w:eastAsia="zh-CN"/>
        </w:rPr>
        <w:t>宁晋县残疾人联合会</w:t>
      </w:r>
      <w:r>
        <w:rPr>
          <w:rFonts w:hint="eastAsia" w:ascii="方正小标宋简体" w:hAnsi="方正小标宋简体" w:eastAsia="方正小标宋简体" w:cs="方正小标宋简体"/>
          <w:b/>
          <w:i w:val="0"/>
          <w:caps w:val="0"/>
          <w:color w:val="333333"/>
          <w:spacing w:val="0"/>
          <w:sz w:val="44"/>
          <w:szCs w:val="44"/>
          <w:shd w:val="clear" w:color="auto" w:fill="FFFFFF"/>
          <w:lang w:val="en-US" w:eastAsia="zh-CN"/>
        </w:rPr>
        <w:t>2022年</w:t>
      </w:r>
      <w:r>
        <w:rPr>
          <w:rFonts w:hint="eastAsia" w:ascii="方正小标宋简体" w:hAnsi="方正小标宋简体" w:eastAsia="方正小标宋简体" w:cs="方正小标宋简体"/>
          <w:b/>
          <w:i w:val="0"/>
          <w:caps w:val="0"/>
          <w:color w:val="333333"/>
          <w:spacing w:val="0"/>
          <w:sz w:val="44"/>
          <w:szCs w:val="44"/>
          <w:shd w:val="clear" w:color="auto" w:fill="FFFFFF"/>
        </w:rPr>
        <w:t>政府信息公开工作年度报告</w:t>
      </w:r>
    </w:p>
    <w:p>
      <w:pPr>
        <w:pStyle w:val="6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00" w:lineRule="exact"/>
        <w:ind w:right="0" w:firstLine="640" w:firstLineChars="200"/>
        <w:jc w:val="both"/>
        <w:textAlignment w:val="auto"/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</w:pPr>
    </w:p>
    <w:p>
      <w:pPr>
        <w:pStyle w:val="6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right="0" w:firstLine="640" w:firstLineChars="200"/>
        <w:jc w:val="both"/>
        <w:textAlignment w:val="auto"/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>本年度报告依据《中华人民共和国政府信息公开条例》、《中华人民共和国政府信息公开工作年度报告格式》和省、市、县政务公开工作要求，由宁晋残联编制而成。全文包括总体情况、主动公开政府信息情况、收到和处理政府信息公开申请情况、政府信息公开行政复议和行政诉讼情况、存在的主要问题及改进情况、其他需要报告的事项等内容。本年报中所列数据的统计期限为2022年1月1日至12月31日。</w:t>
      </w:r>
    </w:p>
    <w:p>
      <w:pPr>
        <w:pStyle w:val="6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left="0" w:right="0" w:firstLine="420"/>
        <w:jc w:val="both"/>
        <w:textAlignment w:val="auto"/>
        <w:rPr>
          <w:rFonts w:hint="eastAsia" w:ascii="黑体" w:hAnsi="黑体" w:eastAsia="黑体" w:cs="黑体"/>
          <w:i w:val="0"/>
          <w:iCs w:val="0"/>
          <w:caps w:val="0"/>
          <w:color w:val="333333"/>
          <w:spacing w:val="0"/>
          <w:sz w:val="32"/>
          <w:szCs w:val="32"/>
        </w:rPr>
      </w:pPr>
      <w:r>
        <w:rPr>
          <w:rFonts w:hint="eastAsia" w:ascii="黑体" w:hAnsi="黑体" w:eastAsia="黑体" w:cs="黑体"/>
          <w:b/>
          <w:bCs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一、总体情况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640" w:firstLineChars="200"/>
        <w:jc w:val="both"/>
        <w:textAlignment w:val="auto"/>
        <w:rPr>
          <w:rFonts w:hint="eastAsia" w:ascii="仿宋" w:hAnsi="仿宋" w:eastAsia="仿宋" w:cs="仿宋"/>
          <w:color w:val="auto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  <w:t>2022年，宁晋县坚持</w:t>
      </w:r>
      <w:r>
        <w:rPr>
          <w:rFonts w:hint="eastAsia" w:ascii="仿宋" w:hAnsi="仿宋" w:eastAsia="仿宋" w:cs="仿宋"/>
          <w:color w:val="auto"/>
          <w:sz w:val="32"/>
          <w:szCs w:val="32"/>
        </w:rPr>
        <w:t>以习近平新时代中国特色社会主义思想为指导</w:t>
      </w:r>
      <w:r>
        <w:rPr>
          <w:rFonts w:hint="eastAsia" w:ascii="仿宋" w:hAnsi="仿宋" w:eastAsia="仿宋" w:cs="仿宋"/>
          <w:color w:val="auto"/>
          <w:sz w:val="32"/>
          <w:szCs w:val="32"/>
          <w:lang w:eastAsia="zh-CN"/>
        </w:rPr>
        <w:t>，</w:t>
      </w:r>
      <w:r>
        <w:rPr>
          <w:rFonts w:hint="eastAsia" w:ascii="仿宋" w:hAnsi="仿宋" w:eastAsia="仿宋" w:cs="仿宋"/>
          <w:color w:val="auto"/>
          <w:sz w:val="32"/>
          <w:szCs w:val="32"/>
        </w:rPr>
        <w:t>在</w:t>
      </w:r>
      <w:r>
        <w:rPr>
          <w:rFonts w:hint="eastAsia" w:ascii="仿宋" w:hAnsi="仿宋" w:eastAsia="仿宋" w:cs="仿宋"/>
          <w:color w:val="auto"/>
          <w:sz w:val="32"/>
          <w:szCs w:val="32"/>
          <w:lang w:eastAsia="zh-CN"/>
        </w:rPr>
        <w:t>县</w:t>
      </w:r>
      <w:r>
        <w:rPr>
          <w:rFonts w:hint="eastAsia" w:ascii="仿宋" w:hAnsi="仿宋" w:eastAsia="仿宋" w:cs="仿宋"/>
          <w:color w:val="auto"/>
          <w:sz w:val="32"/>
          <w:szCs w:val="32"/>
        </w:rPr>
        <w:t>政府的指导下</w:t>
      </w:r>
      <w:r>
        <w:rPr>
          <w:rFonts w:hint="eastAsia" w:ascii="仿宋" w:hAnsi="仿宋" w:eastAsia="仿宋" w:cs="仿宋"/>
          <w:color w:val="auto"/>
          <w:sz w:val="32"/>
          <w:szCs w:val="32"/>
          <w:lang w:eastAsia="zh-CN"/>
        </w:rPr>
        <w:t>，</w:t>
      </w:r>
      <w:r>
        <w:rPr>
          <w:rFonts w:hint="eastAsia" w:ascii="仿宋" w:hAnsi="仿宋" w:eastAsia="仿宋" w:cs="仿宋"/>
          <w:color w:val="auto"/>
          <w:sz w:val="32"/>
          <w:szCs w:val="32"/>
        </w:rPr>
        <w:t>紧紧围绕</w:t>
      </w:r>
      <w:r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  <w:t>主动公开、依申请公开、政府信息管理、政府信息公开平台建设、监督保障等方面的内容，</w:t>
      </w:r>
      <w:r>
        <w:rPr>
          <w:rFonts w:hint="eastAsia" w:ascii="仿宋" w:hAnsi="仿宋" w:eastAsia="仿宋" w:cs="仿宋"/>
          <w:color w:val="auto"/>
          <w:sz w:val="32"/>
          <w:szCs w:val="32"/>
        </w:rPr>
        <w:t>积极推进我县政务公开工作开展</w:t>
      </w:r>
      <w:r>
        <w:rPr>
          <w:rFonts w:hint="eastAsia" w:ascii="仿宋" w:hAnsi="仿宋" w:eastAsia="仿宋" w:cs="仿宋"/>
          <w:color w:val="auto"/>
          <w:sz w:val="32"/>
          <w:szCs w:val="32"/>
          <w:lang w:eastAsia="zh-CN"/>
        </w:rPr>
        <w:t>，</w:t>
      </w:r>
      <w:r>
        <w:rPr>
          <w:rFonts w:hint="eastAsia" w:ascii="仿宋" w:hAnsi="仿宋" w:eastAsia="仿宋" w:cs="仿宋"/>
          <w:color w:val="auto"/>
          <w:sz w:val="32"/>
          <w:szCs w:val="32"/>
        </w:rPr>
        <w:t>为加快建设</w:t>
      </w:r>
      <w:r>
        <w:rPr>
          <w:rFonts w:hint="eastAsia" w:ascii="仿宋" w:hAnsi="仿宋" w:eastAsia="仿宋" w:cs="仿宋"/>
          <w:color w:val="auto"/>
          <w:sz w:val="32"/>
          <w:szCs w:val="32"/>
          <w:lang w:eastAsia="zh-CN"/>
        </w:rPr>
        <w:t>经济强</w:t>
      </w:r>
      <w:r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  <w:t>县</w:t>
      </w:r>
      <w:r>
        <w:rPr>
          <w:rFonts w:hint="eastAsia" w:ascii="仿宋" w:hAnsi="仿宋" w:eastAsia="仿宋" w:cs="仿宋"/>
          <w:color w:val="auto"/>
          <w:sz w:val="32"/>
          <w:szCs w:val="32"/>
          <w:lang w:eastAsia="zh-CN"/>
        </w:rPr>
        <w:t>、美丽</w:t>
      </w:r>
      <w:r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  <w:t>宁晋贡献力量。</w:t>
      </w:r>
    </w:p>
    <w:p>
      <w:pPr>
        <w:pStyle w:val="6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right="0" w:rightChars="0" w:firstLine="640" w:firstLineChars="200"/>
        <w:textAlignment w:val="auto"/>
        <w:rPr>
          <w:rFonts w:hint="default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color="auto" w:fill="FFFFFF"/>
          <w:lang w:eastAsia="zh-CN"/>
        </w:rPr>
        <w:t>（一）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color="auto" w:fill="FFFFFF"/>
        </w:rPr>
        <w:t>主动公开政府信息情况。20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color="auto" w:fill="FFFFFF"/>
          <w:lang w:val="en-US" w:eastAsia="zh-CN"/>
        </w:rPr>
        <w:t>22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color="auto" w:fill="FFFFFF"/>
        </w:rPr>
        <w:t>年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color="auto" w:fill="FFFFFF"/>
          <w:lang w:eastAsia="zh-CN"/>
        </w:rPr>
        <w:t>残联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color="auto" w:fill="FFFFFF"/>
        </w:rPr>
        <w:t>主动公开政府信息共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color="auto" w:fill="FFFFFF"/>
          <w:lang w:val="en-US" w:eastAsia="zh-CN"/>
        </w:rPr>
        <w:t>16条，其中政府网站公开财政预决算信息2条，机构职能1条，年度报告1条，当年考入高等学校资助学生政策1条，残疾人保障金审核公告2条，社会</w:t>
      </w:r>
      <w:bookmarkStart w:id="0" w:name="_GoBack"/>
      <w:bookmarkEnd w:id="0"/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color="auto" w:fill="FFFFFF"/>
          <w:lang w:val="en-US" w:eastAsia="zh-CN"/>
        </w:rPr>
        <w:t>信用体系建设宣传8条。利用宁晋发布、宁晋融媒等发布残联业务信息。“宁晋县残疾人联合会微信公众号”推送发布101条信息。</w:t>
      </w:r>
    </w:p>
    <w:p>
      <w:pPr>
        <w:pStyle w:val="6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left="420" w:leftChars="0" w:right="0" w:rightChars="0"/>
        <w:textAlignment w:val="auto"/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color="auto" w:fill="FFFFFF"/>
          <w:lang w:eastAsia="zh-CN"/>
        </w:rPr>
      </w:pP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color="auto" w:fill="FFFFFF"/>
        </w:rPr>
        <w:t>（二）依申请公开情况。20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color="auto" w:fill="FFFFFF"/>
          <w:lang w:val="en-US" w:eastAsia="zh-CN"/>
        </w:rPr>
        <w:t>22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color="auto" w:fill="FFFFFF"/>
        </w:rPr>
        <w:t>年依申请公开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color="auto" w:fill="FFFFFF"/>
          <w:lang w:eastAsia="zh-CN"/>
        </w:rPr>
        <w:t>情况无。</w:t>
      </w:r>
    </w:p>
    <w:p>
      <w:pPr>
        <w:pStyle w:val="6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left="0" w:right="0" w:firstLine="420"/>
        <w:textAlignment w:val="auto"/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color="auto" w:fill="FFFFFF"/>
        </w:rPr>
      </w:pP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color="auto" w:fill="FFFFFF"/>
        </w:rPr>
        <w:t>（三）政府信息管理。一是加强组织领导。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color="auto" w:fill="FFFFFF"/>
          <w:lang w:eastAsia="zh-CN"/>
        </w:rPr>
        <w:t>残联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color="auto" w:fill="FFFFFF"/>
        </w:rPr>
        <w:t>成立了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color="auto" w:fill="FFFFFF"/>
          <w:lang w:eastAsia="zh-CN"/>
        </w:rPr>
        <w:t>政府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color="auto" w:fill="FFFFFF"/>
        </w:rPr>
        <w:t>信息公开工作领导小组，由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color="auto" w:fill="FFFFFF"/>
          <w:lang w:eastAsia="zh-CN"/>
        </w:rPr>
        <w:t>党组书记、理事长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color="auto" w:fill="FFFFFF"/>
        </w:rPr>
        <w:t>任组长，分管副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color="auto" w:fill="FFFFFF"/>
          <w:lang w:eastAsia="zh-CN"/>
        </w:rPr>
        <w:t>理事长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color="auto" w:fill="FFFFFF"/>
        </w:rPr>
        <w:t>任副组长，领导小组下设办公室，设立专职人员负责收集整理公开信息。二是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color="auto" w:fill="FFFFFF"/>
          <w:lang w:eastAsia="zh-CN"/>
        </w:rPr>
        <w:t>加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color="auto" w:fill="FFFFFF"/>
        </w:rPr>
        <w:t>强制度建设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color="auto" w:fill="FFFFFF"/>
          <w:lang w:eastAsia="zh-CN"/>
        </w:rPr>
        <w:t>，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color="auto" w:fill="FFFFFF"/>
        </w:rPr>
        <w:t>加强对政务信息公开的工作规范化管理。确保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color="auto" w:fill="FFFFFF"/>
          <w:lang w:eastAsia="zh-CN"/>
        </w:rPr>
        <w:t>残联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color="auto" w:fill="FFFFFF"/>
        </w:rPr>
        <w:t>信息公开工作规范科学、平稳有序开展，并对公开目录和公开范围作出更加明确的规定，便于实际工作中把握。</w:t>
      </w:r>
    </w:p>
    <w:p>
      <w:pPr>
        <w:pStyle w:val="6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left="0" w:right="0" w:firstLine="420"/>
        <w:textAlignment w:val="auto"/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color="auto" w:fill="FFFFFF"/>
        </w:rPr>
        <w:t>（四）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color="auto" w:fill="FFFFFF"/>
          <w:lang w:eastAsia="zh-CN"/>
        </w:rPr>
        <w:t>政府信息公开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color="auto" w:fill="FFFFFF"/>
        </w:rPr>
        <w:t>平台建设。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color="auto" w:fill="FFFFFF"/>
          <w:lang w:eastAsia="zh-CN"/>
        </w:rPr>
        <w:t>不定期在政府信息公开平台发布残联活动动态，利用“宁晋县残疾人联合会微信公众号”转发推送信息。</w:t>
      </w:r>
    </w:p>
    <w:p>
      <w:pPr>
        <w:pStyle w:val="6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left="0" w:right="0" w:firstLine="420"/>
        <w:jc w:val="both"/>
        <w:textAlignment w:val="auto"/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color="auto" w:fill="FFFFFF"/>
        </w:rPr>
      </w:pP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color="auto" w:fill="FFFFFF"/>
        </w:rPr>
        <w:t>（五）政府信息公开工作的监督保障情况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color="auto" w:fill="FFFFFF"/>
          <w:lang w:eastAsia="zh-CN"/>
        </w:rPr>
        <w:t>。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color="auto" w:fill="FFFFFF"/>
          <w:lang w:val="en-US" w:eastAsia="zh-CN"/>
        </w:rPr>
        <w:t>1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color="auto" w:fill="FFFFFF"/>
        </w:rPr>
        <w:t>、安排专人负责，对应该主动公开的信息在规定时限内及时公开。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color="auto" w:fill="FFFFFF"/>
          <w:lang w:eastAsia="zh-CN"/>
        </w:rPr>
        <w:t>对公开信息做好保密审查。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color="auto" w:fill="FFFFFF"/>
          <w:lang w:val="en-US" w:eastAsia="zh-CN"/>
        </w:rPr>
        <w:t>2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color="auto" w:fill="FFFFFF"/>
        </w:rPr>
        <w:t>、加强人员专业培训，在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color="auto" w:fill="FFFFFF"/>
          <w:lang w:eastAsia="zh-CN"/>
        </w:rPr>
        <w:t>单位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color="auto" w:fill="FFFFFF"/>
        </w:rPr>
        <w:t>内部组织开展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color="auto" w:fill="FFFFFF"/>
          <w:lang w:eastAsia="zh-CN"/>
        </w:rPr>
        <w:t>公众号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color="auto" w:fill="FFFFFF"/>
        </w:rPr>
        <w:t>管理与政务信息公开学习培训，提升业务人员操作技能，夯实业务基础，提升政务公开工作水平。</w:t>
      </w:r>
    </w:p>
    <w:p>
      <w:pPr>
        <w:pStyle w:val="2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textAlignment w:val="auto"/>
        <w:rPr>
          <w:rFonts w:hint="eastAsia" w:ascii="仿宋" w:hAnsi="仿宋" w:eastAsia="仿宋" w:cs="仿宋"/>
          <w:color w:val="000000"/>
          <w:spacing w:val="0"/>
          <w:kern w:val="2"/>
          <w:sz w:val="32"/>
          <w:szCs w:val="32"/>
          <w:lang w:val="en-US" w:eastAsia="zh-CN" w:bidi="ar-SA"/>
        </w:rPr>
      </w:pPr>
    </w:p>
    <w:p>
      <w:pPr>
        <w:pStyle w:val="6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20" w:lineRule="exact"/>
        <w:ind w:left="0" w:right="0" w:firstLine="420"/>
        <w:jc w:val="both"/>
        <w:textAlignment w:val="auto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32"/>
          <w:szCs w:val="32"/>
        </w:rPr>
      </w:pPr>
      <w:r>
        <w:rPr>
          <w:rFonts w:hint="eastAsia" w:ascii="黑体" w:hAnsi="黑体" w:eastAsia="黑体" w:cs="黑体"/>
          <w:b/>
          <w:bCs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二、主动公开政府信息情况</w:t>
      </w:r>
    </w:p>
    <w:tbl>
      <w:tblPr>
        <w:tblStyle w:val="7"/>
        <w:tblW w:w="9740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2435"/>
        <w:gridCol w:w="2435"/>
        <w:gridCol w:w="2435"/>
        <w:gridCol w:w="2435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第二十条第（一）项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243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制发件数</w:t>
            </w:r>
          </w:p>
        </w:tc>
        <w:tc>
          <w:tcPr>
            <w:tcW w:w="243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本年废止件数</w:t>
            </w:r>
          </w:p>
        </w:tc>
        <w:tc>
          <w:tcPr>
            <w:tcW w:w="243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现行有效件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数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规章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行政规范性文件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第二十条第（五）项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本年处理决定数量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行政许可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第二十条第（六）项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本年处理决定数量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color w:val="auto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行政处罚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color w:val="auto"/>
                <w:lang w:val="en-US" w:eastAsia="zh-CN"/>
              </w:rPr>
            </w:pPr>
            <w:r>
              <w:rPr>
                <w:rFonts w:hint="eastAsia"/>
                <w:color w:val="auto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color w:val="auto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行政强制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color w:val="auto"/>
                <w:lang w:val="en-US" w:eastAsia="zh-CN"/>
              </w:rPr>
            </w:pPr>
            <w:r>
              <w:rPr>
                <w:rFonts w:hint="eastAsia"/>
                <w:color w:val="auto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第二十条第（八）项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本年收费金额（单位：万元）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行政事业性收费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jc w:val="center"/>
              <w:rPr>
                <w:rFonts w:hint="default" w:ascii="宋体" w:eastAsia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="宋体"/>
                <w:sz w:val="24"/>
                <w:szCs w:val="24"/>
                <w:lang w:val="en-US" w:eastAsia="zh-CN"/>
              </w:rPr>
              <w:t>0</w:t>
            </w:r>
          </w:p>
        </w:tc>
      </w:tr>
    </w:tbl>
    <w:p>
      <w:pPr>
        <w:pStyle w:val="6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20" w:lineRule="exact"/>
        <w:ind w:left="0" w:right="0" w:firstLine="420"/>
        <w:jc w:val="both"/>
        <w:textAlignment w:val="auto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  <w:r>
        <w:rPr>
          <w:rFonts w:hint="eastAsia" w:ascii="黑体" w:hAnsi="黑体" w:eastAsia="黑体" w:cs="黑体"/>
          <w:b/>
          <w:bCs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三、收到和处理政府信息公开申请情况</w:t>
      </w:r>
    </w:p>
    <w:tbl>
      <w:tblPr>
        <w:tblStyle w:val="7"/>
        <w:tblW w:w="9748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shd w:val="clear" w:color="auto" w:fill="auto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768"/>
        <w:gridCol w:w="943"/>
        <w:gridCol w:w="3220"/>
        <w:gridCol w:w="688"/>
        <w:gridCol w:w="688"/>
        <w:gridCol w:w="688"/>
        <w:gridCol w:w="688"/>
        <w:gridCol w:w="688"/>
        <w:gridCol w:w="688"/>
        <w:gridCol w:w="689"/>
      </w:tblGrid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31" w:type="dxa"/>
            <w:gridSpan w:val="3"/>
            <w:vMerge w:val="restart"/>
            <w:tcBorders>
              <w:top w:val="single" w:color="auto" w:sz="8" w:space="0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楷体" w:hAnsi="楷体" w:eastAsia="楷体" w:cs="楷体"/>
                <w:kern w:val="0"/>
                <w:sz w:val="20"/>
                <w:szCs w:val="20"/>
                <w:lang w:val="en-US" w:eastAsia="zh-CN" w:bidi="ar"/>
              </w:rPr>
              <w:t>（本列数据的勾稽关系为：第一项加第二项之和，等于第三项加第四项之和）</w:t>
            </w:r>
          </w:p>
        </w:tc>
        <w:tc>
          <w:tcPr>
            <w:tcW w:w="4817" w:type="dxa"/>
            <w:gridSpan w:val="7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申请人情况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31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88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自然人</w:t>
            </w:r>
          </w:p>
        </w:tc>
        <w:tc>
          <w:tcPr>
            <w:tcW w:w="3440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法人或其他组织</w:t>
            </w:r>
          </w:p>
        </w:tc>
        <w:tc>
          <w:tcPr>
            <w:tcW w:w="689" w:type="dxa"/>
            <w:vMerge w:val="restart"/>
            <w:tcBorders>
              <w:top w:val="single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31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88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商业</w:t>
            </w: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企业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科研</w:t>
            </w: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机构</w:t>
            </w:r>
          </w:p>
        </w:tc>
        <w:tc>
          <w:tcPr>
            <w:tcW w:w="688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社会公益组织</w:t>
            </w:r>
          </w:p>
        </w:tc>
        <w:tc>
          <w:tcPr>
            <w:tcW w:w="688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法律服务机构</w:t>
            </w:r>
          </w:p>
        </w:tc>
        <w:tc>
          <w:tcPr>
            <w:tcW w:w="688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其他</w:t>
            </w:r>
          </w:p>
        </w:tc>
        <w:tc>
          <w:tcPr>
            <w:tcW w:w="689" w:type="dxa"/>
            <w:vMerge w:val="continue"/>
            <w:tcBorders>
              <w:top w:val="single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31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一、本年新收政府信息公开申请数量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31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二、上年结转政府信息公开申请数量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restart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三、本年度办理结果</w:t>
            </w:r>
          </w:p>
        </w:tc>
        <w:tc>
          <w:tcPr>
            <w:tcW w:w="4163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（一）予以公开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4163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（二）部分公开</w:t>
            </w:r>
            <w:r>
              <w:rPr>
                <w:rFonts w:hint="eastAsia" w:ascii="楷体" w:hAnsi="楷体" w:eastAsia="楷体" w:cs="楷体"/>
                <w:kern w:val="0"/>
                <w:sz w:val="20"/>
                <w:szCs w:val="20"/>
                <w:lang w:val="en-US" w:eastAsia="zh-CN" w:bidi="ar"/>
              </w:rPr>
              <w:t>（区分处理的，只计这一情形，不计其他情形）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restart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（三）不予公开</w:t>
            </w: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1.属于国家秘密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2.其他法律行政法规禁止公开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3.危及“三安全一稳定”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4.保护第三方合法权益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5.属于三类内部事务信息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6.属于四类过程性信息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7.属于行政执法案卷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8.属于行政查询事项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restart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（四）无法提供</w:t>
            </w: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1.本机关不掌握相关政府信息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2.没有现成信息需要另行制作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3.补正后申请内容仍不明确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restart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（五）不予处理</w:t>
            </w: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1.信访举报投诉类申请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2.重复申请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3.要求提供公开出版物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4.无正当理由大量反复申请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79" w:hRule="atLeast"/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5.要求行政机关确认或重新出具已获取信息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restart"/>
            <w:tcBorders>
              <w:top w:val="outset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（六）其他处理</w:t>
            </w: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1.申请人无正当理由逾期不补正、行政机关不再处理其政府信息公开申请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outset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2.申请人逾期未按收费通知要求缴纳费用、行政机关不再处理其政府信息公开申请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outset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3.其他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4163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（七）总计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31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四、结转下年度继续办理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rPr>
                <w:rFonts w:hint="eastAsia" w:ascii="宋体"/>
                <w:sz w:val="24"/>
                <w:szCs w:val="24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</w:tbl>
    <w:p>
      <w:pPr>
        <w:pStyle w:val="6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20" w:lineRule="exact"/>
        <w:ind w:left="0" w:right="0" w:firstLine="420"/>
        <w:jc w:val="both"/>
        <w:textAlignment w:val="auto"/>
        <w:rPr>
          <w:rFonts w:hint="eastAsia" w:ascii="黑体" w:hAnsi="黑体" w:eastAsia="黑体" w:cs="黑体"/>
          <w:b/>
          <w:bCs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</w:pPr>
      <w:r>
        <w:rPr>
          <w:rFonts w:hint="eastAsia" w:ascii="黑体" w:hAnsi="黑体" w:eastAsia="黑体" w:cs="黑体"/>
          <w:b/>
          <w:bCs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四、政府信息公开行政复议、行政诉讼情况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0"/>
        <w:jc w:val="center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</w:p>
    <w:tbl>
      <w:tblPr>
        <w:tblStyle w:val="7"/>
        <w:tblW w:w="9748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shd w:val="clear" w:color="auto" w:fill="auto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49"/>
        <w:gridCol w:w="649"/>
        <w:gridCol w:w="649"/>
        <w:gridCol w:w="649"/>
        <w:gridCol w:w="649"/>
        <w:gridCol w:w="649"/>
        <w:gridCol w:w="649"/>
        <w:gridCol w:w="650"/>
        <w:gridCol w:w="650"/>
        <w:gridCol w:w="650"/>
        <w:gridCol w:w="651"/>
        <w:gridCol w:w="651"/>
        <w:gridCol w:w="651"/>
        <w:gridCol w:w="651"/>
        <w:gridCol w:w="651"/>
      </w:tblGrid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3245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行政复议</w:t>
            </w:r>
          </w:p>
        </w:tc>
        <w:tc>
          <w:tcPr>
            <w:tcW w:w="6503" w:type="dxa"/>
            <w:gridSpan w:val="10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行政诉讼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49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结果维持</w:t>
            </w:r>
          </w:p>
        </w:tc>
        <w:tc>
          <w:tcPr>
            <w:tcW w:w="649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纠正</w:t>
            </w:r>
          </w:p>
        </w:tc>
        <w:tc>
          <w:tcPr>
            <w:tcW w:w="649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其他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</w:tc>
        <w:tc>
          <w:tcPr>
            <w:tcW w:w="649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尚未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审结</w:t>
            </w:r>
          </w:p>
        </w:tc>
        <w:tc>
          <w:tcPr>
            <w:tcW w:w="649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  <w:tc>
          <w:tcPr>
            <w:tcW w:w="3248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未经复议直接起诉</w:t>
            </w:r>
          </w:p>
        </w:tc>
        <w:tc>
          <w:tcPr>
            <w:tcW w:w="3255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复议后起诉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49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9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9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9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9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9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维持</w:t>
            </w:r>
          </w:p>
        </w:tc>
        <w:tc>
          <w:tcPr>
            <w:tcW w:w="649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纠正</w:t>
            </w:r>
          </w:p>
        </w:tc>
        <w:tc>
          <w:tcPr>
            <w:tcW w:w="65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其他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</w:tc>
        <w:tc>
          <w:tcPr>
            <w:tcW w:w="65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尚未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审结</w:t>
            </w:r>
          </w:p>
        </w:tc>
        <w:tc>
          <w:tcPr>
            <w:tcW w:w="65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  <w:tc>
          <w:tcPr>
            <w:tcW w:w="651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维持</w:t>
            </w:r>
          </w:p>
        </w:tc>
        <w:tc>
          <w:tcPr>
            <w:tcW w:w="651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纠正</w:t>
            </w:r>
          </w:p>
        </w:tc>
        <w:tc>
          <w:tcPr>
            <w:tcW w:w="651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其他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</w:tc>
        <w:tc>
          <w:tcPr>
            <w:tcW w:w="651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尚未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审结</w:t>
            </w:r>
          </w:p>
        </w:tc>
        <w:tc>
          <w:tcPr>
            <w:tcW w:w="651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72" w:hRule="atLeast"/>
          <w:jc w:val="center"/>
        </w:trPr>
        <w:tc>
          <w:tcPr>
            <w:tcW w:w="649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eastAsia" w:eastAsiaTheme="minorEastAsia"/>
                <w:color w:val="auto"/>
                <w:lang w:val="en-US" w:eastAsia="zh-CN"/>
              </w:rPr>
            </w:pPr>
            <w:r>
              <w:rPr>
                <w:rFonts w:hint="eastAsia"/>
                <w:color w:val="auto"/>
                <w:lang w:val="en-US" w:eastAsia="zh-CN"/>
              </w:rPr>
              <w:t>0</w:t>
            </w:r>
          </w:p>
        </w:tc>
        <w:tc>
          <w:tcPr>
            <w:tcW w:w="649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eastAsia" w:eastAsiaTheme="minorEastAsia"/>
                <w:color w:val="auto"/>
                <w:lang w:val="en-US" w:eastAsia="zh-CN"/>
              </w:rPr>
            </w:pPr>
            <w:r>
              <w:rPr>
                <w:rFonts w:hint="eastAsia"/>
                <w:color w:val="auto"/>
                <w:lang w:val="en-US" w:eastAsia="zh-CN"/>
              </w:rPr>
              <w:t>0</w:t>
            </w:r>
          </w:p>
        </w:tc>
        <w:tc>
          <w:tcPr>
            <w:tcW w:w="649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color w:val="auto"/>
              </w:rPr>
            </w:pPr>
            <w:r>
              <w:rPr>
                <w:rFonts w:hint="eastAsia" w:ascii="黑体" w:hAnsi="宋体" w:eastAsia="黑体" w:cs="黑体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9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color w:val="auto"/>
              </w:rPr>
            </w:pPr>
            <w:r>
              <w:rPr>
                <w:rFonts w:ascii="黑体" w:hAnsi="宋体" w:eastAsia="黑体" w:cs="黑体"/>
                <w:color w:val="auto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黑体" w:hAnsi="宋体" w:eastAsia="黑体" w:cs="黑体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9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eastAsia" w:eastAsiaTheme="minorEastAsia"/>
                <w:color w:val="auto"/>
                <w:lang w:val="en-US" w:eastAsia="zh-CN"/>
              </w:rPr>
            </w:pPr>
            <w:r>
              <w:rPr>
                <w:rFonts w:hint="eastAsia"/>
                <w:color w:val="auto"/>
                <w:lang w:val="en-US" w:eastAsia="zh-CN"/>
              </w:rPr>
              <w:t>0</w:t>
            </w:r>
          </w:p>
        </w:tc>
        <w:tc>
          <w:tcPr>
            <w:tcW w:w="649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color w:val="auto"/>
              </w:rPr>
            </w:pPr>
            <w:r>
              <w:rPr>
                <w:rFonts w:ascii="黑体" w:hAnsi="宋体" w:eastAsia="黑体" w:cs="黑体"/>
                <w:color w:val="auto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黑体" w:hAnsi="宋体" w:eastAsia="黑体" w:cs="黑体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9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color w:val="auto"/>
              </w:rPr>
            </w:pPr>
            <w:r>
              <w:rPr>
                <w:rFonts w:ascii="黑体" w:hAnsi="宋体" w:eastAsia="黑体" w:cs="黑体"/>
                <w:color w:val="auto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黑体" w:hAnsi="宋体" w:eastAsia="黑体" w:cs="黑体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5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color w:val="auto"/>
              </w:rPr>
            </w:pPr>
            <w:r>
              <w:rPr>
                <w:rFonts w:ascii="黑体" w:hAnsi="宋体" w:eastAsia="黑体" w:cs="黑体"/>
                <w:color w:val="auto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黑体" w:hAnsi="宋体" w:eastAsia="黑体" w:cs="黑体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5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color w:val="auto"/>
              </w:rPr>
            </w:pPr>
            <w:r>
              <w:rPr>
                <w:rFonts w:ascii="黑体" w:hAnsi="宋体" w:eastAsia="黑体" w:cs="黑体"/>
                <w:color w:val="auto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黑体" w:hAnsi="宋体" w:eastAsia="黑体" w:cs="黑体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5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color w:val="auto"/>
              </w:rPr>
            </w:pPr>
            <w:r>
              <w:rPr>
                <w:rFonts w:ascii="黑体" w:hAnsi="宋体" w:eastAsia="黑体" w:cs="黑体"/>
                <w:color w:val="auto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黑体" w:hAnsi="宋体" w:eastAsia="黑体" w:cs="黑体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51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color w:val="auto"/>
              </w:rPr>
            </w:pPr>
            <w:r>
              <w:rPr>
                <w:rFonts w:ascii="黑体" w:hAnsi="宋体" w:eastAsia="黑体" w:cs="黑体"/>
                <w:color w:val="auto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黑体" w:hAnsi="宋体" w:eastAsia="黑体" w:cs="黑体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51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color w:val="auto"/>
              </w:rPr>
            </w:pPr>
            <w:r>
              <w:rPr>
                <w:rFonts w:ascii="黑体" w:hAnsi="宋体" w:eastAsia="黑体" w:cs="黑体"/>
                <w:color w:val="auto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黑体" w:hAnsi="宋体" w:eastAsia="黑体" w:cs="黑体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51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color w:val="auto"/>
              </w:rPr>
            </w:pPr>
            <w:r>
              <w:rPr>
                <w:rFonts w:ascii="黑体" w:hAnsi="宋体" w:eastAsia="黑体" w:cs="黑体"/>
                <w:color w:val="auto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黑体" w:hAnsi="宋体" w:eastAsia="黑体" w:cs="黑体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51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color w:val="auto"/>
              </w:rPr>
            </w:pPr>
            <w:r>
              <w:rPr>
                <w:rFonts w:ascii="黑体" w:hAnsi="宋体" w:eastAsia="黑体" w:cs="黑体"/>
                <w:color w:val="auto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黑体" w:hAnsi="宋体" w:eastAsia="黑体" w:cs="黑体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51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color w:val="auto"/>
                <w:sz w:val="24"/>
                <w:szCs w:val="24"/>
              </w:rPr>
            </w:pPr>
            <w:r>
              <w:rPr>
                <w:rFonts w:ascii="黑体" w:hAnsi="宋体" w:eastAsia="黑体" w:cs="黑体"/>
                <w:color w:val="auto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黑体" w:hAnsi="宋体" w:eastAsia="黑体" w:cs="黑体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</w:tbl>
    <w:p>
      <w:pPr>
        <w:pStyle w:val="6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20" w:lineRule="exact"/>
        <w:ind w:left="0" w:right="0" w:firstLine="420"/>
        <w:jc w:val="both"/>
        <w:textAlignment w:val="auto"/>
        <w:rPr>
          <w:rFonts w:hint="eastAsia" w:ascii="黑体" w:hAnsi="黑体" w:eastAsia="黑体" w:cs="黑体"/>
          <w:b/>
          <w:bCs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</w:pPr>
      <w:r>
        <w:rPr>
          <w:rFonts w:hint="eastAsia" w:ascii="黑体" w:hAnsi="黑体" w:eastAsia="黑体" w:cs="黑体"/>
          <w:b/>
          <w:bCs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五、存在的主要问题及改进情况</w:t>
      </w:r>
    </w:p>
    <w:p>
      <w:pPr>
        <w:pStyle w:val="6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432" w:lineRule="atLeast"/>
        <w:ind w:left="0" w:right="0" w:firstLine="420"/>
        <w:jc w:val="both"/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</w:rPr>
      </w:pP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lang w:eastAsia="zh-CN"/>
        </w:rPr>
        <w:t>存在问题：</w:t>
      </w: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</w:rPr>
        <w:t>一是主动公开</w:t>
      </w: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lang w:eastAsia="zh-CN"/>
        </w:rPr>
        <w:t>范围和及时性</w:t>
      </w: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</w:rPr>
        <w:t>有待加强。</w:t>
      </w: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lang w:eastAsia="zh-CN"/>
        </w:rPr>
        <w:t>二</w:t>
      </w: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</w:rPr>
        <w:t>是宣传力度</w:t>
      </w: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lang w:eastAsia="zh-CN"/>
        </w:rPr>
        <w:t>有待加强</w:t>
      </w: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</w:rPr>
        <w:t>，</w:t>
      </w: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lang w:eastAsia="zh-CN"/>
        </w:rPr>
        <w:t>宣传</w:t>
      </w: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</w:rPr>
        <w:t>形式</w:t>
      </w: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lang w:eastAsia="zh-CN"/>
        </w:rPr>
        <w:t>单一</w:t>
      </w: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</w:rPr>
        <w:t>。</w:t>
      </w:r>
    </w:p>
    <w:p>
      <w:pPr>
        <w:pStyle w:val="6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432" w:lineRule="atLeast"/>
        <w:ind w:left="0" w:right="0" w:firstLine="420"/>
        <w:jc w:val="both"/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</w:rPr>
        <w:t>改进措施：一是加强</w:t>
      </w: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lang w:eastAsia="zh-CN"/>
        </w:rPr>
        <w:t>信息</w:t>
      </w: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</w:rPr>
        <w:t>员队伍建设，提升信息员综合素质，提高工作效率，保证及时更新、上传全面、准确、优质的政府信息。二是加大学习培训力度，确保</w:t>
      </w: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lang w:eastAsia="zh-CN"/>
        </w:rPr>
        <w:t>信息</w:t>
      </w: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</w:rPr>
        <w:t>公开工作顺利推进。抓好领导干部学习培训，提高领导干部驾驭</w:t>
      </w: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lang w:eastAsia="zh-CN"/>
        </w:rPr>
        <w:t>政府信息</w:t>
      </w: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</w:rPr>
        <w:t>公开工作的能力；广泛开展</w:t>
      </w: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lang w:eastAsia="zh-CN"/>
        </w:rPr>
        <w:t>政府信息</w:t>
      </w: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</w:rPr>
        <w:t>公开基本规范培训，充分调动干部职工参与</w:t>
      </w: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lang w:eastAsia="zh-CN"/>
        </w:rPr>
        <w:t>政府信息</w:t>
      </w: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</w:rPr>
        <w:t>公开工作的主动性和积极性，全面提高相关工作人员信息公开工作水平。三是加大信息采集和发布力度，提高信息质量，丰富公开内容。广泛听取群众的意见和建议，重点公开</w:t>
      </w: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lang w:eastAsia="zh-CN"/>
        </w:rPr>
        <w:t>涉残</w:t>
      </w: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</w:rPr>
        <w:t>群众普遍关心的热点、焦点问题</w:t>
      </w: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lang w:eastAsia="zh-CN"/>
        </w:rPr>
        <w:t>。</w:t>
      </w:r>
    </w:p>
    <w:p>
      <w:pPr>
        <w:pStyle w:val="6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</w:p>
    <w:p>
      <w:pPr>
        <w:pStyle w:val="6"/>
        <w:keepNext w:val="0"/>
        <w:keepLines w:val="0"/>
        <w:pageBreakBefore w:val="0"/>
        <w:widowControl/>
        <w:numPr>
          <w:ilvl w:val="0"/>
          <w:numId w:val="1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20" w:lineRule="exact"/>
        <w:ind w:left="0" w:right="0" w:firstLine="420"/>
        <w:jc w:val="both"/>
        <w:textAlignment w:val="auto"/>
        <w:rPr>
          <w:rFonts w:hint="eastAsia" w:ascii="黑体" w:hAnsi="黑体" w:eastAsia="黑体" w:cs="黑体"/>
          <w:b/>
          <w:bCs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</w:pPr>
      <w:r>
        <w:rPr>
          <w:rFonts w:hint="eastAsia" w:ascii="黑体" w:hAnsi="黑体" w:eastAsia="黑体" w:cs="黑体"/>
          <w:b/>
          <w:bCs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其他需要报告的事项</w:t>
      </w:r>
    </w:p>
    <w:p>
      <w:pPr>
        <w:pStyle w:val="6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20" w:lineRule="exact"/>
        <w:ind w:right="0" w:rightChars="0" w:firstLine="640" w:firstLineChars="200"/>
        <w:jc w:val="both"/>
        <w:textAlignment w:val="auto"/>
        <w:rPr>
          <w:rFonts w:hint="eastAsia" w:ascii="仿宋" w:hAnsi="仿宋" w:eastAsia="仿宋" w:cs="仿宋"/>
          <w:color w:val="333333"/>
          <w:kern w:val="2"/>
          <w:sz w:val="32"/>
          <w:szCs w:val="32"/>
          <w:shd w:val="clear" w:color="auto" w:fill="FFFFFF"/>
          <w:lang w:val="en-US" w:eastAsia="zh-CN" w:bidi="ar-SA"/>
        </w:rPr>
      </w:pPr>
      <w:r>
        <w:rPr>
          <w:rFonts w:hint="eastAsia" w:ascii="仿宋" w:hAnsi="仿宋" w:eastAsia="仿宋" w:cs="仿宋"/>
          <w:color w:val="333333"/>
          <w:kern w:val="2"/>
          <w:sz w:val="32"/>
          <w:szCs w:val="32"/>
          <w:shd w:val="clear" w:color="auto" w:fill="FFFFFF"/>
          <w:lang w:val="en-US" w:eastAsia="zh-CN" w:bidi="ar-SA"/>
        </w:rPr>
        <w:t>2022年，宁晋残联没有收取信息处理费。无其他需要报告事项。</w:t>
      </w:r>
    </w:p>
    <w:p>
      <w:pPr>
        <w:pStyle w:val="6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20" w:lineRule="exact"/>
        <w:ind w:right="0" w:rightChars="0" w:firstLine="640" w:firstLineChars="200"/>
        <w:jc w:val="both"/>
        <w:textAlignment w:val="auto"/>
        <w:rPr>
          <w:rFonts w:hint="eastAsia" w:ascii="仿宋" w:hAnsi="仿宋" w:eastAsia="仿宋" w:cs="仿宋"/>
          <w:color w:val="333333"/>
          <w:kern w:val="2"/>
          <w:sz w:val="32"/>
          <w:szCs w:val="32"/>
          <w:shd w:val="clear" w:color="auto" w:fill="FFFFFF"/>
          <w:lang w:val="en-US" w:eastAsia="zh-CN" w:bidi="ar-SA"/>
        </w:rPr>
      </w:pPr>
    </w:p>
    <w:p>
      <w:pPr>
        <w:pStyle w:val="6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20" w:lineRule="exact"/>
        <w:ind w:right="0" w:rightChars="0" w:firstLine="640" w:firstLineChars="200"/>
        <w:jc w:val="right"/>
        <w:textAlignment w:val="auto"/>
        <w:rPr>
          <w:rFonts w:hint="eastAsia" w:ascii="仿宋" w:hAnsi="仿宋" w:eastAsia="仿宋" w:cs="仿宋"/>
          <w:color w:val="333333"/>
          <w:kern w:val="2"/>
          <w:sz w:val="32"/>
          <w:szCs w:val="32"/>
          <w:shd w:val="clear" w:color="auto" w:fill="FFFFFF"/>
          <w:lang w:val="en-US" w:eastAsia="zh-CN" w:bidi="ar-SA"/>
        </w:rPr>
      </w:pPr>
      <w:r>
        <w:rPr>
          <w:rFonts w:hint="eastAsia" w:ascii="仿宋" w:hAnsi="仿宋" w:eastAsia="仿宋" w:cs="仿宋"/>
          <w:color w:val="333333"/>
          <w:kern w:val="2"/>
          <w:sz w:val="32"/>
          <w:szCs w:val="32"/>
          <w:shd w:val="clear" w:color="auto" w:fill="FFFFFF"/>
          <w:lang w:val="en-US" w:eastAsia="zh-CN" w:bidi="ar-SA"/>
        </w:rPr>
        <w:t>宁晋县残疾人联合会</w:t>
      </w:r>
    </w:p>
    <w:p>
      <w:pPr>
        <w:pStyle w:val="6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20" w:lineRule="exact"/>
        <w:ind w:right="0" w:rightChars="0" w:firstLine="640" w:firstLineChars="200"/>
        <w:jc w:val="right"/>
        <w:textAlignment w:val="auto"/>
        <w:rPr>
          <w:rFonts w:hint="default" w:ascii="仿宋" w:hAnsi="仿宋" w:eastAsia="仿宋" w:cs="仿宋"/>
          <w:color w:val="333333"/>
          <w:kern w:val="2"/>
          <w:sz w:val="32"/>
          <w:szCs w:val="32"/>
          <w:shd w:val="clear" w:color="auto" w:fill="FFFFFF"/>
          <w:lang w:val="en-US" w:eastAsia="zh-CN" w:bidi="ar-SA"/>
        </w:rPr>
      </w:pPr>
      <w:r>
        <w:rPr>
          <w:rFonts w:hint="eastAsia" w:ascii="仿宋" w:hAnsi="仿宋" w:eastAsia="仿宋" w:cs="仿宋"/>
          <w:color w:val="333333"/>
          <w:kern w:val="2"/>
          <w:sz w:val="32"/>
          <w:szCs w:val="32"/>
          <w:shd w:val="clear" w:color="auto" w:fill="FFFFFF"/>
          <w:lang w:val="en-US" w:eastAsia="zh-CN" w:bidi="ar-SA"/>
        </w:rPr>
        <w:t>2023年1月16日</w:t>
      </w:r>
    </w:p>
    <w:sectPr>
      <w:footerReference r:id="rId3" w:type="default"/>
      <w:pgSz w:w="11906" w:h="16838"/>
      <w:pgMar w:top="1814" w:right="1474" w:bottom="1814" w:left="1474" w:header="851" w:footer="992" w:gutter="0"/>
      <w:pgNumType w:fmt="numberInDash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50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方正小标宋简体">
    <w:altName w:val="黑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2" name="文本框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4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Akgka0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4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DB5DBC53"/>
    <w:multiLevelType w:val="singleLevel"/>
    <w:tmpl w:val="DB5DBC53"/>
    <w:lvl w:ilvl="0" w:tentative="0">
      <w:start w:val="6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jkxYzg3MDA0OWYwZjhhODBkNzgyZTgzZWM2NTU0ZTkifQ=="/>
  </w:docVars>
  <w:rsids>
    <w:rsidRoot w:val="063977E7"/>
    <w:rsid w:val="01984664"/>
    <w:rsid w:val="027C4C07"/>
    <w:rsid w:val="02CD090E"/>
    <w:rsid w:val="046A047E"/>
    <w:rsid w:val="063977E7"/>
    <w:rsid w:val="09B22306"/>
    <w:rsid w:val="0AB77323"/>
    <w:rsid w:val="0C517711"/>
    <w:rsid w:val="0D8D6150"/>
    <w:rsid w:val="0D9B5C09"/>
    <w:rsid w:val="0DA20070"/>
    <w:rsid w:val="0EFF2398"/>
    <w:rsid w:val="14624025"/>
    <w:rsid w:val="1780198E"/>
    <w:rsid w:val="1BD1392C"/>
    <w:rsid w:val="1C782A98"/>
    <w:rsid w:val="1F3738CD"/>
    <w:rsid w:val="213F0E29"/>
    <w:rsid w:val="234D68B3"/>
    <w:rsid w:val="24941E67"/>
    <w:rsid w:val="25FE1F57"/>
    <w:rsid w:val="296B3BA7"/>
    <w:rsid w:val="29E071DE"/>
    <w:rsid w:val="2BF60452"/>
    <w:rsid w:val="2D3A7792"/>
    <w:rsid w:val="2E8B099B"/>
    <w:rsid w:val="2EDA525F"/>
    <w:rsid w:val="2EF85842"/>
    <w:rsid w:val="30335E1C"/>
    <w:rsid w:val="335702CA"/>
    <w:rsid w:val="37932854"/>
    <w:rsid w:val="379B18FC"/>
    <w:rsid w:val="394A50B4"/>
    <w:rsid w:val="3A9A0238"/>
    <w:rsid w:val="3EF814B4"/>
    <w:rsid w:val="3F6C1B91"/>
    <w:rsid w:val="3FBF6D58"/>
    <w:rsid w:val="3FE87517"/>
    <w:rsid w:val="406F2185"/>
    <w:rsid w:val="42C972FA"/>
    <w:rsid w:val="4860496A"/>
    <w:rsid w:val="4A423052"/>
    <w:rsid w:val="4A7D4C52"/>
    <w:rsid w:val="4B226F0E"/>
    <w:rsid w:val="4D6221EA"/>
    <w:rsid w:val="51516E68"/>
    <w:rsid w:val="5455279C"/>
    <w:rsid w:val="5502051C"/>
    <w:rsid w:val="559844D6"/>
    <w:rsid w:val="56FB7981"/>
    <w:rsid w:val="58D00F8B"/>
    <w:rsid w:val="5AE87034"/>
    <w:rsid w:val="5DC10EA2"/>
    <w:rsid w:val="5EFB7BBA"/>
    <w:rsid w:val="60897613"/>
    <w:rsid w:val="61D411AA"/>
    <w:rsid w:val="637245BF"/>
    <w:rsid w:val="65160521"/>
    <w:rsid w:val="65483052"/>
    <w:rsid w:val="661E18BF"/>
    <w:rsid w:val="6626316D"/>
    <w:rsid w:val="67784DAD"/>
    <w:rsid w:val="67D619EE"/>
    <w:rsid w:val="685A0C35"/>
    <w:rsid w:val="69D41849"/>
    <w:rsid w:val="6B6950F2"/>
    <w:rsid w:val="6D37320D"/>
    <w:rsid w:val="75AB1040"/>
    <w:rsid w:val="762B3E08"/>
    <w:rsid w:val="771A432A"/>
    <w:rsid w:val="77DD3BA6"/>
    <w:rsid w:val="78966699"/>
    <w:rsid w:val="7AC56FD1"/>
    <w:rsid w:val="7C05567D"/>
    <w:rsid w:val="7EC95D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qFormat="1" w:uiPriority="99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iPriority="99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qFormat="1"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8">
    <w:name w:val="Default Paragraph Font"/>
    <w:semiHidden/>
    <w:qFormat/>
    <w:uiPriority w:val="0"/>
  </w:style>
  <w:style w:type="table" w:default="1" w:styleId="7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First Indent 2"/>
    <w:basedOn w:val="3"/>
    <w:unhideWhenUsed/>
    <w:qFormat/>
    <w:uiPriority w:val="99"/>
    <w:pPr>
      <w:ind w:firstLine="420"/>
    </w:pPr>
  </w:style>
  <w:style w:type="paragraph" w:styleId="3">
    <w:name w:val="Body Text Indent"/>
    <w:basedOn w:val="1"/>
    <w:unhideWhenUsed/>
    <w:qFormat/>
    <w:uiPriority w:val="99"/>
    <w:pPr>
      <w:spacing w:line="560" w:lineRule="exact"/>
      <w:ind w:firstLine="739" w:firstLineChars="231"/>
    </w:pPr>
    <w:rPr>
      <w:rFonts w:ascii="Times New Roman" w:hAnsi="Times New Roman" w:eastAsia="仿宋_GB2312" w:cs="Times New Roman"/>
      <w:sz w:val="32"/>
      <w:szCs w:val="32"/>
    </w:rPr>
  </w:style>
  <w:style w:type="paragraph" w:styleId="4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5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6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9">
    <w:name w:val="FollowedHyperlink"/>
    <w:basedOn w:val="8"/>
    <w:qFormat/>
    <w:uiPriority w:val="0"/>
    <w:rPr>
      <w:rFonts w:hint="eastAsia" w:ascii="微软雅黑" w:hAnsi="微软雅黑" w:eastAsia="微软雅黑" w:cs="微软雅黑"/>
      <w:color w:val="800080"/>
      <w:u w:val="none"/>
    </w:rPr>
  </w:style>
  <w:style w:type="character" w:styleId="10">
    <w:name w:val="Emphasis"/>
    <w:basedOn w:val="8"/>
    <w:qFormat/>
    <w:uiPriority w:val="0"/>
    <w:rPr>
      <w:rFonts w:hint="eastAsia" w:ascii="微软雅黑" w:hAnsi="微软雅黑" w:eastAsia="微软雅黑" w:cs="微软雅黑"/>
      <w:u w:val="none"/>
    </w:rPr>
  </w:style>
  <w:style w:type="character" w:styleId="11">
    <w:name w:val="Hyperlink"/>
    <w:basedOn w:val="8"/>
    <w:qFormat/>
    <w:uiPriority w:val="0"/>
    <w:rPr>
      <w:rFonts w:hint="eastAsia" w:ascii="微软雅黑" w:hAnsi="微软雅黑" w:eastAsia="微软雅黑" w:cs="微软雅黑"/>
      <w:color w:val="0000FF"/>
      <w:u w:val="none"/>
    </w:rPr>
  </w:style>
  <w:style w:type="character" w:customStyle="1" w:styleId="12">
    <w:name w:val="hover12"/>
    <w:basedOn w:val="8"/>
    <w:qFormat/>
    <w:uiPriority w:val="0"/>
    <w:rPr>
      <w:color w:val="C50000"/>
    </w:rPr>
  </w:style>
  <w:style w:type="character" w:customStyle="1" w:styleId="13">
    <w:name w:val="curr"/>
    <w:basedOn w:val="8"/>
    <w:qFormat/>
    <w:uiPriority w:val="0"/>
    <w:rPr>
      <w:color w:val="FFFFFF"/>
      <w:shd w:val="clear" w:fill="C50000"/>
    </w:rPr>
  </w:style>
  <w:style w:type="character" w:customStyle="1" w:styleId="14">
    <w:name w:val="hover"/>
    <w:basedOn w:val="8"/>
    <w:qFormat/>
    <w:uiPriority w:val="0"/>
    <w:rPr>
      <w:color w:val="C50000"/>
    </w:rPr>
  </w:style>
  <w:style w:type="character" w:customStyle="1" w:styleId="15">
    <w:name w:val="curr2"/>
    <w:basedOn w:val="8"/>
    <w:qFormat/>
    <w:uiPriority w:val="0"/>
    <w:rPr>
      <w:color w:val="FFFFFF"/>
      <w:shd w:val="clear" w:fill="C50000"/>
    </w:rPr>
  </w:style>
  <w:style w:type="character" w:customStyle="1" w:styleId="16">
    <w:name w:val="hover11"/>
    <w:basedOn w:val="8"/>
    <w:qFormat/>
    <w:uiPriority w:val="0"/>
    <w:rPr>
      <w:color w:val="C50000"/>
    </w:rPr>
  </w:style>
</w:styles>
</file>

<file path=word/_rels/document.xml.rels><?xml version="1.0" encoding="UTF-8" standalone="no"?><Relationships xmlns="http://schemas.openxmlformats.org/package/2006/relationships"><Relationship Id="rId1" Target="styles.xml" Type="http://schemas.openxmlformats.org/officeDocument/2006/relationships/styles"/><Relationship Id="rId2" Target="settings.xml" Type="http://schemas.openxmlformats.org/officeDocument/2006/relationships/settings"/><Relationship Id="rId3" Target="footer1.xml" Type="http://schemas.openxmlformats.org/officeDocument/2006/relationships/footer"/><Relationship Id="rId4" Target="theme/theme1.xml" Type="http://schemas.openxmlformats.org/officeDocument/2006/relationships/theme"/><Relationship Id="rId5" Target="../customXml/item1.xml" Type="http://schemas.openxmlformats.org/officeDocument/2006/relationships/customXml"/><Relationship Id="rId6" Target="numbering.xml" Type="http://schemas.openxmlformats.org/officeDocument/2006/relationships/numbering"/><Relationship Id="rId7" Target="fontTable.xml" Type="http://schemas.openxmlformats.org/officeDocument/2006/relationships/fontTable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no"?><Relationships xmlns="http://schemas.openxmlformats.org/package/2006/relationships"><Relationship Id="rId1" Target="itemProps1.xml" Type="http://schemas.openxmlformats.org/officeDocument/2006/relationships/customXmlProps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5</Pages>
  <Words>2082</Words>
  <Characters>2128</Characters>
  <Lines>0</Lines>
  <Paragraphs>0</Paragraphs>
  <TotalTime>54</TotalTime>
  <ScaleCrop>false</ScaleCrop>
  <LinksUpToDate>false</LinksUpToDate>
  <CharactersWithSpaces>2277</CharactersWithSpaces>
  <Application>WPS Office_11.1.0.13703_F1E327BC-269C-435d-A152-05C5408002CA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2022-01-06T07:29:00Z</dcterms:created>
  <dc:creator>Administrator</dc:creator>
  <cp:lastModifiedBy>My</cp:lastModifiedBy>
  <cp:lastPrinted>2022-01-28T01:26:00Z</cp:lastPrinted>
  <dcterms:modified xsi:type="dcterms:W3CDTF">2023-01-16T01:08:47Z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2052-11.1.0.13703</vt:lpwstr>
  </property>
  <property fmtid="{D5CDD505-2E9C-101B-9397-08002B2CF9AE}" pid="3" name="ICV">
    <vt:lpwstr>1157CE926B71424ABCEDD46E97C11597</vt:lpwstr>
  </property>
</Properties>
</file>