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b/>
          <w:bCs/>
          <w:i w:val="0"/>
          <w:caps w:val="0"/>
          <w:color w:val="auto"/>
          <w:spacing w:val="-23"/>
          <w:kern w:val="0"/>
          <w:sz w:val="44"/>
          <w:szCs w:val="44"/>
          <w:shd w:val="clear" w:color="auto" w:fill="FFFFFF"/>
          <w:lang w:val="en-US" w:eastAsia="zh-CN" w:bidi="ar"/>
        </w:rPr>
      </w:pPr>
      <w:r>
        <w:rPr>
          <w:rFonts w:hint="eastAsia" w:asciiTheme="majorEastAsia" w:hAnsiTheme="majorEastAsia" w:eastAsiaTheme="majorEastAsia" w:cstheme="majorEastAsia"/>
          <w:b/>
          <w:bCs/>
          <w:i w:val="0"/>
          <w:caps w:val="0"/>
          <w:color w:val="auto"/>
          <w:spacing w:val="-23"/>
          <w:kern w:val="0"/>
          <w:sz w:val="44"/>
          <w:szCs w:val="44"/>
          <w:shd w:val="clear" w:color="auto" w:fill="FFFFFF"/>
          <w:lang w:val="en-US" w:eastAsia="zh-CN" w:bidi="ar"/>
        </w:rPr>
        <w:t>宁晋县商务局2022年政府信息公开工作年度报告</w:t>
      </w:r>
    </w:p>
    <w:p>
      <w:pPr>
        <w:pStyle w:val="2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根据《中华人民共和国政府信息公开条例》、《河北省实施〈中华人民共和国政府信息公开条例〉办法》和省、市、县政务公开工作要求等规定，发布本年度报告。全文包括总体情况、主动公开政府信息情况、收到和处理政府信息公开申请情况、政府信息公开行政复议和行政诉讼情况、存在的主要问题及改进情况、其他需要报告的事项等内容。报告中所列数据统计期限为2022年1月1日至12月31日。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一、</w:t>
      </w: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总体情况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2022年，县商务局严格按照《中华人民共和国政府信息公开条例》和《宁晋县2022年政务公开工作要点》要求，紧密结合商务工作实际，坚持“公开公正、透明高效”原则，加强政府信息公开工作的领导，进一步完善政务公开各项制度，确保政府信息公开工作持续良好开展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3" w:firstLineChars="20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（一）主动公开政府信息情况。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截至2022年12月31日，我局通过政府网站政务信息公开平台主动公开全县商务信息68条，其中，公告公示类6条，部门动态类1条，行政执法公示类7条，电子商务进农村综合示范县专栏公示54条，通过政府门户网站、邢台日报、宁晋发布、宁晋融媒、“宁晋县商务局”微信公众号等多种渠道公开发布商务类信息501余条，为商务系统行业企业发展提供了强有力的信息支撑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3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（二）依申请公开情况。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  <w:t>2022年，我局没有收到政府信息公开申请，没有办理依申请公开答复，没有出现不依申请公开政府信息的情况。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-160" w:firstLine="643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（三）政府信息管理。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  <w:t>为确保信息公开工作落到实处，我局办公室为信息公开工作主管科室，并指定专门人员管理此项工作，负责督促、协调、监督全局信息公开工作，积极与各科室联系沟通，盯紧热点信息、及时获悉、及时公开发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（四）政府信息平台建设。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  <w:t>我局通过“宁晋县商务局”微信公众号，积极宣传公开商务领域活动政策。同时，按照县委县政府统一部署，能及时在网站、公众号、单位政务公开栏等公开各项工作，更新商务工作实时动态，不断丰富信息资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（五）政府信息发布监管。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  <w:t>我局严格遵守信息员-股室负责人-主管副职-主要负责人层级审核机制，严格执行互联网网站和政务新媒体信息发布保密审查制度，尤其是在政府网站发布的信息，严格按要求填写《行政机关互联网网站和政务新媒体信息发布保密审查表》，确保发布的信息内容不涉密、不泄密，确保政府网站信息发布程序规范、政务新媒体运维合法合规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8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627"/>
        <w:gridCol w:w="1969"/>
        <w:gridCol w:w="1571"/>
        <w:gridCol w:w="211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9" w:hRule="atLeast"/>
          <w:jc w:val="center"/>
        </w:trPr>
        <w:tc>
          <w:tcPr>
            <w:tcW w:w="928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  <w:jc w:val="center"/>
        </w:trPr>
        <w:tc>
          <w:tcPr>
            <w:tcW w:w="36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信息内容</w:t>
            </w:r>
          </w:p>
        </w:tc>
        <w:tc>
          <w:tcPr>
            <w:tcW w:w="19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本年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"/>
              </w:rPr>
              <w:t>制发件数</w:t>
            </w:r>
          </w:p>
        </w:tc>
        <w:tc>
          <w:tcPr>
            <w:tcW w:w="15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18"/>
                <w:szCs w:val="18"/>
                <w:lang w:val="en-US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本年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"/>
              </w:rPr>
              <w:t>废止件数</w:t>
            </w:r>
          </w:p>
        </w:tc>
        <w:tc>
          <w:tcPr>
            <w:tcW w:w="21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18"/>
                <w:szCs w:val="18"/>
                <w:lang w:val="en-US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"/>
              </w:rPr>
              <w:t>现行有效件数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8" w:hRule="atLeast"/>
          <w:jc w:val="center"/>
        </w:trPr>
        <w:tc>
          <w:tcPr>
            <w:tcW w:w="36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规章</w:t>
            </w:r>
          </w:p>
        </w:tc>
        <w:tc>
          <w:tcPr>
            <w:tcW w:w="19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15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21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0" w:hRule="atLeast"/>
          <w:jc w:val="center"/>
        </w:trPr>
        <w:tc>
          <w:tcPr>
            <w:tcW w:w="36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规范性文件</w:t>
            </w:r>
          </w:p>
        </w:tc>
        <w:tc>
          <w:tcPr>
            <w:tcW w:w="19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15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21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  <w:jc w:val="center"/>
        </w:trPr>
        <w:tc>
          <w:tcPr>
            <w:tcW w:w="9284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2" w:hRule="atLeast"/>
          <w:jc w:val="center"/>
        </w:trPr>
        <w:tc>
          <w:tcPr>
            <w:tcW w:w="36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信息内容</w:t>
            </w:r>
          </w:p>
        </w:tc>
        <w:tc>
          <w:tcPr>
            <w:tcW w:w="565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  <w:jc w:val="center"/>
        </w:trPr>
        <w:tc>
          <w:tcPr>
            <w:tcW w:w="36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行政许可</w:t>
            </w:r>
          </w:p>
        </w:tc>
        <w:tc>
          <w:tcPr>
            <w:tcW w:w="565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4" w:hRule="atLeast"/>
          <w:jc w:val="center"/>
        </w:trPr>
        <w:tc>
          <w:tcPr>
            <w:tcW w:w="9284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3" w:hRule="atLeast"/>
          <w:jc w:val="center"/>
        </w:trPr>
        <w:tc>
          <w:tcPr>
            <w:tcW w:w="36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信息内容</w:t>
            </w:r>
          </w:p>
        </w:tc>
        <w:tc>
          <w:tcPr>
            <w:tcW w:w="565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"/>
              </w:rPr>
              <w:t>本年处理决定</w:t>
            </w: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1" w:hRule="atLeast"/>
          <w:jc w:val="center"/>
        </w:trPr>
        <w:tc>
          <w:tcPr>
            <w:tcW w:w="36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行政处罚</w:t>
            </w:r>
          </w:p>
        </w:tc>
        <w:tc>
          <w:tcPr>
            <w:tcW w:w="565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/>
                <w:sz w:val="18"/>
                <w:szCs w:val="18"/>
                <w:lang w:val="en-US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  <w:jc w:val="center"/>
        </w:trPr>
        <w:tc>
          <w:tcPr>
            <w:tcW w:w="36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行政强制</w:t>
            </w:r>
          </w:p>
        </w:tc>
        <w:tc>
          <w:tcPr>
            <w:tcW w:w="565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3" w:hRule="atLeast"/>
          <w:jc w:val="center"/>
        </w:trPr>
        <w:tc>
          <w:tcPr>
            <w:tcW w:w="9284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9" w:hRule="atLeast"/>
          <w:jc w:val="center"/>
        </w:trPr>
        <w:tc>
          <w:tcPr>
            <w:tcW w:w="36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信息内容</w:t>
            </w:r>
          </w:p>
        </w:tc>
        <w:tc>
          <w:tcPr>
            <w:tcW w:w="565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/>
                <w:sz w:val="18"/>
                <w:szCs w:val="18"/>
                <w:lang w:val="en-US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  <w:jc w:val="center"/>
        </w:trPr>
        <w:tc>
          <w:tcPr>
            <w:tcW w:w="36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行政事业性收费</w:t>
            </w:r>
          </w:p>
        </w:tc>
        <w:tc>
          <w:tcPr>
            <w:tcW w:w="565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</w:tbl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 w:firstLine="640" w:firstLineChars="200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Style w:val="8"/>
        <w:tblW w:w="0" w:type="auto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6"/>
        <w:gridCol w:w="935"/>
        <w:gridCol w:w="2608"/>
        <w:gridCol w:w="745"/>
        <w:gridCol w:w="716"/>
        <w:gridCol w:w="727"/>
        <w:gridCol w:w="842"/>
        <w:gridCol w:w="877"/>
        <w:gridCol w:w="761"/>
        <w:gridCol w:w="519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  <w:jc w:val="center"/>
        </w:trPr>
        <w:tc>
          <w:tcPr>
            <w:tcW w:w="4149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8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4149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74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180" w:hanging="180" w:hangingChars="10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自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"/>
              </w:rPr>
              <w:t xml:space="preserve"> </w:t>
            </w: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然人</w:t>
            </w:r>
          </w:p>
        </w:tc>
        <w:tc>
          <w:tcPr>
            <w:tcW w:w="3923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法人或其他组织</w:t>
            </w:r>
          </w:p>
        </w:tc>
        <w:tc>
          <w:tcPr>
            <w:tcW w:w="51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  <w:jc w:val="center"/>
        </w:trPr>
        <w:tc>
          <w:tcPr>
            <w:tcW w:w="4149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74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商业企业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科研机构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社会公益组织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法律服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务机构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其他</w:t>
            </w:r>
          </w:p>
        </w:tc>
        <w:tc>
          <w:tcPr>
            <w:tcW w:w="51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  <w:jc w:val="center"/>
        </w:trPr>
        <w:tc>
          <w:tcPr>
            <w:tcW w:w="414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  <w:jc w:val="center"/>
        </w:trPr>
        <w:tc>
          <w:tcPr>
            <w:tcW w:w="414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60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三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本年度办理结果</w:t>
            </w:r>
          </w:p>
        </w:tc>
        <w:tc>
          <w:tcPr>
            <w:tcW w:w="354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（一）予以公开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354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180" w:hanging="180" w:hangingChars="100"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不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leftChars="-100" w:firstLine="360" w:firstLineChars="20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予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"/>
              </w:rPr>
              <w:t>公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开</w:t>
            </w: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1.属于国家秘密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"/>
              </w:rPr>
              <w:t>2.</w:t>
            </w: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其他法律行政法规禁止公开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3.危及“三安全一稳定”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4.保护第三方合法权益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" w:hRule="atLeast"/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5.属于三类内部事务信息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6.属于四类过程性信息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1" w:hRule="atLeast"/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7.属于行政执法案卷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8.属于行政查询事项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（四）无法提供</w:t>
            </w: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1.本机关不掌握相关政府信息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"/>
              </w:rPr>
              <w:t>2.</w:t>
            </w: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没有现成信息需要另行制作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"/>
              </w:rPr>
              <w:t>3.</w:t>
            </w: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补正后申请内容仍不明确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（五）不予处理</w:t>
            </w: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1.信访举报投诉类申请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7" w:hRule="atLeast"/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2.重复申请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3.要求提供公开出版物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"/>
              </w:rPr>
              <w:t>4.</w:t>
            </w: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无正当理由大量反复申请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"/>
              </w:rPr>
              <w:t>5.</w:t>
            </w: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要求行政机关确认或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firstLine="180" w:firstLineChars="10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重新出具已获取信息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6" w:hRule="atLeast"/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restart"/>
            <w:tcBorders>
              <w:top w:val="nil"/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  <w:r>
              <w:rPr>
                <w:rFonts w:hint="eastAsia" w:ascii="宋体"/>
                <w:sz w:val="18"/>
                <w:szCs w:val="18"/>
                <w:lang w:val="en-US" w:eastAsia="zh-CN"/>
              </w:rPr>
              <w:t>（六）其他处理</w:t>
            </w: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6" w:hRule="atLeast"/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continue"/>
            <w:tcBorders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  <w:lang w:val="en-US" w:eastAsia="zh-CN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 w:hRule="atLeast"/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93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  <w:lang w:val="en-US" w:eastAsia="zh-CN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60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354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（七）总计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  <w:jc w:val="center"/>
        </w:trPr>
        <w:tc>
          <w:tcPr>
            <w:tcW w:w="414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四、结转下年度继续办理</w:t>
            </w:r>
          </w:p>
        </w:tc>
        <w:tc>
          <w:tcPr>
            <w:tcW w:w="7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</w:tbl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 w:firstLine="640" w:firstLineChars="200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四、政府信息公开工作行政复议、行政诉讼情况</w:t>
      </w:r>
    </w:p>
    <w:tbl>
      <w:tblPr>
        <w:tblStyle w:val="8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2"/>
        <w:gridCol w:w="599"/>
        <w:gridCol w:w="670"/>
        <w:gridCol w:w="604"/>
        <w:gridCol w:w="658"/>
        <w:gridCol w:w="615"/>
        <w:gridCol w:w="623"/>
        <w:gridCol w:w="589"/>
        <w:gridCol w:w="623"/>
        <w:gridCol w:w="600"/>
        <w:gridCol w:w="611"/>
        <w:gridCol w:w="589"/>
        <w:gridCol w:w="623"/>
        <w:gridCol w:w="588"/>
        <w:gridCol w:w="68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  <w:jc w:val="center"/>
        </w:trPr>
        <w:tc>
          <w:tcPr>
            <w:tcW w:w="314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行政复议</w:t>
            </w:r>
          </w:p>
        </w:tc>
        <w:tc>
          <w:tcPr>
            <w:tcW w:w="6142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行政诉讼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  <w:jc w:val="center"/>
        </w:trPr>
        <w:tc>
          <w:tcPr>
            <w:tcW w:w="61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结果维持</w:t>
            </w:r>
          </w:p>
        </w:tc>
        <w:tc>
          <w:tcPr>
            <w:tcW w:w="59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结果纠正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总计</w:t>
            </w:r>
          </w:p>
        </w:tc>
        <w:tc>
          <w:tcPr>
            <w:tcW w:w="305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未经复议直接起诉</w:t>
            </w:r>
          </w:p>
        </w:tc>
        <w:tc>
          <w:tcPr>
            <w:tcW w:w="3092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复议后起诉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4" w:hRule="atLeast"/>
          <w:jc w:val="center"/>
        </w:trPr>
        <w:tc>
          <w:tcPr>
            <w:tcW w:w="61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59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67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65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结果维持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结果纠正</w:t>
            </w:r>
          </w:p>
        </w:tc>
        <w:tc>
          <w:tcPr>
            <w:tcW w:w="5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其他结果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尚未审结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总计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结果维持</w:t>
            </w:r>
          </w:p>
        </w:tc>
        <w:tc>
          <w:tcPr>
            <w:tcW w:w="5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结果纠正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其他结果</w:t>
            </w:r>
          </w:p>
        </w:tc>
        <w:tc>
          <w:tcPr>
            <w:tcW w:w="5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尚未审结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总计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  <w:jc w:val="center"/>
        </w:trPr>
        <w:tc>
          <w:tcPr>
            <w:tcW w:w="6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5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五、存在的主要问题及改进情况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  <w:t>2022年，我局政府信息公开工作取得了一定成效，但与政府信息工作要求还有一定差距，具体表现在：信息公开工作规范性有待进一步加强，主动向社会公开信息的领域有待进一步拓展，组织引导工作仍有差距。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  <w:t>改进措施：一是创新载体，丰富公开形式，一步加强政府网站信息公开专栏建设，充分发挥其作为第一平台的作用。二是加强宣传，提高公众认知。以各种媒体为渠道，通过开展多种形式的宣传活动，全面宣传政府信息公开工作，积极引导社会公众正确行使知情权，让公众掌握和了解获取政府信息的途径和渠道，让更多的公众了解并理解和支持政府信息公开工作。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其他需要报告的事项</w:t>
      </w: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 xml:space="preserve">    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  <w:t>2022年，商务局没有收取信息处理费。无其他需要报告的事项。        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                  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        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5760" w:firstLineChars="18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0" w:firstLineChars="20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 宁晋县商务局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 w:firstLine="6400" w:firstLineChars="2000"/>
        <w:textAlignment w:val="auto"/>
        <w:rPr>
          <w:rFonts w:hint="default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2023年1月9日</w:t>
      </w:r>
    </w:p>
    <w:sectPr>
      <w:footerReference r:id="rId3" w:type="default"/>
      <w:pgSz w:w="11906" w:h="16838"/>
      <w:pgMar w:top="1814" w:right="1417" w:bottom="1701" w:left="141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rPr>
                              <w:rFonts w:hint="eastAsia" w:ascii="仿宋" w:hAnsi="仿宋" w:eastAsia="仿宋" w:cs="仿宋"/>
                              <w:sz w:val="32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" w:hAnsi="仿宋" w:eastAsia="仿宋" w:cs="仿宋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rFonts w:hint="eastAsia" w:ascii="仿宋" w:hAnsi="仿宋" w:eastAsia="仿宋" w:cs="仿宋"/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 w:cs="仿宋"/>
                              <w:sz w:val="32"/>
                              <w:szCs w:val="32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rPr>
                        <w:rFonts w:hint="eastAsia" w:ascii="仿宋" w:hAnsi="仿宋" w:eastAsia="仿宋" w:cs="仿宋"/>
                        <w:sz w:val="32"/>
                        <w:szCs w:val="32"/>
                      </w:rPr>
                      <w:t xml:space="preserve">— </w:t>
                    </w:r>
                    <w:r>
                      <w:rPr>
                        <w:rFonts w:hint="eastAsia" w:ascii="仿宋" w:hAnsi="仿宋" w:eastAsia="仿宋" w:cs="仿宋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32"/>
                        <w:szCs w:val="32"/>
                      </w:rPr>
                      <w:t>1</w:t>
                    </w:r>
                    <w:r>
                      <w:rPr>
                        <w:rFonts w:hint="eastAsia" w:ascii="仿宋" w:hAnsi="仿宋" w:eastAsia="仿宋" w:cs="仿宋"/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rFonts w:hint="eastAsia" w:ascii="仿宋" w:hAnsi="仿宋" w:eastAsia="仿宋" w:cs="仿宋"/>
                        <w:sz w:val="32"/>
                        <w:szCs w:val="32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DDE36BB"/>
    <w:multiLevelType w:val="singleLevel"/>
    <w:tmpl w:val="8DDE36BB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99745F0"/>
    <w:multiLevelType w:val="singleLevel"/>
    <w:tmpl w:val="199745F0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5NzIxZjUyZmU2MDAyY2NjNDVlODJhMGY4MTVkNzMifQ=="/>
  </w:docVars>
  <w:rsids>
    <w:rsidRoot w:val="00000000"/>
    <w:rsid w:val="00A81D22"/>
    <w:rsid w:val="02012B23"/>
    <w:rsid w:val="02D432A2"/>
    <w:rsid w:val="03B35F94"/>
    <w:rsid w:val="058A5E9A"/>
    <w:rsid w:val="05E03D0C"/>
    <w:rsid w:val="071A4FFB"/>
    <w:rsid w:val="08033CE1"/>
    <w:rsid w:val="08856DEC"/>
    <w:rsid w:val="0B773172"/>
    <w:rsid w:val="0BA37CB5"/>
    <w:rsid w:val="0EE4281A"/>
    <w:rsid w:val="0F4E1CE6"/>
    <w:rsid w:val="1025513D"/>
    <w:rsid w:val="11A958FA"/>
    <w:rsid w:val="11F36B75"/>
    <w:rsid w:val="121F796A"/>
    <w:rsid w:val="125F420A"/>
    <w:rsid w:val="12DD37BD"/>
    <w:rsid w:val="13225964"/>
    <w:rsid w:val="13421B62"/>
    <w:rsid w:val="14333BA0"/>
    <w:rsid w:val="150A448F"/>
    <w:rsid w:val="152139F9"/>
    <w:rsid w:val="1574621E"/>
    <w:rsid w:val="177E5132"/>
    <w:rsid w:val="17984446"/>
    <w:rsid w:val="18153CE9"/>
    <w:rsid w:val="19856C4C"/>
    <w:rsid w:val="1B4D4249"/>
    <w:rsid w:val="1BBB0703"/>
    <w:rsid w:val="1F505606"/>
    <w:rsid w:val="2610010E"/>
    <w:rsid w:val="26997893"/>
    <w:rsid w:val="27196C26"/>
    <w:rsid w:val="27A97396"/>
    <w:rsid w:val="28771E56"/>
    <w:rsid w:val="28B07116"/>
    <w:rsid w:val="2B6A3EF4"/>
    <w:rsid w:val="2BE66DE7"/>
    <w:rsid w:val="2CD8154C"/>
    <w:rsid w:val="2D937732"/>
    <w:rsid w:val="2DC84F02"/>
    <w:rsid w:val="2DDD09AD"/>
    <w:rsid w:val="2E2C723F"/>
    <w:rsid w:val="30C85944"/>
    <w:rsid w:val="312863E3"/>
    <w:rsid w:val="332E5807"/>
    <w:rsid w:val="33B026C0"/>
    <w:rsid w:val="34BA37F6"/>
    <w:rsid w:val="35A3072E"/>
    <w:rsid w:val="35D800FC"/>
    <w:rsid w:val="369B2FE3"/>
    <w:rsid w:val="37C8622A"/>
    <w:rsid w:val="37CA3EDB"/>
    <w:rsid w:val="38701D47"/>
    <w:rsid w:val="3942025E"/>
    <w:rsid w:val="399D36E6"/>
    <w:rsid w:val="3A127C30"/>
    <w:rsid w:val="3A2160C5"/>
    <w:rsid w:val="3B0F4170"/>
    <w:rsid w:val="3B1704E7"/>
    <w:rsid w:val="3C17152E"/>
    <w:rsid w:val="3C805325"/>
    <w:rsid w:val="3D5A3DC8"/>
    <w:rsid w:val="3DE11DF4"/>
    <w:rsid w:val="407A02DD"/>
    <w:rsid w:val="42274495"/>
    <w:rsid w:val="473F5DDD"/>
    <w:rsid w:val="4840005F"/>
    <w:rsid w:val="487806ED"/>
    <w:rsid w:val="48967C7F"/>
    <w:rsid w:val="48B14AB8"/>
    <w:rsid w:val="49D60C91"/>
    <w:rsid w:val="4A60259C"/>
    <w:rsid w:val="4ACF6009"/>
    <w:rsid w:val="4BD44D46"/>
    <w:rsid w:val="4C8C702E"/>
    <w:rsid w:val="4CBD46A4"/>
    <w:rsid w:val="4D447CA9"/>
    <w:rsid w:val="4D7757D0"/>
    <w:rsid w:val="4DE66FB2"/>
    <w:rsid w:val="4E8F31A6"/>
    <w:rsid w:val="4F390EE0"/>
    <w:rsid w:val="51C70EA9"/>
    <w:rsid w:val="51E27A91"/>
    <w:rsid w:val="53C9715A"/>
    <w:rsid w:val="53D33B35"/>
    <w:rsid w:val="54A4596D"/>
    <w:rsid w:val="554045FD"/>
    <w:rsid w:val="557650C0"/>
    <w:rsid w:val="558F4731"/>
    <w:rsid w:val="56BE0ACC"/>
    <w:rsid w:val="580469B3"/>
    <w:rsid w:val="58360B36"/>
    <w:rsid w:val="58A957AC"/>
    <w:rsid w:val="5A963B0E"/>
    <w:rsid w:val="5B022F52"/>
    <w:rsid w:val="5B965A06"/>
    <w:rsid w:val="5C074CC3"/>
    <w:rsid w:val="5CCB3F43"/>
    <w:rsid w:val="5D81714F"/>
    <w:rsid w:val="5D8A795A"/>
    <w:rsid w:val="5DC32E6C"/>
    <w:rsid w:val="5DE439D4"/>
    <w:rsid w:val="5DFE30F3"/>
    <w:rsid w:val="5EB822A5"/>
    <w:rsid w:val="5EE83548"/>
    <w:rsid w:val="5F155949"/>
    <w:rsid w:val="5F2C67EF"/>
    <w:rsid w:val="5FEF1CF6"/>
    <w:rsid w:val="608D09A3"/>
    <w:rsid w:val="60FA4DF7"/>
    <w:rsid w:val="6131633F"/>
    <w:rsid w:val="622F596B"/>
    <w:rsid w:val="62373E29"/>
    <w:rsid w:val="649E018F"/>
    <w:rsid w:val="680D7083"/>
    <w:rsid w:val="69470DF5"/>
    <w:rsid w:val="698931BC"/>
    <w:rsid w:val="6B6537B4"/>
    <w:rsid w:val="6C313EC9"/>
    <w:rsid w:val="6C515AE7"/>
    <w:rsid w:val="6DC42A14"/>
    <w:rsid w:val="6DC81DD9"/>
    <w:rsid w:val="6E6C6C08"/>
    <w:rsid w:val="6EEA46FD"/>
    <w:rsid w:val="6FB6638D"/>
    <w:rsid w:val="701B077F"/>
    <w:rsid w:val="71AC1ECE"/>
    <w:rsid w:val="71BB5EDC"/>
    <w:rsid w:val="71EF3DD8"/>
    <w:rsid w:val="720535FB"/>
    <w:rsid w:val="72A50E51"/>
    <w:rsid w:val="72A9042B"/>
    <w:rsid w:val="72C94956"/>
    <w:rsid w:val="743261FE"/>
    <w:rsid w:val="754B7577"/>
    <w:rsid w:val="760360A4"/>
    <w:rsid w:val="76147BCB"/>
    <w:rsid w:val="761777BD"/>
    <w:rsid w:val="7A252A8D"/>
    <w:rsid w:val="7A996FD7"/>
    <w:rsid w:val="7AD41DBD"/>
    <w:rsid w:val="7BE67FFA"/>
    <w:rsid w:val="7C3A5A3B"/>
    <w:rsid w:val="7C43369E"/>
    <w:rsid w:val="7C507B69"/>
    <w:rsid w:val="7CBB76D8"/>
    <w:rsid w:val="7CD82038"/>
    <w:rsid w:val="7E973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qFormat/>
    <w:uiPriority w:val="99"/>
    <w:pPr>
      <w:ind w:firstLine="420" w:firstLineChars="200"/>
    </w:pPr>
  </w:style>
  <w:style w:type="paragraph" w:styleId="3">
    <w:name w:val="Body Text Indent"/>
    <w:basedOn w:val="1"/>
    <w:qFormat/>
    <w:uiPriority w:val="99"/>
    <w:pPr>
      <w:ind w:left="420" w:leftChars="200"/>
    </w:pPr>
  </w:style>
  <w:style w:type="paragraph" w:styleId="4">
    <w:name w:val="Balloon Text"/>
    <w:basedOn w:val="1"/>
    <w:qFormat/>
    <w:uiPriority w:val="0"/>
    <w:pPr>
      <w:spacing w:line="240" w:lineRule="auto"/>
    </w:pPr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2132</Words>
  <Characters>2211</Characters>
  <Lines>0</Lines>
  <Paragraphs>0</Paragraphs>
  <TotalTime>87</TotalTime>
  <ScaleCrop>false</ScaleCrop>
  <LinksUpToDate>false</LinksUpToDate>
  <CharactersWithSpaces>2227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2014-10-29T12:08:00Z</dcterms:created>
  <dc:creator>lenovo</dc:creator>
  <cp:lastModifiedBy>lenovo</cp:lastModifiedBy>
  <dcterms:modified xsi:type="dcterms:W3CDTF">2023-01-19T09:39:41Z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FF2B6488CDC34A8DA4433F4D11A20447</vt:lpwstr>
  </property>
</Properties>
</file>