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交通运输局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2022年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17" w:firstLineChars="174"/>
        <w:textAlignment w:val="auto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2022年，宁晋县交通运输局严格按照《中华人民共和国政府信息公开条例》的规定，坚持以“公开、便民、廉洁、高效”的原则，认真贯彻有关法规条例，扎实工作，严格执法，文明服务，使政府信息公开工作稳步推进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17" w:firstLineChars="174"/>
        <w:textAlignment w:val="auto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（一）主动公开进一步加强。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根据县信息公开工作的有关要求，不断优化和完善网上审批服务事项的公开内容，</w:t>
      </w:r>
      <w:r>
        <w:rPr>
          <w:rFonts w:hint="eastAsia" w:ascii="仿宋_GB2312" w:hAnsi="仿宋_GB2312" w:eastAsia="仿宋_GB2312" w:cs="仿宋_GB2312"/>
          <w:sz w:val="24"/>
          <w:szCs w:val="24"/>
        </w:rPr>
        <w:t>着力抓好政策信息公开发布，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县</w:t>
      </w:r>
      <w:r>
        <w:rPr>
          <w:rFonts w:hint="eastAsia" w:ascii="仿宋_GB2312" w:hAnsi="仿宋_GB2312" w:eastAsia="仿宋_GB2312" w:cs="仿宋_GB2312"/>
          <w:sz w:val="24"/>
          <w:szCs w:val="24"/>
        </w:rPr>
        <w:t>政府信息公开平台发布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37</w:t>
      </w:r>
      <w:r>
        <w:rPr>
          <w:rFonts w:hint="eastAsia" w:ascii="仿宋_GB2312" w:hAnsi="仿宋_GB2312" w:eastAsia="仿宋_GB2312" w:cs="仿宋_GB2312"/>
          <w:sz w:val="24"/>
          <w:szCs w:val="24"/>
        </w:rPr>
        <w:t>条；“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宁晋交通</w:t>
      </w:r>
      <w:r>
        <w:rPr>
          <w:rFonts w:hint="eastAsia" w:ascii="仿宋_GB2312" w:hAnsi="仿宋_GB2312" w:eastAsia="仿宋_GB2312" w:cs="仿宋_GB2312"/>
          <w:sz w:val="24"/>
          <w:szCs w:val="24"/>
        </w:rPr>
        <w:t>”微信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公众号</w:t>
      </w:r>
      <w:r>
        <w:rPr>
          <w:rFonts w:hint="eastAsia" w:ascii="仿宋_GB2312" w:hAnsi="仿宋_GB2312" w:eastAsia="仿宋_GB2312" w:cs="仿宋_GB2312"/>
          <w:sz w:val="24"/>
          <w:szCs w:val="24"/>
        </w:rPr>
        <w:t>发布政策措施等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120余</w:t>
      </w:r>
      <w:r>
        <w:rPr>
          <w:rFonts w:hint="eastAsia" w:ascii="仿宋_GB2312" w:hAnsi="仿宋_GB2312" w:eastAsia="仿宋_GB2312" w:cs="仿宋_GB2312"/>
          <w:sz w:val="24"/>
          <w:szCs w:val="24"/>
        </w:rPr>
        <w:t>条。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让群众了解交通政务的内容和办理流程等，方便其下载相关表格、提出办事申请，推动网上办事建设，</w:t>
      </w:r>
      <w:r>
        <w:rPr>
          <w:rFonts w:hint="eastAsia" w:ascii="仿宋_GB2312" w:hAnsi="仿宋_GB2312" w:eastAsia="仿宋_GB2312" w:cs="仿宋_GB2312"/>
          <w:sz w:val="24"/>
          <w:szCs w:val="24"/>
        </w:rPr>
        <w:t>没有出现一起因政务公开而引起的行政诉讼或行政复议。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17" w:firstLineChars="174"/>
        <w:textAlignment w:val="auto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（二）依申请公开进一步规范。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县</w:t>
      </w:r>
      <w:r>
        <w:rPr>
          <w:rFonts w:hint="eastAsia" w:ascii="仿宋_GB2312" w:hAnsi="仿宋_GB2312" w:eastAsia="仿宋_GB2312" w:cs="仿宋_GB2312"/>
          <w:sz w:val="24"/>
          <w:szCs w:val="24"/>
        </w:rPr>
        <w:t>交通运输局依申请公开依法规范。畅通受理渠道、精准规范答复意见，进一步提升依申请公开办理质量。未出现政府信息公开方面的行政复议或行政诉讼等情况。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17" w:firstLineChars="174"/>
        <w:textAlignment w:val="auto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（三）政府信息管理进一步严格。发挥了政务新媒体等重要载体作用，积极探索运用新技术和新媒体，创新了解读形式、增强解读效果。组织业务骨干,主动做好本部门、本单位重要政策解读工作，政策解读与政策制定工作要同步考虑、同步安排，让群众"听得懂""信得过"。对涉及面广、社会关注度高的法规政策和重大措施，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各科室</w:t>
      </w:r>
      <w:r>
        <w:rPr>
          <w:rFonts w:hint="eastAsia" w:ascii="仿宋_GB2312" w:hAnsi="仿宋_GB2312" w:eastAsia="仿宋_GB2312" w:cs="仿宋_GB2312"/>
          <w:sz w:val="24"/>
          <w:szCs w:val="24"/>
        </w:rPr>
        <w:t>主要负责人带头宣讲政策,解疑释惑,传递权威信息。坚持将政务舆情回应作为网络舆情处置工作的重要环节，主动快速引导、释放权威信号、正面回应疑虑，推动解决实际问题，赢得群众理解和支持。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17" w:firstLineChars="174"/>
        <w:textAlignment w:val="auto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（四）政府信息公开平台建设进一步推进。政府信息管理标准有序，严格规范政务信息公开流程，按照“先审查、后公开，谁公开、谁负责”的原则，建立互联网保密领导责任制、上网信息审批领导责任制,确保政务公开有章可循,有据可依，不断规范信息公开内容和程序，平台建设稳步推进。按照政府网站建设指引和考核要求，进一步提升信息公开平台发布功能，规范栏目设置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17" w:firstLineChars="174"/>
        <w:textAlignment w:val="auto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（五）监督保障进一步强化。对政务公开工作重点任务梳理形成台账，细化实化责任分工。进一步明确政务公开信息的发布员、审核员，落实信息公开保密审查、源头管理、发布审核机制。做好交通部、省交通运输厅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24"/>
          <w:szCs w:val="24"/>
        </w:rPr>
        <w:t>市交通运输局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县交通运输局</w:t>
      </w:r>
      <w:r>
        <w:rPr>
          <w:rFonts w:hint="eastAsia" w:ascii="仿宋_GB2312" w:hAnsi="仿宋_GB2312" w:eastAsia="仿宋_GB2312" w:cs="仿宋_GB2312"/>
          <w:sz w:val="24"/>
          <w:szCs w:val="24"/>
        </w:rPr>
        <w:t>相关出台政策宣传解读，对政策解读进行专项督查、核查。组织开展政务公开工作年度考核，以绩效杠杆推进政务公开工作落到实处，进一步加大考核结果运用。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17" w:firstLineChars="174"/>
        <w:textAlignment w:val="auto"/>
        <w:rPr>
          <w:rFonts w:hint="eastAsia" w:ascii="仿宋_GB2312" w:hAnsi="仿宋_GB2312" w:eastAsia="仿宋_GB2312" w:cs="仿宋_GB2312"/>
          <w:sz w:val="24"/>
          <w:szCs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177" w:firstLineChars="74"/>
        <w:textAlignment w:val="auto"/>
        <w:rPr>
          <w:rFonts w:hint="eastAsia" w:ascii="仿宋_GB2312" w:hAnsi="仿宋_GB2312" w:eastAsia="仿宋_GB2312" w:cs="仿宋_GB2312"/>
          <w:sz w:val="24"/>
          <w:szCs w:val="24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178" w:firstLineChars="74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465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140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right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</w:tbl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42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一是机构内容及计划总结更新的时效性还需加强。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42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二是对政务信息公开工作人员业务水平有待提高，公开的内容、格式还存在不规范的现象。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42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三是信息更新还不够及时，在管理上有待进一步加强。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>
      <w:pPr>
        <w:ind w:firstLine="480" w:firstLineChars="200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2022年，我局没有收取信息处理费。无其他需要报告事项。</w:t>
      </w:r>
    </w:p>
    <w:p>
      <w:pPr>
        <w:ind w:firstLine="480" w:firstLineChars="200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>
      <w:pPr>
        <w:ind w:firstLine="480" w:firstLineChars="200"/>
        <w:jc w:val="right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宁晋县交通运输局</w:t>
      </w:r>
    </w:p>
    <w:p>
      <w:pPr>
        <w:ind w:firstLine="480" w:firstLineChars="200"/>
        <w:jc w:val="right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2023年1月13日</w:t>
      </w:r>
    </w:p>
    <w:sectPr>
      <w:pgSz w:w="11906" w:h="16838"/>
      <w:pgMar w:top="1247" w:right="1800" w:bottom="1247" w:left="1800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3977E7"/>
    <w:rsid w:val="063977E7"/>
    <w:rsid w:val="0B101023"/>
    <w:rsid w:val="0DD57312"/>
    <w:rsid w:val="1BD1392C"/>
    <w:rsid w:val="2608080C"/>
    <w:rsid w:val="2D3A7792"/>
    <w:rsid w:val="414357FE"/>
    <w:rsid w:val="43B1573E"/>
    <w:rsid w:val="541E3323"/>
    <w:rsid w:val="56FB7981"/>
    <w:rsid w:val="58D00F8B"/>
    <w:rsid w:val="59E31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FollowedHyperlink"/>
    <w:basedOn w:val="4"/>
    <w:uiPriority w:val="0"/>
    <w:rPr>
      <w:rFonts w:hint="eastAsia" w:ascii="微软雅黑" w:hAnsi="微软雅黑" w:eastAsia="微软雅黑" w:cs="微软雅黑"/>
      <w:color w:val="800080"/>
      <w:u w:val="none"/>
      <w:bdr w:val="none" w:color="auto" w:sz="0" w:space="0"/>
    </w:rPr>
  </w:style>
  <w:style w:type="character" w:styleId="6">
    <w:name w:val="Emphasis"/>
    <w:basedOn w:val="4"/>
    <w:qFormat/>
    <w:uiPriority w:val="0"/>
    <w:rPr>
      <w:rFonts w:hint="eastAsia" w:ascii="微软雅黑" w:hAnsi="微软雅黑" w:eastAsia="微软雅黑" w:cs="微软雅黑"/>
      <w:u w:val="none"/>
      <w:bdr w:val="none" w:color="auto" w:sz="0" w:space="0"/>
    </w:rPr>
  </w:style>
  <w:style w:type="character" w:styleId="7">
    <w:name w:val="Hyperlink"/>
    <w:basedOn w:val="4"/>
    <w:uiPriority w:val="0"/>
    <w:rPr>
      <w:rFonts w:hint="eastAsia" w:ascii="微软雅黑" w:hAnsi="微软雅黑" w:eastAsia="微软雅黑" w:cs="微软雅黑"/>
      <w:color w:val="0000FF"/>
      <w:u w:val="none"/>
      <w:bdr w:val="none" w:color="auto" w:sz="0" w:space="0"/>
    </w:rPr>
  </w:style>
  <w:style w:type="character" w:customStyle="1" w:styleId="8">
    <w:name w:val="hover1"/>
    <w:basedOn w:val="4"/>
    <w:uiPriority w:val="0"/>
    <w:rPr>
      <w:color w:val="C50000"/>
    </w:rPr>
  </w:style>
  <w:style w:type="character" w:customStyle="1" w:styleId="9">
    <w:name w:val="curr2"/>
    <w:basedOn w:val="4"/>
    <w:uiPriority w:val="0"/>
    <w:rPr>
      <w:color w:val="FFFFFF"/>
      <w:shd w:val="clear" w:fill="C50000"/>
    </w:rPr>
  </w:style>
  <w:style w:type="character" w:customStyle="1" w:styleId="10">
    <w:name w:val="hover12"/>
    <w:basedOn w:val="4"/>
    <w:uiPriority w:val="0"/>
    <w:rPr>
      <w:color w:val="C50000"/>
    </w:rPr>
  </w:style>
  <w:style w:type="character" w:customStyle="1" w:styleId="11">
    <w:name w:val="hover"/>
    <w:basedOn w:val="4"/>
    <w:uiPriority w:val="0"/>
    <w:rPr>
      <w:color w:val="C50000"/>
    </w:rPr>
  </w:style>
  <w:style w:type="character" w:customStyle="1" w:styleId="12">
    <w:name w:val="curr"/>
    <w:basedOn w:val="4"/>
    <w:uiPriority w:val="0"/>
    <w:rPr>
      <w:color w:val="FFFFFF"/>
      <w:shd w:val="clear" w:fill="C50000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21</TotalTime>
  <ScaleCrop>false</ScaleCrop>
  <LinksUpToDate>false</LinksUpToDate>
  <CharactersWithSpaces>0</CharactersWithSpaces>
  <Application>WPS Office_11.8.2.10229_F1E327BC-269C-435d-A152-05C5408002CA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江博</cp:lastModifiedBy>
  <dcterms:modified xsi:type="dcterms:W3CDTF">2023-01-20T01:06:40Z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  <property fmtid="{D5CDD505-2E9C-101B-9397-08002B2CF9AE}" pid="3" name="ICV">
    <vt:lpwstr>1157CE926B71424ABCEDD46E97C11597</vt:lpwstr>
  </property>
</Properties>
</file>