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宁晋县换马店镇人民政府20</w:t>
      </w: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23</w:t>
      </w:r>
      <w:r>
        <w:rPr>
          <w:rFonts w:hint="eastAsia" w:ascii="仿宋" w:hAnsi="仿宋" w:eastAsia="仿宋" w:cs="仿宋"/>
          <w:b/>
          <w:bCs/>
          <w:sz w:val="30"/>
          <w:szCs w:val="30"/>
        </w:rPr>
        <w:t>年</w:t>
      </w:r>
      <w:r>
        <w:rPr>
          <w:rFonts w:hint="eastAsia" w:ascii="仿宋" w:hAnsi="仿宋" w:eastAsia="仿宋" w:cs="仿宋"/>
          <w:b/>
          <w:bCs/>
          <w:sz w:val="30"/>
          <w:szCs w:val="30"/>
          <w:lang w:eastAsia="zh-CN"/>
        </w:rPr>
        <w:t>单位</w:t>
      </w:r>
      <w:r>
        <w:rPr>
          <w:rFonts w:hint="eastAsia" w:ascii="仿宋" w:hAnsi="仿宋" w:eastAsia="仿宋" w:cs="仿宋"/>
          <w:b/>
          <w:bCs/>
          <w:sz w:val="30"/>
          <w:szCs w:val="30"/>
        </w:rPr>
        <w:t>预算信息公开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按照《预算法》、《地方预决算公开操作规程》和《河北省省级预算公开办法》规定，现将20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23</w:t>
      </w:r>
      <w:r>
        <w:rPr>
          <w:rFonts w:hint="eastAsia" w:ascii="仿宋" w:hAnsi="仿宋" w:eastAsia="仿宋" w:cs="仿宋"/>
          <w:sz w:val="30"/>
          <w:szCs w:val="30"/>
        </w:rPr>
        <w:t>年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单位</w:t>
      </w:r>
      <w:r>
        <w:rPr>
          <w:rFonts w:hint="eastAsia" w:ascii="仿宋" w:hAnsi="仿宋" w:eastAsia="仿宋" w:cs="仿宋"/>
          <w:sz w:val="30"/>
          <w:szCs w:val="30"/>
        </w:rPr>
        <w:t>预算公开如下：</w:t>
      </w:r>
    </w:p>
    <w:p>
      <w:pPr>
        <w:ind w:firstLine="64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一、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单位</w:t>
      </w:r>
      <w:r>
        <w:rPr>
          <w:rFonts w:hint="eastAsia" w:ascii="仿宋" w:hAnsi="仿宋" w:eastAsia="仿宋" w:cs="仿宋"/>
          <w:sz w:val="30"/>
          <w:szCs w:val="30"/>
        </w:rPr>
        <w:t>职责及机构设置情况</w:t>
      </w:r>
    </w:p>
    <w:p>
      <w:pPr>
        <w:spacing w:line="560" w:lineRule="exact"/>
        <w:ind w:firstLine="602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b/>
          <w:sz w:val="30"/>
          <w:szCs w:val="30"/>
        </w:rPr>
        <w:t xml:space="preserve">    </w:t>
      </w:r>
      <w:r>
        <w:rPr>
          <w:rFonts w:hint="eastAsia" w:ascii="仿宋" w:hAnsi="仿宋" w:eastAsia="仿宋" w:cs="仿宋"/>
          <w:b/>
          <w:sz w:val="30"/>
          <w:szCs w:val="30"/>
          <w:lang w:eastAsia="zh-CN"/>
        </w:rPr>
        <w:t>单位</w:t>
      </w:r>
      <w:r>
        <w:rPr>
          <w:rFonts w:hint="eastAsia" w:ascii="仿宋" w:hAnsi="仿宋" w:eastAsia="仿宋" w:cs="仿宋"/>
          <w:b/>
          <w:sz w:val="30"/>
          <w:szCs w:val="30"/>
        </w:rPr>
        <w:t>职责：</w:t>
      </w:r>
      <w:r>
        <w:rPr>
          <w:rFonts w:hint="eastAsia" w:ascii="仿宋" w:hAnsi="仿宋" w:eastAsia="仿宋" w:cs="仿宋"/>
          <w:sz w:val="30"/>
          <w:szCs w:val="30"/>
        </w:rPr>
        <w:t>镇党委的主要职责：贯彻落实党的路线、方针、政策和上级党组织的指示、决定，执行镇党党代会决议；抓好自身建设和所属党组织的指示、决定，执行镇党代会决议；找好自身建设和所属党组织的思想、组织和作风建设；领导镇经济建设，制定经济和社会发展规划并组织实施；领导本镇政权机关和群众组织，支持和保证他们依照国家法律、法规及各自章程充分行使职权；领导本镇的社会主义民主法制建设和精神文明建设，做好社会治安综合治理及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卫生保健</w:t>
      </w:r>
      <w:r>
        <w:rPr>
          <w:rFonts w:hint="eastAsia" w:ascii="仿宋" w:hAnsi="仿宋" w:eastAsia="仿宋" w:cs="仿宋"/>
          <w:sz w:val="30"/>
          <w:szCs w:val="30"/>
        </w:rPr>
        <w:t>工作；负责上级有关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单位</w:t>
      </w:r>
      <w:r>
        <w:rPr>
          <w:rFonts w:hint="eastAsia" w:ascii="仿宋" w:hAnsi="仿宋" w:eastAsia="仿宋" w:cs="仿宋"/>
          <w:sz w:val="30"/>
          <w:szCs w:val="30"/>
        </w:rPr>
        <w:t>派驻镇单位的党组织建设，监督、支持和协调上级有关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单位</w:t>
      </w:r>
      <w:r>
        <w:rPr>
          <w:rFonts w:hint="eastAsia" w:ascii="仿宋" w:hAnsi="仿宋" w:eastAsia="仿宋" w:cs="仿宋"/>
          <w:sz w:val="30"/>
          <w:szCs w:val="30"/>
        </w:rPr>
        <w:t>派驻镇单位的工作；按照干部管理权限，负责对干部教育、培养、选拔、考核和监督工作；领导农村基层党组织建设和农村基层工作；完成上级党组织交办的其他任务。</w:t>
      </w:r>
    </w:p>
    <w:p>
      <w:pPr>
        <w:spacing w:line="560" w:lineRule="exact"/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镇政府的主要职责：贯彻落实党的路线、方针和政策；执行本级人民代表大会的决议和上级国家行政机关的决定和命令，发布决定和命令；执行本行政区域内的经济和社会发展计划，组织和领导经济建设，发展农村经济；制定和组织实施乡村建设规划，加强公共设</w:t>
      </w:r>
      <w:bookmarkStart w:id="3" w:name="_GoBack"/>
      <w:bookmarkEnd w:id="3"/>
      <w:r>
        <w:rPr>
          <w:rFonts w:hint="eastAsia" w:ascii="仿宋" w:hAnsi="仿宋" w:eastAsia="仿宋" w:cs="仿宋"/>
          <w:sz w:val="30"/>
          <w:szCs w:val="30"/>
        </w:rPr>
        <w:t>施的建设和管理，发展各项服务事业；加强水利建设、土地使用管理和环境综合整治，合理开发、利用自然资源，保护耕地，改善生态环境和生活环境；开展政务公开建设和社会主义民主与法制教育，加强社会治安综合治理，调节民事纠纷，维护社会秩序；推行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优生优育</w:t>
      </w:r>
      <w:r>
        <w:rPr>
          <w:rFonts w:hint="eastAsia" w:ascii="仿宋" w:hAnsi="仿宋" w:eastAsia="仿宋" w:cs="仿宋"/>
          <w:sz w:val="30"/>
          <w:szCs w:val="30"/>
        </w:rPr>
        <w:t>，保护妇女、儿童和老年人的合法权益；管理民政行政工作，发展社会福利事业，做好就业和社会保障工作，办理兵役事项；管理镇财政，执行本级预算；管理和发展教育、科学技术、文化、卫生等事业，提高公民素质；加强食品安全、安全生产管理；管理和发展本行政区域内的公共事业；保护国家、集体和公民应有的人身权利、民主权利和其他权利；指导加强村委会建设，充分发挥村委会作用，提高其服务工作水平；办理上级政府交办的其他事项。</w:t>
      </w:r>
    </w:p>
    <w:p>
      <w:pPr>
        <w:autoSpaceDE w:val="0"/>
        <w:autoSpaceDN w:val="0"/>
        <w:adjustRightInd w:val="0"/>
        <w:ind w:firstLine="602" w:firstLineChars="200"/>
        <w:jc w:val="left"/>
        <w:rPr>
          <w:rFonts w:hint="eastAsia" w:ascii="仿宋" w:hAnsi="仿宋" w:eastAsia="仿宋" w:cs="仿宋"/>
          <w:b/>
          <w:sz w:val="30"/>
          <w:szCs w:val="30"/>
        </w:rPr>
      </w:pPr>
      <w:r>
        <w:rPr>
          <w:rFonts w:hint="eastAsia" w:ascii="仿宋" w:hAnsi="仿宋" w:eastAsia="仿宋" w:cs="仿宋"/>
          <w:b/>
          <w:sz w:val="30"/>
          <w:szCs w:val="30"/>
        </w:rPr>
        <w:t>机构设置：</w:t>
      </w:r>
    </w:p>
    <w:p>
      <w:pPr>
        <w:jc w:val="center"/>
        <w:outlineLvl w:val="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单位</w:t>
      </w:r>
      <w:r>
        <w:rPr>
          <w:rFonts w:hint="eastAsia" w:ascii="仿宋" w:hAnsi="仿宋" w:eastAsia="仿宋" w:cs="仿宋"/>
          <w:sz w:val="30"/>
          <w:szCs w:val="30"/>
        </w:rPr>
        <w:t>机构设置情况</w:t>
      </w:r>
    </w:p>
    <w:tbl>
      <w:tblPr>
        <w:tblStyle w:val="6"/>
        <w:tblW w:w="972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17"/>
        <w:gridCol w:w="1134"/>
        <w:gridCol w:w="1276"/>
        <w:gridCol w:w="2902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4417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单位名称</w:t>
            </w:r>
          </w:p>
        </w:tc>
        <w:tc>
          <w:tcPr>
            <w:tcW w:w="1134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单位性质</w:t>
            </w:r>
          </w:p>
        </w:tc>
        <w:tc>
          <w:tcPr>
            <w:tcW w:w="1276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单位规格</w:t>
            </w:r>
          </w:p>
        </w:tc>
        <w:tc>
          <w:tcPr>
            <w:tcW w:w="2902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经费保障形式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4417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1134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1276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2902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417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党政办公室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行政</w:t>
            </w:r>
          </w:p>
        </w:tc>
        <w:tc>
          <w:tcPr>
            <w:tcW w:w="1276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2902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财政拨款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417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社会事务办公室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行政</w:t>
            </w:r>
          </w:p>
        </w:tc>
        <w:tc>
          <w:tcPr>
            <w:tcW w:w="1276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2902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财政拨款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417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经济发展办公室</w:t>
            </w:r>
          </w:p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行政</w:t>
            </w:r>
          </w:p>
        </w:tc>
        <w:tc>
          <w:tcPr>
            <w:tcW w:w="1276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2902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财政拨款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417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综合治理办公室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行政</w:t>
            </w:r>
          </w:p>
        </w:tc>
        <w:tc>
          <w:tcPr>
            <w:tcW w:w="1276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2902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财政拨款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417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eastAsia="zh-CN"/>
              </w:rPr>
              <w:t>卫生健康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办公室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行政事业</w:t>
            </w:r>
          </w:p>
        </w:tc>
        <w:tc>
          <w:tcPr>
            <w:tcW w:w="1276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2902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财政拨款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417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村镇规划建设办公室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行政</w:t>
            </w:r>
          </w:p>
        </w:tc>
        <w:tc>
          <w:tcPr>
            <w:tcW w:w="1276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2902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财政拨款</w:t>
            </w:r>
          </w:p>
        </w:tc>
      </w:tr>
    </w:tbl>
    <w:p>
      <w:pPr>
        <w:jc w:val="center"/>
        <w:rPr>
          <w:rFonts w:hint="eastAsia" w:ascii="仿宋" w:hAnsi="仿宋" w:eastAsia="仿宋" w:cs="仿宋"/>
          <w:sz w:val="30"/>
          <w:szCs w:val="30"/>
        </w:rPr>
      </w:pPr>
    </w:p>
    <w:p>
      <w:pPr>
        <w:ind w:firstLine="64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二、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单位</w:t>
      </w:r>
      <w:r>
        <w:rPr>
          <w:rFonts w:hint="eastAsia" w:ascii="仿宋" w:hAnsi="仿宋" w:eastAsia="仿宋" w:cs="仿宋"/>
          <w:sz w:val="30"/>
          <w:szCs w:val="30"/>
        </w:rPr>
        <w:t>预算安排的总体情况</w:t>
      </w:r>
    </w:p>
    <w:p>
      <w:pPr>
        <w:ind w:firstLine="64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按照预算管理有关规定，目前我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单位</w:t>
      </w:r>
      <w:r>
        <w:rPr>
          <w:rFonts w:hint="eastAsia" w:ascii="仿宋" w:hAnsi="仿宋" w:eastAsia="仿宋" w:cs="仿宋"/>
          <w:sz w:val="30"/>
          <w:szCs w:val="30"/>
        </w:rPr>
        <w:t>预算的编制实行综合预算制度，即全部收入和支出都反映的预算中。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 xml:space="preserve">1、收入说明 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反应本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单位</w:t>
      </w:r>
      <w:r>
        <w:rPr>
          <w:rFonts w:hint="eastAsia" w:ascii="仿宋" w:hAnsi="仿宋" w:eastAsia="仿宋" w:cs="仿宋"/>
          <w:sz w:val="30"/>
          <w:szCs w:val="30"/>
        </w:rPr>
        <w:t>当年全部收入，20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23</w:t>
      </w:r>
      <w:r>
        <w:rPr>
          <w:rFonts w:hint="eastAsia" w:ascii="仿宋" w:hAnsi="仿宋" w:eastAsia="仿宋" w:cs="仿宋"/>
          <w:sz w:val="30"/>
          <w:szCs w:val="30"/>
        </w:rPr>
        <w:t>年预算收入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1587.05</w:t>
      </w:r>
      <w:r>
        <w:rPr>
          <w:rFonts w:hint="eastAsia" w:ascii="仿宋" w:hAnsi="仿宋" w:eastAsia="仿宋" w:cs="仿宋"/>
          <w:sz w:val="30"/>
          <w:szCs w:val="30"/>
        </w:rPr>
        <w:t>万元，</w:t>
      </w:r>
    </w:p>
    <w:p>
      <w:pPr>
        <w:numPr>
          <w:ilvl w:val="0"/>
          <w:numId w:val="1"/>
        </w:numPr>
        <w:ind w:firstLine="64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支出说明</w:t>
      </w:r>
    </w:p>
    <w:p>
      <w:pPr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 xml:space="preserve">     收支预算总表支出栏、基本支出表、项目支出表按经济分类和支出功能分类科目编制，反映河北省人民代表大会常务委员会办公厅年度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单位</w:t>
      </w:r>
      <w:r>
        <w:rPr>
          <w:rFonts w:hint="eastAsia" w:ascii="仿宋" w:hAnsi="仿宋" w:eastAsia="仿宋" w:cs="仿宋"/>
          <w:sz w:val="30"/>
          <w:szCs w:val="30"/>
        </w:rPr>
        <w:t>预算中支出预算的总体情况。20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23</w:t>
      </w:r>
      <w:r>
        <w:rPr>
          <w:rFonts w:hint="eastAsia" w:ascii="仿宋" w:hAnsi="仿宋" w:eastAsia="仿宋" w:cs="仿宋"/>
          <w:sz w:val="30"/>
          <w:szCs w:val="30"/>
        </w:rPr>
        <w:t>年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单位</w:t>
      </w:r>
      <w:r>
        <w:rPr>
          <w:rFonts w:hint="eastAsia" w:ascii="仿宋" w:hAnsi="仿宋" w:eastAsia="仿宋" w:cs="仿宋"/>
          <w:sz w:val="30"/>
          <w:szCs w:val="30"/>
        </w:rPr>
        <w:t>支出预算为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1587.05</w:t>
      </w:r>
      <w:r>
        <w:rPr>
          <w:rFonts w:hint="eastAsia" w:ascii="仿宋" w:hAnsi="仿宋" w:eastAsia="仿宋" w:cs="仿宋"/>
          <w:sz w:val="30"/>
          <w:szCs w:val="30"/>
        </w:rPr>
        <w:t>万元，其中基本支出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983.37</w:t>
      </w:r>
      <w:r>
        <w:rPr>
          <w:rFonts w:hint="eastAsia" w:ascii="仿宋" w:hAnsi="仿宋" w:eastAsia="仿宋" w:cs="仿宋"/>
          <w:sz w:val="30"/>
          <w:szCs w:val="30"/>
        </w:rPr>
        <w:t>元，包括人员经费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616.78</w:t>
      </w:r>
      <w:r>
        <w:rPr>
          <w:rFonts w:hint="eastAsia" w:ascii="仿宋" w:hAnsi="仿宋" w:eastAsia="仿宋" w:cs="仿宋"/>
          <w:sz w:val="30"/>
          <w:szCs w:val="30"/>
        </w:rPr>
        <w:t>万元和日常公用经费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69.73</w:t>
      </w:r>
      <w:r>
        <w:rPr>
          <w:rFonts w:hint="eastAsia" w:ascii="仿宋" w:hAnsi="仿宋" w:eastAsia="仿宋" w:cs="仿宋"/>
          <w:sz w:val="30"/>
          <w:szCs w:val="30"/>
        </w:rPr>
        <w:t>万元；项目支出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603.68</w:t>
      </w:r>
      <w:r>
        <w:rPr>
          <w:rFonts w:hint="eastAsia" w:ascii="仿宋" w:hAnsi="仿宋" w:eastAsia="仿宋" w:cs="仿宋"/>
          <w:sz w:val="30"/>
          <w:szCs w:val="30"/>
        </w:rPr>
        <w:t>万元，全部为本级支出。</w:t>
      </w:r>
    </w:p>
    <w:p>
      <w:pPr>
        <w:numPr>
          <w:ilvl w:val="0"/>
          <w:numId w:val="1"/>
        </w:numPr>
        <w:ind w:firstLine="64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比上年增减情况</w:t>
      </w:r>
    </w:p>
    <w:p>
      <w:pPr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 xml:space="preserve">    20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23</w:t>
      </w:r>
      <w:r>
        <w:rPr>
          <w:rFonts w:hint="eastAsia" w:ascii="仿宋" w:hAnsi="仿宋" w:eastAsia="仿宋" w:cs="仿宋"/>
          <w:sz w:val="30"/>
          <w:szCs w:val="30"/>
        </w:rPr>
        <w:t>年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单位</w:t>
      </w:r>
      <w:r>
        <w:rPr>
          <w:rFonts w:hint="eastAsia" w:ascii="仿宋" w:hAnsi="仿宋" w:eastAsia="仿宋" w:cs="仿宋"/>
          <w:sz w:val="30"/>
          <w:szCs w:val="30"/>
        </w:rPr>
        <w:t>预算较20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22</w:t>
      </w:r>
      <w:r>
        <w:rPr>
          <w:rFonts w:hint="eastAsia" w:ascii="仿宋" w:hAnsi="仿宋" w:eastAsia="仿宋" w:cs="仿宋"/>
          <w:sz w:val="30"/>
          <w:szCs w:val="30"/>
        </w:rPr>
        <w:t>年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增加了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68.95</w:t>
      </w:r>
      <w:r>
        <w:rPr>
          <w:rFonts w:hint="eastAsia" w:ascii="仿宋" w:hAnsi="仿宋" w:eastAsia="仿宋" w:cs="仿宋"/>
          <w:sz w:val="30"/>
          <w:szCs w:val="30"/>
        </w:rPr>
        <w:t>万元，其中：基本支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出增加</w:t>
      </w:r>
      <w:r>
        <w:rPr>
          <w:rFonts w:hint="eastAsia" w:ascii="仿宋" w:hAnsi="仿宋" w:eastAsia="仿宋" w:cs="仿宋"/>
          <w:sz w:val="30"/>
          <w:szCs w:val="30"/>
        </w:rPr>
        <w:t>，主要是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增加在职人员工资支出及养老保险。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三、机关运行经费安排情况</w:t>
      </w:r>
    </w:p>
    <w:p>
      <w:pPr>
        <w:autoSpaceDE w:val="0"/>
        <w:autoSpaceDN w:val="0"/>
        <w:adjustRightInd w:val="0"/>
        <w:ind w:left="198" w:firstLine="600" w:firstLineChars="20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机关运行经费共计安排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69.73</w:t>
      </w:r>
      <w:r>
        <w:rPr>
          <w:rFonts w:hint="eastAsia" w:ascii="仿宋" w:hAnsi="仿宋" w:eastAsia="仿宋" w:cs="仿宋"/>
          <w:sz w:val="30"/>
          <w:szCs w:val="30"/>
        </w:rPr>
        <w:t>万元，主要用于保证机关正常运转的办公及印刷费、邮电费、差旅费、会议费、福利费、专用材料及一般设备购置费、办公用房水电费、办公用房取暖费、日常维修费、办公楼物业管理费、公务车运行维护费等支出。</w:t>
      </w:r>
    </w:p>
    <w:p>
      <w:pPr>
        <w:autoSpaceDE w:val="0"/>
        <w:autoSpaceDN w:val="0"/>
        <w:adjustRightInd w:val="0"/>
        <w:ind w:left="198" w:firstLine="600" w:firstLineChars="20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四、财政拨款“三公”经费预算情况及增减变化原因</w:t>
      </w:r>
    </w:p>
    <w:p>
      <w:pPr>
        <w:autoSpaceDE w:val="0"/>
        <w:autoSpaceDN w:val="0"/>
        <w:adjustRightInd w:val="0"/>
        <w:ind w:left="198" w:firstLine="600" w:firstLineChars="200"/>
        <w:jc w:val="left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</w:rPr>
        <w:t>20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22</w:t>
      </w:r>
      <w:r>
        <w:rPr>
          <w:rFonts w:hint="eastAsia" w:ascii="仿宋" w:hAnsi="仿宋" w:eastAsia="仿宋" w:cs="仿宋"/>
          <w:sz w:val="30"/>
          <w:szCs w:val="30"/>
        </w:rPr>
        <w:t>年，财政拨款“三公”经费预算安排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4.5</w:t>
      </w:r>
      <w:r>
        <w:rPr>
          <w:rFonts w:hint="eastAsia" w:ascii="仿宋" w:hAnsi="仿宋" w:eastAsia="仿宋" w:cs="仿宋"/>
          <w:sz w:val="30"/>
          <w:szCs w:val="30"/>
        </w:rPr>
        <w:t>万元，其中：因公出国（境）费0万元；公务用车购置及运维费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4.5</w:t>
      </w:r>
      <w:r>
        <w:rPr>
          <w:rFonts w:hint="eastAsia" w:ascii="仿宋" w:hAnsi="仿宋" w:eastAsia="仿宋" w:cs="仿宋"/>
          <w:sz w:val="30"/>
          <w:szCs w:val="30"/>
        </w:rPr>
        <w:t>万元（其中：公务用车购置费0万元，公务用车运行费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4.5</w:t>
      </w:r>
      <w:r>
        <w:rPr>
          <w:rFonts w:hint="eastAsia" w:ascii="仿宋" w:hAnsi="仿宋" w:eastAsia="仿宋" w:cs="仿宋"/>
          <w:sz w:val="30"/>
          <w:szCs w:val="30"/>
        </w:rPr>
        <w:t>万元)；公务接待费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0</w:t>
      </w:r>
      <w:r>
        <w:rPr>
          <w:rFonts w:hint="eastAsia" w:ascii="仿宋" w:hAnsi="仿宋" w:eastAsia="仿宋" w:cs="仿宋"/>
          <w:sz w:val="30"/>
          <w:szCs w:val="30"/>
        </w:rPr>
        <w:t>万元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;培训费0万元。</w:t>
      </w:r>
    </w:p>
    <w:p>
      <w:pPr>
        <w:autoSpaceDE w:val="0"/>
        <w:autoSpaceDN w:val="0"/>
        <w:adjustRightInd w:val="0"/>
        <w:ind w:left="198" w:firstLine="600" w:firstLineChars="20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五、绩效预算信息</w:t>
      </w:r>
    </w:p>
    <w:p>
      <w:pPr>
        <w:ind w:firstLine="602" w:firstLineChars="200"/>
        <w:jc w:val="left"/>
        <w:rPr>
          <w:rFonts w:hint="eastAsia" w:ascii="仿宋" w:hAnsi="仿宋" w:eastAsia="仿宋" w:cs="仿宋"/>
          <w:b/>
          <w:sz w:val="30"/>
          <w:szCs w:val="30"/>
        </w:rPr>
      </w:pPr>
      <w:bookmarkStart w:id="0" w:name="_Toc471398463"/>
      <w:r>
        <w:rPr>
          <w:rFonts w:hint="eastAsia" w:ascii="仿宋" w:hAnsi="仿宋" w:eastAsia="仿宋" w:cs="仿宋"/>
          <w:b/>
          <w:sz w:val="30"/>
          <w:szCs w:val="30"/>
        </w:rPr>
        <w:t>总体绩效目标：</w:t>
      </w:r>
    </w:p>
    <w:p>
      <w:pPr>
        <w:ind w:firstLine="600" w:firstLineChars="20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深入学习</w:t>
      </w:r>
      <w:r>
        <w:rPr>
          <w:rFonts w:hint="eastAsia" w:ascii="仿宋" w:hAnsi="仿宋" w:eastAsia="仿宋" w:cs="仿宋"/>
          <w:sz w:val="30"/>
          <w:szCs w:val="30"/>
        </w:rPr>
        <w:t>贯彻党的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二十</w:t>
      </w:r>
      <w:r>
        <w:rPr>
          <w:rFonts w:hint="eastAsia" w:ascii="仿宋" w:hAnsi="仿宋" w:eastAsia="仿宋" w:cs="仿宋"/>
          <w:sz w:val="30"/>
          <w:szCs w:val="30"/>
        </w:rPr>
        <w:t>大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精神</w:t>
      </w:r>
      <w:r>
        <w:rPr>
          <w:rFonts w:hint="eastAsia" w:ascii="仿宋" w:hAnsi="仿宋" w:eastAsia="仿宋" w:cs="仿宋"/>
          <w:sz w:val="30"/>
          <w:szCs w:val="30"/>
        </w:rPr>
        <w:t>，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全面建设</w:t>
      </w:r>
      <w:r>
        <w:rPr>
          <w:rFonts w:hint="eastAsia" w:ascii="仿宋" w:hAnsi="仿宋" w:eastAsia="仿宋" w:cs="仿宋"/>
          <w:sz w:val="30"/>
          <w:szCs w:val="30"/>
        </w:rPr>
        <w:t>社会主义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现代化国家新征程</w:t>
      </w:r>
      <w:r>
        <w:rPr>
          <w:rFonts w:hint="eastAsia" w:ascii="仿宋" w:hAnsi="仿宋" w:eastAsia="仿宋" w:cs="仿宋"/>
          <w:sz w:val="30"/>
          <w:szCs w:val="30"/>
        </w:rPr>
        <w:t>。认真落实《预算法》等相关法规，紧紧围绕省市和县委、县政府决策部署，继续实施积极的财政政策并加力增效，坚持协同发展、转型升级、又好又快的工作主基调，继续落实积极财政政策，充分发挥财政资源配置与调控职能，坚持依法理财、规范理财，积极推进财税改革，优化支出结构，创新投入方式，强化绩效导向，精准有效发力，着力促进稳增长、调结构、惠民生、促改革、防风险各项政策落实，为建设经济强县、美丽宁晋提供有力的财力支撑。</w:t>
      </w:r>
    </w:p>
    <w:p>
      <w:pPr>
        <w:jc w:val="left"/>
        <w:rPr>
          <w:rFonts w:hint="eastAsia" w:ascii="仿宋" w:hAnsi="仿宋" w:eastAsia="仿宋" w:cs="仿宋"/>
          <w:b/>
          <w:sz w:val="30"/>
          <w:szCs w:val="30"/>
        </w:rPr>
      </w:pPr>
      <w:r>
        <w:rPr>
          <w:rFonts w:hint="eastAsia" w:ascii="仿宋" w:hAnsi="仿宋" w:eastAsia="仿宋" w:cs="仿宋"/>
          <w:b/>
          <w:sz w:val="30"/>
          <w:szCs w:val="30"/>
        </w:rPr>
        <w:t xml:space="preserve">    职责分类绩效目标：</w:t>
      </w:r>
    </w:p>
    <w:p>
      <w:pPr>
        <w:ind w:firstLine="56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宁晋县换马店镇人民政府按职责分类绩效目标情况说明</w:t>
      </w:r>
    </w:p>
    <w:p>
      <w:pPr>
        <w:ind w:firstLine="56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主要包括：依法行使重大决议权和人事任免权；对“一府两院”进行法律监督和工作监督；加强和改进代表工作；加强常委会及机关自身建设；完成县委招商引资、党建、涉法涉诉来信来访、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卫生健康宣传</w:t>
      </w:r>
      <w:r>
        <w:rPr>
          <w:rFonts w:hint="eastAsia" w:ascii="仿宋" w:hAnsi="仿宋" w:eastAsia="仿宋" w:cs="仿宋"/>
          <w:sz w:val="30"/>
          <w:szCs w:val="30"/>
        </w:rPr>
        <w:t>、精神文明及县委交办的其它各项工作；实现职责目标的主要措施：依法组织召开“三会”；适时组织开展调研、视察和执法检查，听取并审议专项工作、询问等。</w:t>
      </w:r>
    </w:p>
    <w:p>
      <w:pPr>
        <w:ind w:firstLine="56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实现本年度规划目标的保障措施</w:t>
      </w:r>
    </w:p>
    <w:p>
      <w:pPr>
        <w:ind w:firstLine="600" w:firstLineChars="200"/>
        <w:jc w:val="left"/>
        <w:outlineLvl w:val="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实现年度发展规划主要规划主要依照宪法和监督法、代表法、组织法等法律法规，围绕县委重大决策战略部署和人民代表大会决议决策为依据和保障。其资金配置全部为县财政拨款方式。</w:t>
      </w:r>
    </w:p>
    <w:p>
      <w:pPr>
        <w:ind w:firstLine="602" w:firstLineChars="200"/>
        <w:jc w:val="left"/>
        <w:outlineLvl w:val="0"/>
        <w:rPr>
          <w:rFonts w:hint="eastAsia" w:ascii="仿宋" w:hAnsi="仿宋" w:eastAsia="仿宋" w:cs="仿宋"/>
          <w:b/>
          <w:sz w:val="30"/>
          <w:szCs w:val="30"/>
        </w:rPr>
      </w:pPr>
      <w:r>
        <w:rPr>
          <w:rFonts w:hint="eastAsia" w:ascii="仿宋" w:hAnsi="仿宋" w:eastAsia="仿宋" w:cs="仿宋"/>
          <w:b/>
          <w:sz w:val="30"/>
          <w:szCs w:val="30"/>
          <w:lang w:eastAsia="zh-CN"/>
        </w:rPr>
        <w:t>单位</w:t>
      </w:r>
      <w:r>
        <w:rPr>
          <w:rFonts w:hint="eastAsia" w:ascii="仿宋" w:hAnsi="仿宋" w:eastAsia="仿宋" w:cs="仿宋"/>
          <w:b/>
          <w:sz w:val="30"/>
          <w:szCs w:val="30"/>
        </w:rPr>
        <w:t>职责及工作活动绩效目标指标：</w:t>
      </w:r>
    </w:p>
    <w:p>
      <w:pPr>
        <w:jc w:val="center"/>
        <w:outlineLvl w:val="0"/>
        <w:rPr>
          <w:rFonts w:hint="eastAsia" w:ascii="仿宋" w:hAnsi="仿宋" w:eastAsia="仿宋" w:cs="仿宋"/>
          <w:sz w:val="30"/>
          <w:szCs w:val="30"/>
        </w:rPr>
      </w:pPr>
    </w:p>
    <w:bookmarkEnd w:id="0"/>
    <w:p>
      <w:pPr>
        <w:jc w:val="center"/>
        <w:outlineLvl w:val="0"/>
        <w:rPr>
          <w:rFonts w:hint="eastAsia" w:ascii="仿宋" w:hAnsi="仿宋" w:eastAsia="仿宋" w:cs="仿宋"/>
          <w:sz w:val="30"/>
          <w:szCs w:val="30"/>
        </w:rPr>
      </w:pPr>
      <w:bookmarkStart w:id="1" w:name="_Toc471233074"/>
      <w:r>
        <w:rPr>
          <w:rFonts w:hint="eastAsia" w:ascii="仿宋" w:hAnsi="仿宋" w:eastAsia="仿宋" w:cs="仿宋"/>
          <w:sz w:val="30"/>
          <w:szCs w:val="30"/>
          <w:lang w:eastAsia="zh-CN"/>
        </w:rPr>
        <w:t>单位</w:t>
      </w:r>
      <w:r>
        <w:rPr>
          <w:rFonts w:hint="eastAsia" w:ascii="仿宋" w:hAnsi="仿宋" w:eastAsia="仿宋" w:cs="仿宋"/>
          <w:sz w:val="30"/>
          <w:szCs w:val="30"/>
        </w:rPr>
        <w:t>职责-工作活动绩效目标</w:t>
      </w:r>
      <w:bookmarkEnd w:id="1"/>
    </w:p>
    <w:tbl>
      <w:tblPr>
        <w:tblStyle w:val="6"/>
        <w:tblW w:w="1393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5"/>
        <w:gridCol w:w="1536"/>
        <w:gridCol w:w="2459"/>
        <w:gridCol w:w="2459"/>
        <w:gridCol w:w="1321"/>
        <w:gridCol w:w="1096"/>
        <w:gridCol w:w="876"/>
        <w:gridCol w:w="1096"/>
        <w:gridCol w:w="1096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9770" w:type="dxa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964宁晋县换马店镇人民政府</w:t>
            </w:r>
          </w:p>
        </w:tc>
        <w:tc>
          <w:tcPr>
            <w:tcW w:w="4164" w:type="dxa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spacing w:line="300" w:lineRule="exact"/>
              <w:jc w:val="right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1995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职责活动</w:t>
            </w:r>
          </w:p>
        </w:tc>
        <w:tc>
          <w:tcPr>
            <w:tcW w:w="1536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年度预算数</w:t>
            </w:r>
          </w:p>
        </w:tc>
        <w:tc>
          <w:tcPr>
            <w:tcW w:w="2459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内容描述</w:t>
            </w:r>
          </w:p>
        </w:tc>
        <w:tc>
          <w:tcPr>
            <w:tcW w:w="2459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绩效目标</w:t>
            </w:r>
          </w:p>
        </w:tc>
        <w:tc>
          <w:tcPr>
            <w:tcW w:w="1321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绩效指标</w:t>
            </w:r>
          </w:p>
        </w:tc>
        <w:tc>
          <w:tcPr>
            <w:tcW w:w="4164" w:type="dxa"/>
            <w:gridSpan w:val="4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评价标准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1995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1536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2459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2459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1321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优</w:t>
            </w:r>
          </w:p>
        </w:tc>
        <w:tc>
          <w:tcPr>
            <w:tcW w:w="876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良</w:t>
            </w:r>
          </w:p>
        </w:tc>
        <w:tc>
          <w:tcPr>
            <w:tcW w:w="1096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中</w:t>
            </w:r>
          </w:p>
        </w:tc>
        <w:tc>
          <w:tcPr>
            <w:tcW w:w="1096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vAlign w:val="center"/>
          </w:tcPr>
          <w:p>
            <w:pPr>
              <w:spacing w:line="300" w:lineRule="exact"/>
              <w:jc w:val="lef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党政办公室</w:t>
            </w:r>
          </w:p>
        </w:tc>
        <w:tc>
          <w:tcPr>
            <w:tcW w:w="1536" w:type="dxa"/>
            <w:vAlign w:val="center"/>
          </w:tcPr>
          <w:p>
            <w:pPr>
              <w:spacing w:line="300" w:lineRule="exact"/>
              <w:jc w:val="left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lang w:val="en-US" w:eastAsia="zh-CN"/>
              </w:rPr>
              <w:t>680.02</w:t>
            </w:r>
          </w:p>
        </w:tc>
        <w:tc>
          <w:tcPr>
            <w:tcW w:w="245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协助党委、政府处理日常工作，负责政治学习，政务活动宣传工作和精神文明建设，做好组织、干部机构编制、认识、档案管理、政务公开工作；负责农村党组织建设工作；负责农村干部、党员教育、培训管理负责人大主席团日常事务工作</w:t>
            </w:r>
          </w:p>
        </w:tc>
        <w:tc>
          <w:tcPr>
            <w:tcW w:w="245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132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8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正常公用</w:t>
            </w:r>
          </w:p>
        </w:tc>
        <w:tc>
          <w:tcPr>
            <w:tcW w:w="153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133.19</w:t>
            </w:r>
          </w:p>
        </w:tc>
        <w:tc>
          <w:tcPr>
            <w:tcW w:w="24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机关正常运转费用</w:t>
            </w:r>
          </w:p>
        </w:tc>
        <w:tc>
          <w:tcPr>
            <w:tcW w:w="24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保障机关正常运转</w:t>
            </w:r>
          </w:p>
        </w:tc>
        <w:tc>
          <w:tcPr>
            <w:tcW w:w="13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机关正常运转</w:t>
            </w:r>
          </w:p>
        </w:tc>
        <w:tc>
          <w:tcPr>
            <w:tcW w:w="109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100%</w:t>
            </w:r>
          </w:p>
        </w:tc>
        <w:tc>
          <w:tcPr>
            <w:tcW w:w="87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≥90%</w:t>
            </w:r>
          </w:p>
        </w:tc>
        <w:tc>
          <w:tcPr>
            <w:tcW w:w="109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＜90%</w:t>
            </w:r>
          </w:p>
        </w:tc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工资性支出</w:t>
            </w:r>
          </w:p>
        </w:tc>
        <w:tc>
          <w:tcPr>
            <w:tcW w:w="153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495.93</w:t>
            </w:r>
          </w:p>
        </w:tc>
        <w:tc>
          <w:tcPr>
            <w:tcW w:w="24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在职人员工资</w:t>
            </w:r>
          </w:p>
        </w:tc>
        <w:tc>
          <w:tcPr>
            <w:tcW w:w="24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及时足额发放</w:t>
            </w:r>
          </w:p>
        </w:tc>
        <w:tc>
          <w:tcPr>
            <w:tcW w:w="13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发放率</w:t>
            </w:r>
          </w:p>
        </w:tc>
        <w:tc>
          <w:tcPr>
            <w:tcW w:w="109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100%</w:t>
            </w:r>
          </w:p>
        </w:tc>
        <w:tc>
          <w:tcPr>
            <w:tcW w:w="87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≥90%</w:t>
            </w:r>
          </w:p>
        </w:tc>
        <w:tc>
          <w:tcPr>
            <w:tcW w:w="109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＜90%</w:t>
            </w:r>
          </w:p>
        </w:tc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村级经费</w:t>
            </w:r>
          </w:p>
        </w:tc>
        <w:tc>
          <w:tcPr>
            <w:tcW w:w="153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32</w:t>
            </w:r>
          </w:p>
        </w:tc>
        <w:tc>
          <w:tcPr>
            <w:tcW w:w="24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用于村办公运转，电话、报刊费等</w:t>
            </w:r>
          </w:p>
        </w:tc>
        <w:tc>
          <w:tcPr>
            <w:tcW w:w="24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保障村级组织正常运转</w:t>
            </w:r>
          </w:p>
        </w:tc>
        <w:tc>
          <w:tcPr>
            <w:tcW w:w="1321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村级组织正常运转</w:t>
            </w:r>
          </w:p>
        </w:tc>
        <w:tc>
          <w:tcPr>
            <w:tcW w:w="109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100%</w:t>
            </w:r>
          </w:p>
        </w:tc>
        <w:tc>
          <w:tcPr>
            <w:tcW w:w="87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≥90%</w:t>
            </w:r>
          </w:p>
        </w:tc>
        <w:tc>
          <w:tcPr>
            <w:tcW w:w="109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＜90%</w:t>
            </w:r>
          </w:p>
        </w:tc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冬季取暖支出</w:t>
            </w:r>
          </w:p>
        </w:tc>
        <w:tc>
          <w:tcPr>
            <w:tcW w:w="153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9.8</w:t>
            </w:r>
          </w:p>
        </w:tc>
        <w:tc>
          <w:tcPr>
            <w:tcW w:w="24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用于镇机关和工作站冬季取暖及设备支出</w:t>
            </w:r>
          </w:p>
        </w:tc>
        <w:tc>
          <w:tcPr>
            <w:tcW w:w="24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保障机关正常运转</w:t>
            </w:r>
          </w:p>
        </w:tc>
        <w:tc>
          <w:tcPr>
            <w:tcW w:w="13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机关正常运转</w:t>
            </w:r>
          </w:p>
        </w:tc>
        <w:tc>
          <w:tcPr>
            <w:tcW w:w="109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100%</w:t>
            </w:r>
          </w:p>
        </w:tc>
        <w:tc>
          <w:tcPr>
            <w:tcW w:w="87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≥90%</w:t>
            </w:r>
          </w:p>
        </w:tc>
        <w:tc>
          <w:tcPr>
            <w:tcW w:w="109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＜90%</w:t>
            </w:r>
          </w:p>
        </w:tc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党报党刊</w:t>
            </w:r>
          </w:p>
        </w:tc>
        <w:tc>
          <w:tcPr>
            <w:tcW w:w="153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</w:t>
            </w:r>
          </w:p>
        </w:tc>
        <w:tc>
          <w:tcPr>
            <w:tcW w:w="24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用于镇村报刊订阅</w:t>
            </w:r>
          </w:p>
        </w:tc>
        <w:tc>
          <w:tcPr>
            <w:tcW w:w="24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随时关注学习</w:t>
            </w:r>
          </w:p>
        </w:tc>
        <w:tc>
          <w:tcPr>
            <w:tcW w:w="13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订阅率</w:t>
            </w:r>
          </w:p>
        </w:tc>
        <w:tc>
          <w:tcPr>
            <w:tcW w:w="109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100%</w:t>
            </w:r>
          </w:p>
        </w:tc>
        <w:tc>
          <w:tcPr>
            <w:tcW w:w="87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≥90%</w:t>
            </w:r>
          </w:p>
        </w:tc>
        <w:tc>
          <w:tcPr>
            <w:tcW w:w="109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＜90%</w:t>
            </w:r>
          </w:p>
        </w:tc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镇政府及计生委及村公路占地</w:t>
            </w:r>
          </w:p>
        </w:tc>
        <w:tc>
          <w:tcPr>
            <w:tcW w:w="153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5.1</w:t>
            </w:r>
          </w:p>
        </w:tc>
        <w:tc>
          <w:tcPr>
            <w:tcW w:w="24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政府及计生委正常办公</w:t>
            </w:r>
          </w:p>
        </w:tc>
        <w:tc>
          <w:tcPr>
            <w:tcW w:w="24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保障机关正常运转</w:t>
            </w:r>
          </w:p>
        </w:tc>
        <w:tc>
          <w:tcPr>
            <w:tcW w:w="13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发放率</w:t>
            </w:r>
          </w:p>
        </w:tc>
        <w:tc>
          <w:tcPr>
            <w:tcW w:w="109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100%</w:t>
            </w:r>
          </w:p>
        </w:tc>
        <w:tc>
          <w:tcPr>
            <w:tcW w:w="87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≥90%</w:t>
            </w:r>
          </w:p>
        </w:tc>
        <w:tc>
          <w:tcPr>
            <w:tcW w:w="109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＜90%</w:t>
            </w:r>
          </w:p>
        </w:tc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vAlign w:val="center"/>
          </w:tcPr>
          <w:p>
            <w:pPr>
              <w:widowControl/>
              <w:textAlignment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0"/>
                <w:szCs w:val="30"/>
              </w:rPr>
              <w:t>社会事务办公室</w:t>
            </w:r>
          </w:p>
        </w:tc>
        <w:tc>
          <w:tcPr>
            <w:tcW w:w="1536" w:type="dxa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lang w:val="en-US" w:eastAsia="zh-CN"/>
              </w:rPr>
              <w:t>177.14</w:t>
            </w:r>
          </w:p>
        </w:tc>
        <w:tc>
          <w:tcPr>
            <w:tcW w:w="245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主管拥军优属、救灾救济、“五保”低保等社会福利事业工作，主管劳动力资源管理，就业服务，社会养老保险，农村合作医疗等社会保障工作，主管婚姻登记，殡葬改革和妇女儿童权益保护，负责民族、宗教、残疾人工作。负责教育、文化、卫生、食品药品、广播电视工作、推进基层政权建设和基层群众性自治组织建设和村民自治活动。</w:t>
            </w:r>
          </w:p>
        </w:tc>
        <w:tc>
          <w:tcPr>
            <w:tcW w:w="245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2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8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3" w:hRule="atLeast"/>
          <w:jc w:val="center"/>
        </w:trPr>
        <w:tc>
          <w:tcPr>
            <w:tcW w:w="199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安全生产监管</w:t>
            </w:r>
          </w:p>
        </w:tc>
        <w:tc>
          <w:tcPr>
            <w:tcW w:w="15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8.6</w:t>
            </w:r>
          </w:p>
        </w:tc>
        <w:tc>
          <w:tcPr>
            <w:tcW w:w="245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主管拥军优属、救灾救济、“五保”低保等社会福利事业工作，主管劳动力资源管理，就业服务，社会养老保险，农村合作医疗等社会保障工作，主管婚姻登记，殡葬改革和妇女儿童权益保护，负责民族、宗教、残疾人工作。负责教育、文化、卫生、食品药品、广播电视工作、推进基层政权建设和基层群众性自治</w:t>
            </w:r>
          </w:p>
        </w:tc>
        <w:tc>
          <w:tcPr>
            <w:tcW w:w="245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确保生产、流通、消费环节和保健食品不出现重大事故</w:t>
            </w:r>
          </w:p>
        </w:tc>
        <w:tc>
          <w:tcPr>
            <w:tcW w:w="132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餐饮业、食堂、企业等费安全信息监测覆盖面</w:t>
            </w:r>
          </w:p>
        </w:tc>
        <w:tc>
          <w:tcPr>
            <w:tcW w:w="109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≥90%</w:t>
            </w:r>
          </w:p>
        </w:tc>
        <w:tc>
          <w:tcPr>
            <w:tcW w:w="8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≥85%</w:t>
            </w:r>
          </w:p>
        </w:tc>
        <w:tc>
          <w:tcPr>
            <w:tcW w:w="109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≥80%</w:t>
            </w:r>
          </w:p>
        </w:tc>
        <w:tc>
          <w:tcPr>
            <w:tcW w:w="109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＜80%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1" w:hRule="atLeast"/>
          <w:jc w:val="center"/>
        </w:trPr>
        <w:tc>
          <w:tcPr>
            <w:tcW w:w="199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机关在职保险、公积金离退休补贴</w:t>
            </w:r>
          </w:p>
        </w:tc>
        <w:tc>
          <w:tcPr>
            <w:tcW w:w="153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160.54</w:t>
            </w:r>
          </w:p>
        </w:tc>
        <w:tc>
          <w:tcPr>
            <w:tcW w:w="245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机关事业单位基本养老保险、公积金，退休人员交通补贴、取暖费</w:t>
            </w:r>
          </w:p>
        </w:tc>
        <w:tc>
          <w:tcPr>
            <w:tcW w:w="245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及时足额发放</w:t>
            </w:r>
          </w:p>
        </w:tc>
        <w:tc>
          <w:tcPr>
            <w:tcW w:w="1321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发放率</w:t>
            </w:r>
          </w:p>
        </w:tc>
        <w:tc>
          <w:tcPr>
            <w:tcW w:w="1096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100%</w:t>
            </w:r>
          </w:p>
        </w:tc>
        <w:tc>
          <w:tcPr>
            <w:tcW w:w="87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≥90%</w:t>
            </w:r>
          </w:p>
        </w:tc>
        <w:tc>
          <w:tcPr>
            <w:tcW w:w="109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＜90%</w:t>
            </w:r>
          </w:p>
        </w:tc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1" w:hRule="atLeast"/>
          <w:jc w:val="center"/>
        </w:trPr>
        <w:tc>
          <w:tcPr>
            <w:tcW w:w="199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遗属补助金</w:t>
            </w:r>
          </w:p>
        </w:tc>
        <w:tc>
          <w:tcPr>
            <w:tcW w:w="153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8</w:t>
            </w:r>
          </w:p>
        </w:tc>
        <w:tc>
          <w:tcPr>
            <w:tcW w:w="245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遗属、抚恤金、丧葬费补助</w:t>
            </w:r>
          </w:p>
        </w:tc>
        <w:tc>
          <w:tcPr>
            <w:tcW w:w="245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及时足额发放</w:t>
            </w:r>
          </w:p>
        </w:tc>
        <w:tc>
          <w:tcPr>
            <w:tcW w:w="1321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发放率</w:t>
            </w:r>
          </w:p>
        </w:tc>
        <w:tc>
          <w:tcPr>
            <w:tcW w:w="1096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100%</w:t>
            </w:r>
          </w:p>
        </w:tc>
        <w:tc>
          <w:tcPr>
            <w:tcW w:w="87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≥90%</w:t>
            </w:r>
          </w:p>
        </w:tc>
        <w:tc>
          <w:tcPr>
            <w:tcW w:w="109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＜90%</w:t>
            </w:r>
          </w:p>
        </w:tc>
        <w:tc>
          <w:tcPr>
            <w:tcW w:w="1096" w:type="dxa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1" w:hRule="atLeast"/>
          <w:jc w:val="center"/>
        </w:trPr>
        <w:tc>
          <w:tcPr>
            <w:tcW w:w="1995" w:type="dxa"/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0"/>
                <w:szCs w:val="30"/>
              </w:rPr>
              <w:t>经济发展办公室</w:t>
            </w:r>
          </w:p>
        </w:tc>
        <w:tc>
          <w:tcPr>
            <w:tcW w:w="1536" w:type="dxa"/>
            <w:shd w:val="clear" w:color="auto" w:fill="auto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lang w:val="en-US" w:eastAsia="zh-CN"/>
              </w:rPr>
              <w:t>29.54</w:t>
            </w:r>
          </w:p>
        </w:tc>
        <w:tc>
          <w:tcPr>
            <w:tcW w:w="2459" w:type="dxa"/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综合管理财政收支、编制财政计划、制定财政预算草案和审编年度决算；负责农村财政财务管理、审计、监督及农村财会人员的指导培训工作。承担经济发展的协调服务和村集体经济建设等工作；负责对外招商引资工作，引进人才、技术、项目工作；负责组织各项经济统计和相关经济普查工作。</w:t>
            </w:r>
          </w:p>
        </w:tc>
        <w:tc>
          <w:tcPr>
            <w:tcW w:w="2459" w:type="dxa"/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21" w:type="dxa"/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8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乡镇财政所人员工资及保险费用</w:t>
            </w:r>
          </w:p>
        </w:tc>
        <w:tc>
          <w:tcPr>
            <w:tcW w:w="153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29.54</w:t>
            </w:r>
          </w:p>
        </w:tc>
        <w:tc>
          <w:tcPr>
            <w:tcW w:w="24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我镇共涉及4人，工资、保险及各种待遇</w:t>
            </w:r>
          </w:p>
        </w:tc>
        <w:tc>
          <w:tcPr>
            <w:tcW w:w="24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及时足额发放</w:t>
            </w:r>
          </w:p>
        </w:tc>
        <w:tc>
          <w:tcPr>
            <w:tcW w:w="13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发放率</w:t>
            </w:r>
          </w:p>
        </w:tc>
        <w:tc>
          <w:tcPr>
            <w:tcW w:w="109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100%</w:t>
            </w:r>
          </w:p>
        </w:tc>
        <w:tc>
          <w:tcPr>
            <w:tcW w:w="87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≥90%</w:t>
            </w:r>
          </w:p>
        </w:tc>
        <w:tc>
          <w:tcPr>
            <w:tcW w:w="109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＜90%</w:t>
            </w:r>
          </w:p>
        </w:tc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shd w:val="clear" w:color="auto" w:fill="FFFFFF"/>
            <w:vAlign w:val="center"/>
          </w:tcPr>
          <w:p>
            <w:pPr>
              <w:widowControl/>
              <w:textAlignment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0"/>
                <w:szCs w:val="30"/>
              </w:rPr>
              <w:t>综合治理办公室</w:t>
            </w:r>
          </w:p>
        </w:tc>
        <w:tc>
          <w:tcPr>
            <w:tcW w:w="1536" w:type="dxa"/>
            <w:shd w:val="clear" w:color="auto" w:fill="auto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lang w:val="en-US" w:eastAsia="zh-CN"/>
              </w:rPr>
              <w:t>121.34</w:t>
            </w:r>
          </w:p>
        </w:tc>
        <w:tc>
          <w:tcPr>
            <w:tcW w:w="2459" w:type="dxa"/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组织、支持、协调公安派出所、人民法庭、司法所等政法基层住址开展综合治理工作，充分发挥其职能作用；指导、检查、监督基层党支部、村委会和辖区内的企事业单位开展社会治安综合治理工作；搞好普法教育、民事调解、民间纠纷排查；做好来人信访工作。</w:t>
            </w:r>
          </w:p>
        </w:tc>
        <w:tc>
          <w:tcPr>
            <w:tcW w:w="2459" w:type="dxa"/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21" w:type="dxa"/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8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综合治理（武装活动）</w:t>
            </w:r>
          </w:p>
        </w:tc>
        <w:tc>
          <w:tcPr>
            <w:tcW w:w="1536" w:type="dxa"/>
            <w:shd w:val="clear" w:color="auto" w:fill="auto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6.06</w:t>
            </w:r>
          </w:p>
        </w:tc>
        <w:tc>
          <w:tcPr>
            <w:tcW w:w="2459" w:type="dxa"/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组织、支持、协调公安派出所、人民法庭、司法所等政法基层住址开展综合治理工作，充分发挥其职能作用；指导、检查、监督基层党支部、村委会和辖区内的企事业单位开展社会治安综合治理工作；搞好普法教育、民事调解、民间纠纷排查；做好来人信访工作。</w:t>
            </w:r>
          </w:p>
        </w:tc>
        <w:tc>
          <w:tcPr>
            <w:tcW w:w="2459" w:type="dxa"/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实现政治安定、社会稳定和人民生活和谐有序。</w:t>
            </w:r>
          </w:p>
        </w:tc>
        <w:tc>
          <w:tcPr>
            <w:tcW w:w="1321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≥95%</w:t>
            </w:r>
          </w:p>
        </w:tc>
        <w:tc>
          <w:tcPr>
            <w:tcW w:w="876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安全生产</w:t>
            </w:r>
          </w:p>
        </w:tc>
        <w:tc>
          <w:tcPr>
            <w:tcW w:w="1536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25</w:t>
            </w:r>
          </w:p>
        </w:tc>
        <w:tc>
          <w:tcPr>
            <w:tcW w:w="2459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安全生产资金主要用于培训企业安全生产知识及安全监督用车、宣传、检查等安全工作</w:t>
            </w:r>
          </w:p>
        </w:tc>
        <w:tc>
          <w:tcPr>
            <w:tcW w:w="2459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确保不出安全事故</w:t>
            </w:r>
          </w:p>
        </w:tc>
        <w:tc>
          <w:tcPr>
            <w:tcW w:w="1321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确保不出安全事故</w:t>
            </w:r>
          </w:p>
        </w:tc>
        <w:tc>
          <w:tcPr>
            <w:tcW w:w="1096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100%</w:t>
            </w:r>
          </w:p>
        </w:tc>
        <w:tc>
          <w:tcPr>
            <w:tcW w:w="876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≥90%</w:t>
            </w:r>
          </w:p>
        </w:tc>
        <w:tc>
          <w:tcPr>
            <w:tcW w:w="1096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＜90%</w:t>
            </w:r>
          </w:p>
        </w:tc>
        <w:tc>
          <w:tcPr>
            <w:tcW w:w="1096" w:type="dxa"/>
            <w:vAlign w:val="bottom"/>
          </w:tcPr>
          <w:p>
            <w:pP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燃气安全协管工作</w:t>
            </w:r>
          </w:p>
        </w:tc>
        <w:tc>
          <w:tcPr>
            <w:tcW w:w="1536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5.28</w:t>
            </w:r>
          </w:p>
        </w:tc>
        <w:tc>
          <w:tcPr>
            <w:tcW w:w="2459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农村燃气安全协管员加大巡查力度，确保群众用气安全。燃气安全协管员给予一定资金补助，并加强监督考核。</w:t>
            </w:r>
          </w:p>
        </w:tc>
        <w:tc>
          <w:tcPr>
            <w:tcW w:w="2459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确保安全不出事故</w:t>
            </w:r>
          </w:p>
        </w:tc>
        <w:tc>
          <w:tcPr>
            <w:tcW w:w="1321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确保安全</w:t>
            </w:r>
          </w:p>
        </w:tc>
        <w:tc>
          <w:tcPr>
            <w:tcW w:w="1096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100%</w:t>
            </w:r>
          </w:p>
        </w:tc>
        <w:tc>
          <w:tcPr>
            <w:tcW w:w="876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≥90%</w:t>
            </w:r>
          </w:p>
        </w:tc>
        <w:tc>
          <w:tcPr>
            <w:tcW w:w="1096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＜90%</w:t>
            </w:r>
          </w:p>
        </w:tc>
        <w:tc>
          <w:tcPr>
            <w:tcW w:w="1096" w:type="dxa"/>
            <w:vAlign w:val="bottom"/>
          </w:tcPr>
          <w:p>
            <w:pP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人居环境综合治理</w:t>
            </w:r>
          </w:p>
        </w:tc>
        <w:tc>
          <w:tcPr>
            <w:tcW w:w="1536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val="en-US" w:eastAsia="zh-CN" w:bidi="ar-SA"/>
              </w:rPr>
              <w:t>50</w:t>
            </w:r>
          </w:p>
        </w:tc>
        <w:tc>
          <w:tcPr>
            <w:tcW w:w="2459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村庄人居环境综合治理，集中清理道路、坑塘，墙体粉刷书写等</w:t>
            </w:r>
          </w:p>
        </w:tc>
        <w:tc>
          <w:tcPr>
            <w:tcW w:w="2459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环境整洁宜居</w:t>
            </w:r>
          </w:p>
        </w:tc>
        <w:tc>
          <w:tcPr>
            <w:tcW w:w="1321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清洁率</w:t>
            </w:r>
          </w:p>
        </w:tc>
        <w:tc>
          <w:tcPr>
            <w:tcW w:w="1096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100%</w:t>
            </w:r>
          </w:p>
        </w:tc>
        <w:tc>
          <w:tcPr>
            <w:tcW w:w="876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≥90%</w:t>
            </w:r>
          </w:p>
        </w:tc>
        <w:tc>
          <w:tcPr>
            <w:tcW w:w="1096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＜90%</w:t>
            </w:r>
          </w:p>
        </w:tc>
        <w:tc>
          <w:tcPr>
            <w:tcW w:w="1096" w:type="dxa"/>
            <w:vAlign w:val="bottom"/>
          </w:tcPr>
          <w:p>
            <w:pP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防汛</w:t>
            </w:r>
          </w:p>
        </w:tc>
        <w:tc>
          <w:tcPr>
            <w:tcW w:w="1536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</w:t>
            </w:r>
          </w:p>
        </w:tc>
        <w:tc>
          <w:tcPr>
            <w:tcW w:w="2459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汛期河堤围土，购买防汛物资，汛期值班、巡逻等费用</w:t>
            </w:r>
          </w:p>
        </w:tc>
        <w:tc>
          <w:tcPr>
            <w:tcW w:w="2459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确保群众生命、财产不受损失</w:t>
            </w:r>
          </w:p>
        </w:tc>
        <w:tc>
          <w:tcPr>
            <w:tcW w:w="1321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各项汛期工作完成率</w:t>
            </w:r>
          </w:p>
        </w:tc>
        <w:tc>
          <w:tcPr>
            <w:tcW w:w="1096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100%</w:t>
            </w:r>
          </w:p>
        </w:tc>
        <w:tc>
          <w:tcPr>
            <w:tcW w:w="876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≥90%</w:t>
            </w:r>
          </w:p>
        </w:tc>
        <w:tc>
          <w:tcPr>
            <w:tcW w:w="1096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＜90%</w:t>
            </w:r>
          </w:p>
        </w:tc>
        <w:tc>
          <w:tcPr>
            <w:tcW w:w="1096" w:type="dxa"/>
            <w:vAlign w:val="bottom"/>
          </w:tcPr>
          <w:p>
            <w:pP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环保经费</w:t>
            </w:r>
          </w:p>
        </w:tc>
        <w:tc>
          <w:tcPr>
            <w:tcW w:w="1536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20</w:t>
            </w:r>
          </w:p>
        </w:tc>
        <w:tc>
          <w:tcPr>
            <w:tcW w:w="2459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为了进一步推进生态环境管理体制改革，落实省市关于加强环保机构和队伍建设，需环保经费用于环保所正常运行</w:t>
            </w:r>
          </w:p>
        </w:tc>
        <w:tc>
          <w:tcPr>
            <w:tcW w:w="2459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保障环保机构   正常运行</w:t>
            </w:r>
          </w:p>
        </w:tc>
        <w:tc>
          <w:tcPr>
            <w:tcW w:w="1321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正常运行</w:t>
            </w:r>
          </w:p>
        </w:tc>
        <w:tc>
          <w:tcPr>
            <w:tcW w:w="109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100%</w:t>
            </w:r>
          </w:p>
        </w:tc>
        <w:tc>
          <w:tcPr>
            <w:tcW w:w="876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≥90%</w:t>
            </w:r>
          </w:p>
        </w:tc>
        <w:tc>
          <w:tcPr>
            <w:tcW w:w="1096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＜90%</w:t>
            </w:r>
          </w:p>
        </w:tc>
        <w:tc>
          <w:tcPr>
            <w:tcW w:w="1096" w:type="dxa"/>
            <w:vAlign w:val="bottom"/>
          </w:tcPr>
          <w:p>
            <w:pP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信访业务办理</w:t>
            </w:r>
          </w:p>
        </w:tc>
        <w:tc>
          <w:tcPr>
            <w:tcW w:w="1536" w:type="dxa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5</w:t>
            </w:r>
          </w:p>
        </w:tc>
        <w:tc>
          <w:tcPr>
            <w:tcW w:w="245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组织、支持、协调公安派出所、人民法庭、司法所等政法基层住址开展综合治理工作，充分发挥其职能作用；指导、检查、监督基层党支部、村委会和辖区内的企事业单位开展社会治安综合治理工作；搞好普法教育、民事调解、民间纠纷排查；做好来人信访工作。</w:t>
            </w:r>
          </w:p>
        </w:tc>
        <w:tc>
          <w:tcPr>
            <w:tcW w:w="245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畅通信访渠道，提高信访事项办理质量和效率。</w:t>
            </w:r>
          </w:p>
        </w:tc>
        <w:tc>
          <w:tcPr>
            <w:tcW w:w="132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信访事项按期结案率</w:t>
            </w:r>
          </w:p>
        </w:tc>
        <w:tc>
          <w:tcPr>
            <w:tcW w:w="109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≥80%</w:t>
            </w:r>
          </w:p>
        </w:tc>
        <w:tc>
          <w:tcPr>
            <w:tcW w:w="8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≥75%</w:t>
            </w:r>
          </w:p>
        </w:tc>
        <w:tc>
          <w:tcPr>
            <w:tcW w:w="109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≥70%</w:t>
            </w:r>
          </w:p>
        </w:tc>
        <w:tc>
          <w:tcPr>
            <w:tcW w:w="109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&lt;70%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0"/>
                <w:szCs w:val="30"/>
                <w:lang w:eastAsia="zh-CN"/>
              </w:rPr>
              <w:t>卫生健康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0"/>
                <w:szCs w:val="30"/>
              </w:rPr>
              <w:t>办公室</w:t>
            </w:r>
          </w:p>
        </w:tc>
        <w:tc>
          <w:tcPr>
            <w:tcW w:w="1536" w:type="dxa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</w:rPr>
              <w:t>100</w:t>
            </w: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lang w:val="en-US" w:eastAsia="zh-CN"/>
              </w:rPr>
              <w:t>.03</w:t>
            </w:r>
          </w:p>
        </w:tc>
        <w:tc>
          <w:tcPr>
            <w:tcW w:w="245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贯彻执行党和国家计划生育政策、法规、制定有关管理办法和实施细则，并组织实施；负责编制人口发展长期和年度计划，完成上级下达的人口计划和目标；负责本级与村级计划生育组织建设和计划生育服务的综合管理；负责指导、监督各村、社区基层计划生育组织的工作；归口管理计划生育服务中心、计划生育协会等机构；对违法生育情况进行立案并征收社会抚养费；协调有关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eastAsia="zh-CN"/>
              </w:rPr>
              <w:t>单位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对计划生育工作实行综合治理等</w:t>
            </w:r>
          </w:p>
        </w:tc>
        <w:tc>
          <w:tcPr>
            <w:tcW w:w="245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2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8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8" w:hRule="atLeast"/>
          <w:jc w:val="center"/>
        </w:trPr>
        <w:tc>
          <w:tcPr>
            <w:tcW w:w="199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eastAsia="zh-CN"/>
              </w:rPr>
              <w:t>卫生计生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指导与管理</w:t>
            </w:r>
          </w:p>
        </w:tc>
        <w:tc>
          <w:tcPr>
            <w:tcW w:w="1536" w:type="dxa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100</w:t>
            </w: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.03</w:t>
            </w:r>
          </w:p>
        </w:tc>
        <w:tc>
          <w:tcPr>
            <w:tcW w:w="245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贯彻执行党和国家计划生育政策、法规、制定有关管理办法和实施细则，并组织实施；负责编制人口发展长期和年度计划，完成上级下达的人口计划和目标；负责本级与村级计划生育组织建设和计划生育服务的综合管理；负责指导、监督各村、社区基层计划生育组织的工作；归口管理计划生育服务中心、计划生育协会等机构；对违法生育情况进行立案并征收社会抚养费；协调有关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eastAsia="zh-CN"/>
              </w:rPr>
              <w:t>单位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对计划生育工作实行综合治理等</w:t>
            </w:r>
          </w:p>
        </w:tc>
        <w:tc>
          <w:tcPr>
            <w:tcW w:w="245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计生合同制临时人员、村计生专人员工资。</w:t>
            </w:r>
          </w:p>
        </w:tc>
        <w:tc>
          <w:tcPr>
            <w:tcW w:w="132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改工资发放率</w:t>
            </w:r>
          </w:p>
        </w:tc>
        <w:tc>
          <w:tcPr>
            <w:tcW w:w="109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≥90%</w:t>
            </w:r>
          </w:p>
        </w:tc>
        <w:tc>
          <w:tcPr>
            <w:tcW w:w="8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≥80%</w:t>
            </w:r>
          </w:p>
        </w:tc>
        <w:tc>
          <w:tcPr>
            <w:tcW w:w="109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≥70%</w:t>
            </w:r>
          </w:p>
        </w:tc>
        <w:tc>
          <w:tcPr>
            <w:tcW w:w="109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7" w:hRule="atLeast"/>
          <w:jc w:val="center"/>
        </w:trPr>
        <w:tc>
          <w:tcPr>
            <w:tcW w:w="199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0"/>
                <w:szCs w:val="30"/>
              </w:rPr>
              <w:t>村镇规划建设办公室</w:t>
            </w:r>
          </w:p>
        </w:tc>
        <w:tc>
          <w:tcPr>
            <w:tcW w:w="1536" w:type="dxa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lang w:val="en-US" w:eastAsia="zh-CN"/>
              </w:rPr>
              <w:t>478.98</w:t>
            </w:r>
          </w:p>
        </w:tc>
        <w:tc>
          <w:tcPr>
            <w:tcW w:w="245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宣传、贯彻城乡规划、建设、环境保护、国土管理等方面的方针、政策、法规。负责制定村镇建设和环境保护的规划，建立并实施建设用地指标和建设计划制度；负责村镇环境综合整治；抓好环境卫生，环境保护，镇村绿化工作，负责落实有关土地的法规；管理农村土地使用和宅基地，协助有关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eastAsia="zh-CN"/>
              </w:rPr>
              <w:t>单位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做好土地税费的征收管理工作，负责村街道和公路硬化建设等工作。</w:t>
            </w:r>
          </w:p>
        </w:tc>
        <w:tc>
          <w:tcPr>
            <w:tcW w:w="245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提升机关及行业信息化水平，保障各类业务系统安全稳定运行；加大信息宣传力度，创造良好舆论氛围。组织文娱活动，提高干部职工文化和身体素质</w:t>
            </w:r>
          </w:p>
        </w:tc>
        <w:tc>
          <w:tcPr>
            <w:tcW w:w="132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8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shd w:val="clear" w:color="auto" w:fill="FFFFFF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农村环卫补贴</w:t>
            </w:r>
          </w:p>
        </w:tc>
        <w:tc>
          <w:tcPr>
            <w:tcW w:w="1536" w:type="dxa"/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175.34</w:t>
            </w:r>
          </w:p>
        </w:tc>
        <w:tc>
          <w:tcPr>
            <w:tcW w:w="2459" w:type="dxa"/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根据县财政局、农业农村局下达关于农村环卫补贴我镇共涉及22个村</w:t>
            </w:r>
          </w:p>
        </w:tc>
        <w:tc>
          <w:tcPr>
            <w:tcW w:w="2459" w:type="dxa"/>
            <w:shd w:val="clear" w:color="auto" w:fill="FFFFFF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保障环境整洁</w:t>
            </w:r>
          </w:p>
        </w:tc>
        <w:tc>
          <w:tcPr>
            <w:tcW w:w="1321" w:type="dxa"/>
            <w:shd w:val="clear" w:color="auto" w:fill="FFFFFF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垃圾清理清运率</w:t>
            </w:r>
          </w:p>
        </w:tc>
        <w:tc>
          <w:tcPr>
            <w:tcW w:w="1096" w:type="dxa"/>
            <w:shd w:val="clear" w:color="auto" w:fill="FFFFFF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100%</w:t>
            </w:r>
          </w:p>
        </w:tc>
        <w:tc>
          <w:tcPr>
            <w:tcW w:w="876" w:type="dxa"/>
            <w:shd w:val="clear" w:color="auto" w:fill="FFFFFF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≥90%</w:t>
            </w:r>
          </w:p>
        </w:tc>
        <w:tc>
          <w:tcPr>
            <w:tcW w:w="1096" w:type="dxa"/>
            <w:shd w:val="clear" w:color="auto" w:fill="FFFFFF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＜90%</w:t>
            </w:r>
          </w:p>
        </w:tc>
        <w:tc>
          <w:tcPr>
            <w:tcW w:w="1096" w:type="dxa"/>
            <w:shd w:val="clear" w:color="auto" w:fill="FFFFFF"/>
            <w:vAlign w:val="bottom"/>
          </w:tcPr>
          <w:p>
            <w:pP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shd w:val="clear" w:color="auto" w:fill="FFFFFF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通道绿化补贴</w:t>
            </w:r>
          </w:p>
        </w:tc>
        <w:tc>
          <w:tcPr>
            <w:tcW w:w="1536" w:type="dxa"/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171.74</w:t>
            </w:r>
          </w:p>
        </w:tc>
        <w:tc>
          <w:tcPr>
            <w:tcW w:w="2459" w:type="dxa"/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我镇绿化占地涉及8个村，1974.1亩地，每亩补贴1000元</w:t>
            </w:r>
          </w:p>
        </w:tc>
        <w:tc>
          <w:tcPr>
            <w:tcW w:w="2459" w:type="dxa"/>
            <w:shd w:val="clear" w:color="auto" w:fill="FFFFFF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补贴发放及时，绿化面积达标</w:t>
            </w:r>
          </w:p>
        </w:tc>
        <w:tc>
          <w:tcPr>
            <w:tcW w:w="1321" w:type="dxa"/>
            <w:shd w:val="clear" w:color="auto" w:fill="FFFFFF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资金发放率及       树木成活率</w:t>
            </w:r>
          </w:p>
        </w:tc>
        <w:tc>
          <w:tcPr>
            <w:tcW w:w="1096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100%</w:t>
            </w:r>
          </w:p>
        </w:tc>
        <w:tc>
          <w:tcPr>
            <w:tcW w:w="876" w:type="dxa"/>
            <w:shd w:val="clear" w:color="auto" w:fill="FFFFFF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≥90%</w:t>
            </w:r>
          </w:p>
        </w:tc>
        <w:tc>
          <w:tcPr>
            <w:tcW w:w="1096" w:type="dxa"/>
            <w:shd w:val="clear" w:color="auto" w:fill="FFFFFF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＜90%</w:t>
            </w:r>
          </w:p>
        </w:tc>
        <w:tc>
          <w:tcPr>
            <w:tcW w:w="1096" w:type="dxa"/>
            <w:shd w:val="clear" w:color="auto" w:fill="FFFFFF"/>
            <w:vAlign w:val="bottom"/>
          </w:tcPr>
          <w:p>
            <w:pP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大气、水污染、秸秆禁烧环境综合治理</w:t>
            </w:r>
          </w:p>
        </w:tc>
        <w:tc>
          <w:tcPr>
            <w:tcW w:w="1536" w:type="dxa"/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40.65</w:t>
            </w:r>
          </w:p>
        </w:tc>
        <w:tc>
          <w:tcPr>
            <w:tcW w:w="2459" w:type="dxa"/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对辖区内环境卫生进行集中清理和阶段性清理</w:t>
            </w:r>
          </w:p>
        </w:tc>
        <w:tc>
          <w:tcPr>
            <w:tcW w:w="2459" w:type="dxa"/>
            <w:shd w:val="clear" w:color="auto" w:fill="FFFFFF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环境整洁美化</w:t>
            </w:r>
          </w:p>
        </w:tc>
        <w:tc>
          <w:tcPr>
            <w:tcW w:w="1321" w:type="dxa"/>
            <w:shd w:val="clear" w:color="auto" w:fill="FFFFFF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整洁美化率</w:t>
            </w:r>
          </w:p>
        </w:tc>
        <w:tc>
          <w:tcPr>
            <w:tcW w:w="1096" w:type="dxa"/>
            <w:shd w:val="clear" w:color="auto" w:fill="FFFFFF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100%</w:t>
            </w:r>
          </w:p>
        </w:tc>
        <w:tc>
          <w:tcPr>
            <w:tcW w:w="876" w:type="dxa"/>
            <w:shd w:val="clear" w:color="auto" w:fill="FFFFFF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≥90%</w:t>
            </w:r>
          </w:p>
        </w:tc>
        <w:tc>
          <w:tcPr>
            <w:tcW w:w="1096" w:type="dxa"/>
            <w:shd w:val="clear" w:color="auto" w:fill="FFFFFF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＜90%</w:t>
            </w:r>
          </w:p>
        </w:tc>
        <w:tc>
          <w:tcPr>
            <w:tcW w:w="1096" w:type="dxa"/>
            <w:shd w:val="clear" w:color="auto" w:fill="FFFFFF"/>
            <w:vAlign w:val="bottom"/>
          </w:tcPr>
          <w:p>
            <w:pP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绿化植树 补植补种</w:t>
            </w:r>
          </w:p>
        </w:tc>
        <w:tc>
          <w:tcPr>
            <w:tcW w:w="1536" w:type="dxa"/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21.25</w:t>
            </w:r>
          </w:p>
        </w:tc>
        <w:tc>
          <w:tcPr>
            <w:tcW w:w="2459" w:type="dxa"/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对辖区内新修道路两侧进行植树</w:t>
            </w:r>
          </w:p>
        </w:tc>
        <w:tc>
          <w:tcPr>
            <w:tcW w:w="2459" w:type="dxa"/>
            <w:shd w:val="clear" w:color="auto" w:fill="FFFFFF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绿化面积达标</w:t>
            </w:r>
          </w:p>
        </w:tc>
        <w:tc>
          <w:tcPr>
            <w:tcW w:w="1321" w:type="dxa"/>
            <w:shd w:val="clear" w:color="auto" w:fill="FFFFFF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树木成活率</w:t>
            </w:r>
          </w:p>
        </w:tc>
        <w:tc>
          <w:tcPr>
            <w:tcW w:w="1096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100%</w:t>
            </w:r>
          </w:p>
        </w:tc>
        <w:tc>
          <w:tcPr>
            <w:tcW w:w="876" w:type="dxa"/>
            <w:shd w:val="clear" w:color="auto" w:fill="FFFFFF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≥90%</w:t>
            </w:r>
          </w:p>
        </w:tc>
        <w:tc>
          <w:tcPr>
            <w:tcW w:w="1096" w:type="dxa"/>
            <w:shd w:val="clear" w:color="auto" w:fill="FFFFFF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＜90%</w:t>
            </w:r>
          </w:p>
        </w:tc>
        <w:tc>
          <w:tcPr>
            <w:tcW w:w="1096" w:type="dxa"/>
            <w:shd w:val="clear" w:color="auto" w:fill="FFFFFF"/>
            <w:vAlign w:val="bottom"/>
          </w:tcPr>
          <w:p>
            <w:pP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农村道路</w:t>
            </w:r>
          </w:p>
        </w:tc>
        <w:tc>
          <w:tcPr>
            <w:tcW w:w="1536" w:type="dxa"/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50</w:t>
            </w:r>
          </w:p>
        </w:tc>
        <w:tc>
          <w:tcPr>
            <w:tcW w:w="2459" w:type="dxa"/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村内田间道路修建</w:t>
            </w:r>
          </w:p>
        </w:tc>
        <w:tc>
          <w:tcPr>
            <w:tcW w:w="2459" w:type="dxa"/>
            <w:shd w:val="clear" w:color="auto" w:fill="FFFFFF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促进村内经济发展</w:t>
            </w:r>
          </w:p>
        </w:tc>
        <w:tc>
          <w:tcPr>
            <w:tcW w:w="1321" w:type="dxa"/>
            <w:shd w:val="clear" w:color="auto" w:fill="FFFFFF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优化村镇环境</w:t>
            </w:r>
          </w:p>
        </w:tc>
        <w:tc>
          <w:tcPr>
            <w:tcW w:w="1096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100%</w:t>
            </w:r>
          </w:p>
        </w:tc>
        <w:tc>
          <w:tcPr>
            <w:tcW w:w="876" w:type="dxa"/>
            <w:shd w:val="clear" w:color="auto" w:fill="FFFFFF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≥90%</w:t>
            </w:r>
          </w:p>
        </w:tc>
        <w:tc>
          <w:tcPr>
            <w:tcW w:w="1096" w:type="dxa"/>
            <w:shd w:val="clear" w:color="auto" w:fill="FFFFFF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＜90%</w:t>
            </w:r>
          </w:p>
        </w:tc>
        <w:tc>
          <w:tcPr>
            <w:tcW w:w="1096" w:type="dxa"/>
            <w:shd w:val="clear" w:color="auto" w:fill="FFFFFF"/>
            <w:vAlign w:val="bottom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镇域河道清淤疏浚</w:t>
            </w:r>
          </w:p>
        </w:tc>
        <w:tc>
          <w:tcPr>
            <w:tcW w:w="1536" w:type="dxa"/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20</w:t>
            </w:r>
          </w:p>
        </w:tc>
        <w:tc>
          <w:tcPr>
            <w:tcW w:w="2459" w:type="dxa"/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汪洋沟河道、洨河河道清淤</w:t>
            </w:r>
          </w:p>
        </w:tc>
        <w:tc>
          <w:tcPr>
            <w:tcW w:w="2459" w:type="dxa"/>
            <w:shd w:val="clear" w:color="auto" w:fill="FFFFFF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保障河道顺畅</w:t>
            </w:r>
          </w:p>
        </w:tc>
        <w:tc>
          <w:tcPr>
            <w:tcW w:w="1321" w:type="dxa"/>
            <w:shd w:val="clear" w:color="auto" w:fill="FFFFFF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清洁率</w:t>
            </w:r>
          </w:p>
        </w:tc>
        <w:tc>
          <w:tcPr>
            <w:tcW w:w="1096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100%</w:t>
            </w:r>
          </w:p>
        </w:tc>
        <w:tc>
          <w:tcPr>
            <w:tcW w:w="876" w:type="dxa"/>
            <w:shd w:val="clear" w:color="auto" w:fill="FFFFFF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≥90%</w:t>
            </w:r>
          </w:p>
        </w:tc>
        <w:tc>
          <w:tcPr>
            <w:tcW w:w="1096" w:type="dxa"/>
            <w:shd w:val="clear" w:color="auto" w:fill="FFFFFF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＜90%</w:t>
            </w:r>
          </w:p>
        </w:tc>
        <w:tc>
          <w:tcPr>
            <w:tcW w:w="1096" w:type="dxa"/>
            <w:shd w:val="clear" w:color="auto" w:fill="FFFFFF"/>
            <w:vAlign w:val="bottom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</w:tbl>
    <w:p>
      <w:pPr>
        <w:autoSpaceDE w:val="0"/>
        <w:autoSpaceDN w:val="0"/>
        <w:adjustRightInd w:val="0"/>
        <w:ind w:firstLine="600" w:firstLineChars="20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六、政府采购预算情况</w:t>
      </w:r>
    </w:p>
    <w:p>
      <w:pPr>
        <w:outlineLvl w:val="0"/>
        <w:rPr>
          <w:rFonts w:hint="eastAsia" w:ascii="仿宋" w:hAnsi="仿宋" w:eastAsia="仿宋" w:cs="仿宋"/>
          <w:sz w:val="30"/>
          <w:szCs w:val="30"/>
        </w:rPr>
      </w:pPr>
      <w:bookmarkStart w:id="2" w:name="_Toc471398468"/>
      <w:r>
        <w:rPr>
          <w:rFonts w:hint="eastAsia" w:ascii="仿宋" w:hAnsi="仿宋" w:eastAsia="仿宋" w:cs="仿宋"/>
          <w:sz w:val="30"/>
          <w:szCs w:val="30"/>
        </w:rPr>
        <w:t xml:space="preserve">   20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23</w:t>
      </w:r>
      <w:r>
        <w:rPr>
          <w:rFonts w:hint="eastAsia" w:ascii="仿宋" w:hAnsi="仿宋" w:eastAsia="仿宋" w:cs="仿宋"/>
          <w:sz w:val="30"/>
          <w:szCs w:val="30"/>
        </w:rPr>
        <w:t>年，安排政府采购预算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0</w:t>
      </w:r>
      <w:r>
        <w:rPr>
          <w:rFonts w:hint="eastAsia" w:ascii="仿宋" w:hAnsi="仿宋" w:eastAsia="仿宋" w:cs="仿宋"/>
          <w:sz w:val="30"/>
          <w:szCs w:val="30"/>
        </w:rPr>
        <w:t>万元万元。具体内容见下表。</w:t>
      </w:r>
    </w:p>
    <w:p>
      <w:pPr>
        <w:jc w:val="center"/>
        <w:outlineLvl w:val="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单位</w:t>
      </w:r>
      <w:r>
        <w:rPr>
          <w:rFonts w:hint="eastAsia" w:ascii="仿宋" w:hAnsi="仿宋" w:eastAsia="仿宋" w:cs="仿宋"/>
          <w:sz w:val="30"/>
          <w:szCs w:val="30"/>
        </w:rPr>
        <w:t>政府采购预算</w:t>
      </w:r>
      <w:bookmarkEnd w:id="2"/>
    </w:p>
    <w:tbl>
      <w:tblPr>
        <w:tblStyle w:val="6"/>
        <w:tblW w:w="15357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1"/>
        <w:gridCol w:w="1133"/>
        <w:gridCol w:w="935"/>
        <w:gridCol w:w="1394"/>
        <w:gridCol w:w="936"/>
        <w:gridCol w:w="936"/>
        <w:gridCol w:w="958"/>
        <w:gridCol w:w="936"/>
        <w:gridCol w:w="936"/>
        <w:gridCol w:w="972"/>
        <w:gridCol w:w="936"/>
        <w:gridCol w:w="936"/>
        <w:gridCol w:w="936"/>
        <w:gridCol w:w="882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8823" w:type="dxa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964宁晋县换马店镇人民政府</w:t>
            </w:r>
          </w:p>
        </w:tc>
        <w:tc>
          <w:tcPr>
            <w:tcW w:w="6534" w:type="dxa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spacing w:line="300" w:lineRule="exact"/>
              <w:jc w:val="right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3664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政府采购项目来源</w:t>
            </w:r>
          </w:p>
        </w:tc>
        <w:tc>
          <w:tcPr>
            <w:tcW w:w="935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采购物品名称</w:t>
            </w:r>
          </w:p>
        </w:tc>
        <w:tc>
          <w:tcPr>
            <w:tcW w:w="1394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政府采购目录序号</w:t>
            </w:r>
          </w:p>
        </w:tc>
        <w:tc>
          <w:tcPr>
            <w:tcW w:w="936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数量  单位</w:t>
            </w:r>
          </w:p>
        </w:tc>
        <w:tc>
          <w:tcPr>
            <w:tcW w:w="936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数量</w:t>
            </w:r>
          </w:p>
        </w:tc>
        <w:tc>
          <w:tcPr>
            <w:tcW w:w="958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单价</w:t>
            </w:r>
          </w:p>
        </w:tc>
        <w:tc>
          <w:tcPr>
            <w:tcW w:w="6534" w:type="dxa"/>
            <w:gridSpan w:val="7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政府采购金额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531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项目名称</w:t>
            </w:r>
          </w:p>
        </w:tc>
        <w:tc>
          <w:tcPr>
            <w:tcW w:w="1133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预算资金</w:t>
            </w:r>
          </w:p>
        </w:tc>
        <w:tc>
          <w:tcPr>
            <w:tcW w:w="935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1394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936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936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958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936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总计</w:t>
            </w:r>
          </w:p>
        </w:tc>
        <w:tc>
          <w:tcPr>
            <w:tcW w:w="4716" w:type="dxa"/>
            <w:gridSpan w:val="5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当年</w:t>
            </w:r>
            <w:r>
              <w:rPr>
                <w:rFonts w:hint="eastAsia" w:ascii="仿宋" w:hAnsi="仿宋" w:eastAsia="仿宋" w:cs="仿宋"/>
                <w:b/>
                <w:sz w:val="30"/>
                <w:szCs w:val="30"/>
                <w:lang w:eastAsia="zh-CN"/>
              </w:rPr>
              <w:t>单位</w:t>
            </w: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预算安排资金</w:t>
            </w:r>
          </w:p>
        </w:tc>
        <w:tc>
          <w:tcPr>
            <w:tcW w:w="882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其他渠道资金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blHeader/>
          <w:jc w:val="center"/>
        </w:trPr>
        <w:tc>
          <w:tcPr>
            <w:tcW w:w="2531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1133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935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1394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936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936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958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936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936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合计</w:t>
            </w:r>
          </w:p>
        </w:tc>
        <w:tc>
          <w:tcPr>
            <w:tcW w:w="972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一般公共预算拨款</w:t>
            </w:r>
          </w:p>
        </w:tc>
        <w:tc>
          <w:tcPr>
            <w:tcW w:w="936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基金预算拨款</w:t>
            </w:r>
          </w:p>
        </w:tc>
        <w:tc>
          <w:tcPr>
            <w:tcW w:w="936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财政专户核拨</w:t>
            </w:r>
          </w:p>
        </w:tc>
        <w:tc>
          <w:tcPr>
            <w:tcW w:w="936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其他来源收入</w:t>
            </w:r>
          </w:p>
        </w:tc>
        <w:tc>
          <w:tcPr>
            <w:tcW w:w="882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31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合　计</w:t>
            </w:r>
          </w:p>
        </w:tc>
        <w:tc>
          <w:tcPr>
            <w:tcW w:w="1133" w:type="dxa"/>
            <w:vAlign w:val="center"/>
          </w:tcPr>
          <w:p>
            <w:pPr>
              <w:tabs>
                <w:tab w:val="left" w:pos="440"/>
              </w:tabs>
              <w:spacing w:line="300" w:lineRule="exact"/>
              <w:jc w:val="left"/>
              <w:rPr>
                <w:rFonts w:hint="default" w:ascii="仿宋" w:hAnsi="仿宋" w:eastAsia="仿宋" w:cs="仿宋"/>
                <w:b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  <w:lang w:eastAsia="zh-CN"/>
              </w:rPr>
              <w:tab/>
            </w:r>
          </w:p>
        </w:tc>
        <w:tc>
          <w:tcPr>
            <w:tcW w:w="935" w:type="dxa"/>
            <w:vAlign w:val="center"/>
          </w:tcPr>
          <w:p>
            <w:pPr>
              <w:spacing w:line="300" w:lineRule="exact"/>
              <w:jc w:val="lef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1394" w:type="dxa"/>
            <w:vAlign w:val="center"/>
          </w:tcPr>
          <w:p>
            <w:pPr>
              <w:spacing w:line="300" w:lineRule="exact"/>
              <w:jc w:val="lef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936" w:type="dxa"/>
            <w:vAlign w:val="center"/>
          </w:tcPr>
          <w:p>
            <w:pPr>
              <w:spacing w:line="300" w:lineRule="exact"/>
              <w:jc w:val="lef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936" w:type="dxa"/>
            <w:vAlign w:val="center"/>
          </w:tcPr>
          <w:p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958" w:type="dxa"/>
            <w:vAlign w:val="center"/>
          </w:tcPr>
          <w:p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936" w:type="dxa"/>
            <w:vAlign w:val="center"/>
          </w:tcPr>
          <w:p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936" w:type="dxa"/>
            <w:vAlign w:val="center"/>
          </w:tcPr>
          <w:p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972" w:type="dxa"/>
            <w:vAlign w:val="center"/>
          </w:tcPr>
          <w:p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936" w:type="dxa"/>
            <w:vAlign w:val="center"/>
          </w:tcPr>
          <w:p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936" w:type="dxa"/>
            <w:vAlign w:val="center"/>
          </w:tcPr>
          <w:p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936" w:type="dxa"/>
            <w:vAlign w:val="center"/>
          </w:tcPr>
          <w:p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882" w:type="dxa"/>
            <w:vAlign w:val="center"/>
          </w:tcPr>
          <w:p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  <w:jc w:val="center"/>
        </w:trPr>
        <w:tc>
          <w:tcPr>
            <w:tcW w:w="2531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  <w:lang w:val="en-US" w:eastAsia="zh-CN"/>
              </w:rPr>
              <w:t>0</w:t>
            </w:r>
          </w:p>
        </w:tc>
        <w:tc>
          <w:tcPr>
            <w:tcW w:w="1133" w:type="dxa"/>
            <w:vAlign w:val="center"/>
          </w:tcPr>
          <w:p>
            <w:pPr>
              <w:spacing w:line="300" w:lineRule="exact"/>
              <w:jc w:val="right"/>
              <w:rPr>
                <w:rFonts w:hint="default" w:ascii="仿宋" w:hAnsi="仿宋" w:eastAsia="仿宋" w:cs="仿宋"/>
                <w:b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  <w:lang w:val="en-US" w:eastAsia="zh-CN"/>
              </w:rPr>
              <w:t>0</w:t>
            </w:r>
          </w:p>
        </w:tc>
        <w:tc>
          <w:tcPr>
            <w:tcW w:w="935" w:type="dxa"/>
            <w:vAlign w:val="center"/>
          </w:tcPr>
          <w:p>
            <w:pPr>
              <w:spacing w:line="300" w:lineRule="exact"/>
              <w:jc w:val="left"/>
              <w:rPr>
                <w:rFonts w:hint="eastAsia" w:ascii="仿宋" w:hAnsi="仿宋" w:eastAsia="仿宋" w:cs="仿宋"/>
                <w:b/>
                <w:sz w:val="30"/>
                <w:szCs w:val="30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  <w:lang w:val="en-US" w:eastAsia="zh-CN"/>
              </w:rPr>
              <w:t>0</w:t>
            </w:r>
          </w:p>
        </w:tc>
        <w:tc>
          <w:tcPr>
            <w:tcW w:w="1394" w:type="dxa"/>
            <w:vAlign w:val="center"/>
          </w:tcPr>
          <w:p>
            <w:pPr>
              <w:spacing w:line="300" w:lineRule="exact"/>
              <w:jc w:val="lef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936" w:type="dxa"/>
            <w:vAlign w:val="center"/>
          </w:tcPr>
          <w:p>
            <w:pPr>
              <w:spacing w:line="300" w:lineRule="exact"/>
              <w:jc w:val="lef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936" w:type="dxa"/>
            <w:vAlign w:val="center"/>
          </w:tcPr>
          <w:p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  <w:lang w:val="en-US" w:eastAsia="zh-CN"/>
              </w:rPr>
              <w:t>0</w:t>
            </w:r>
          </w:p>
        </w:tc>
        <w:tc>
          <w:tcPr>
            <w:tcW w:w="958" w:type="dxa"/>
            <w:vAlign w:val="center"/>
          </w:tcPr>
          <w:p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936" w:type="dxa"/>
            <w:vAlign w:val="center"/>
          </w:tcPr>
          <w:p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936" w:type="dxa"/>
            <w:vAlign w:val="center"/>
          </w:tcPr>
          <w:p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972" w:type="dxa"/>
            <w:vAlign w:val="center"/>
          </w:tcPr>
          <w:p>
            <w:pPr>
              <w:spacing w:line="300" w:lineRule="exact"/>
              <w:jc w:val="right"/>
              <w:rPr>
                <w:rFonts w:hint="default" w:ascii="仿宋" w:hAnsi="仿宋" w:eastAsia="仿宋" w:cs="仿宋"/>
                <w:b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  <w:lang w:val="en-US" w:eastAsia="zh-CN"/>
              </w:rPr>
              <w:t>0</w:t>
            </w:r>
          </w:p>
        </w:tc>
        <w:tc>
          <w:tcPr>
            <w:tcW w:w="936" w:type="dxa"/>
            <w:vAlign w:val="center"/>
          </w:tcPr>
          <w:p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936" w:type="dxa"/>
            <w:vAlign w:val="center"/>
          </w:tcPr>
          <w:p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936" w:type="dxa"/>
            <w:vAlign w:val="center"/>
          </w:tcPr>
          <w:p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882" w:type="dxa"/>
            <w:vAlign w:val="center"/>
          </w:tcPr>
          <w:p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</w:tr>
    </w:tbl>
    <w:p>
      <w:pPr>
        <w:autoSpaceDE w:val="0"/>
        <w:autoSpaceDN w:val="0"/>
        <w:adjustRightInd w:val="0"/>
        <w:jc w:val="left"/>
        <w:rPr>
          <w:rFonts w:hint="eastAsia" w:ascii="仿宋" w:hAnsi="仿宋" w:eastAsia="仿宋" w:cs="仿宋"/>
          <w:sz w:val="30"/>
          <w:szCs w:val="30"/>
        </w:rPr>
      </w:pPr>
    </w:p>
    <w:p>
      <w:pPr>
        <w:autoSpaceDE w:val="0"/>
        <w:autoSpaceDN w:val="0"/>
        <w:adjustRightInd w:val="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 xml:space="preserve">    七、国有资产信息</w:t>
      </w:r>
    </w:p>
    <w:p>
      <w:pPr>
        <w:ind w:firstLine="64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上年末固定资产金额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189.75</w:t>
      </w:r>
      <w:r>
        <w:rPr>
          <w:rFonts w:hint="eastAsia" w:ascii="仿宋" w:hAnsi="仿宋" w:eastAsia="仿宋" w:cs="仿宋"/>
          <w:sz w:val="30"/>
          <w:szCs w:val="30"/>
        </w:rPr>
        <w:t>万元（详见下表），本年度预算拟购置的固定资产为0。已列入政府采购预算表。</w:t>
      </w:r>
    </w:p>
    <w:p>
      <w:pPr>
        <w:ind w:firstLine="640"/>
        <w:rPr>
          <w:rFonts w:hint="eastAsia" w:ascii="仿宋" w:hAnsi="仿宋" w:eastAsia="仿宋" w:cs="仿宋"/>
          <w:color w:val="FF0000"/>
          <w:sz w:val="30"/>
          <w:szCs w:val="30"/>
        </w:rPr>
      </w:pPr>
    </w:p>
    <w:tbl>
      <w:tblPr>
        <w:tblStyle w:val="6"/>
        <w:tblW w:w="13482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24"/>
        <w:gridCol w:w="3155"/>
        <w:gridCol w:w="510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1348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0"/>
                <w:szCs w:val="30"/>
              </w:rPr>
              <w:t>河北省省直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30"/>
                <w:szCs w:val="30"/>
                <w:lang w:eastAsia="zh-CN"/>
              </w:rPr>
              <w:t>单位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30"/>
                <w:szCs w:val="30"/>
              </w:rPr>
              <w:t>固定资产占用情况表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837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>编制</w:t>
            </w:r>
            <w:r>
              <w:rPr>
                <w:rFonts w:hint="eastAsia" w:ascii="仿宋" w:hAnsi="仿宋" w:eastAsia="仿宋" w:cs="仿宋"/>
                <w:kern w:val="0"/>
                <w:sz w:val="30"/>
                <w:szCs w:val="30"/>
                <w:lang w:eastAsia="zh-CN"/>
              </w:rPr>
              <w:t>单位</w:t>
            </w: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>：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>截止时间：20</w:t>
            </w:r>
            <w:r>
              <w:rPr>
                <w:rFonts w:hint="eastAsia" w:ascii="仿宋" w:hAnsi="仿宋" w:eastAsia="仿宋" w:cs="仿宋"/>
                <w:kern w:val="0"/>
                <w:sz w:val="30"/>
                <w:szCs w:val="30"/>
                <w:lang w:val="en-US" w:eastAsia="zh-CN"/>
              </w:rPr>
              <w:t>22</w:t>
            </w: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 xml:space="preserve">年12月31日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5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0"/>
                <w:szCs w:val="30"/>
              </w:rPr>
              <w:t>项   目</w:t>
            </w:r>
          </w:p>
        </w:tc>
        <w:tc>
          <w:tcPr>
            <w:tcW w:w="31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0"/>
                <w:szCs w:val="30"/>
              </w:rPr>
              <w:t>数量</w:t>
            </w:r>
          </w:p>
        </w:tc>
        <w:tc>
          <w:tcPr>
            <w:tcW w:w="51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0"/>
                <w:szCs w:val="30"/>
              </w:rPr>
              <w:t>价值（金额单位：万元）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52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>资产总额</w:t>
            </w:r>
          </w:p>
        </w:tc>
        <w:tc>
          <w:tcPr>
            <w:tcW w:w="3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>——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仿宋" w:hAnsi="仿宋" w:eastAsia="仿宋" w:cs="仿宋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  <w:lang w:val="en-US" w:eastAsia="zh-CN"/>
              </w:rPr>
              <w:t>189.75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52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>1、房屋（平方米）</w:t>
            </w:r>
          </w:p>
        </w:tc>
        <w:tc>
          <w:tcPr>
            <w:tcW w:w="3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>6100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>1</w:t>
            </w:r>
            <w:r>
              <w:rPr>
                <w:rFonts w:hint="eastAsia" w:ascii="仿宋" w:hAnsi="仿宋" w:eastAsia="仿宋" w:cs="仿宋"/>
                <w:kern w:val="0"/>
                <w:sz w:val="30"/>
                <w:szCs w:val="30"/>
                <w:lang w:val="en-US" w:eastAsia="zh-CN"/>
              </w:rPr>
              <w:t>0</w:t>
            </w: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>0.6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52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 xml:space="preserve">  其中：办公用房（平方米）</w:t>
            </w:r>
          </w:p>
        </w:tc>
        <w:tc>
          <w:tcPr>
            <w:tcW w:w="3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>6100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>1</w:t>
            </w:r>
            <w:r>
              <w:rPr>
                <w:rFonts w:hint="eastAsia" w:ascii="仿宋" w:hAnsi="仿宋" w:eastAsia="仿宋" w:cs="仿宋"/>
                <w:kern w:val="0"/>
                <w:sz w:val="30"/>
                <w:szCs w:val="30"/>
                <w:lang w:val="en-US" w:eastAsia="zh-CN"/>
              </w:rPr>
              <w:t>0</w:t>
            </w: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>0.6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52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>2、车辆（台、辆）</w:t>
            </w:r>
          </w:p>
        </w:tc>
        <w:tc>
          <w:tcPr>
            <w:tcW w:w="3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0"/>
                <w:szCs w:val="30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  <w:lang w:val="en-US" w:eastAsia="zh-CN"/>
              </w:rPr>
              <w:t>1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仿宋" w:hAnsi="仿宋" w:eastAsia="仿宋" w:cs="仿宋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52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>3、单价在20万元以上设备</w:t>
            </w:r>
          </w:p>
        </w:tc>
        <w:tc>
          <w:tcPr>
            <w:tcW w:w="3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>——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52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>4、其他固定资产</w:t>
            </w:r>
          </w:p>
        </w:tc>
        <w:tc>
          <w:tcPr>
            <w:tcW w:w="3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>——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仿宋" w:hAnsi="仿宋" w:eastAsia="仿宋" w:cs="仿宋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  <w:lang w:val="en-US" w:eastAsia="zh-CN"/>
              </w:rPr>
              <w:t>89.15</w:t>
            </w:r>
          </w:p>
        </w:tc>
      </w:tr>
    </w:tbl>
    <w:p>
      <w:pPr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说明：1、公车改革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后</w:t>
      </w:r>
      <w:r>
        <w:rPr>
          <w:rFonts w:hint="eastAsia" w:ascii="仿宋" w:hAnsi="仿宋" w:eastAsia="仿宋" w:cs="仿宋"/>
          <w:sz w:val="30"/>
          <w:szCs w:val="30"/>
        </w:rPr>
        <w:t>实有车辆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</w:t>
      </w:r>
      <w:r>
        <w:rPr>
          <w:rFonts w:hint="eastAsia" w:ascii="仿宋" w:hAnsi="仿宋" w:eastAsia="仿宋" w:cs="仿宋"/>
          <w:sz w:val="30"/>
          <w:szCs w:val="30"/>
        </w:rPr>
        <w:t>辆。</w:t>
      </w:r>
    </w:p>
    <w:p>
      <w:pPr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 xml:space="preserve">    </w:t>
      </w:r>
    </w:p>
    <w:p>
      <w:pPr>
        <w:rPr>
          <w:rFonts w:hint="eastAsia" w:ascii="仿宋" w:hAnsi="仿宋" w:eastAsia="仿宋" w:cs="仿宋"/>
          <w:sz w:val="30"/>
          <w:szCs w:val="30"/>
        </w:rPr>
      </w:pPr>
    </w:p>
    <w:p>
      <w:pPr>
        <w:numPr>
          <w:ilvl w:val="0"/>
          <w:numId w:val="2"/>
        </w:numPr>
        <w:autoSpaceDE w:val="0"/>
        <w:autoSpaceDN w:val="0"/>
        <w:adjustRightInd w:val="0"/>
        <w:ind w:left="198" w:firstLine="600" w:firstLineChars="20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名词解释</w:t>
      </w:r>
    </w:p>
    <w:p>
      <w:pPr>
        <w:autoSpaceDE w:val="0"/>
        <w:autoSpaceDN w:val="0"/>
        <w:adjustRightInd w:val="0"/>
        <w:ind w:left="420" w:leftChars="200" w:firstLine="600" w:firstLineChars="20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1、一般预算收入：省级财政当年拨付的资金。</w:t>
      </w:r>
    </w:p>
    <w:p>
      <w:pPr>
        <w:autoSpaceDE w:val="0"/>
        <w:autoSpaceDN w:val="0"/>
        <w:adjustRightInd w:val="0"/>
        <w:ind w:left="420" w:leftChars="200" w:firstLine="600" w:firstLineChars="20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2、基本支出：为保障机构正常运转，完成日常工作任务，而发生的人员支出和公用支出。</w:t>
      </w:r>
    </w:p>
    <w:p>
      <w:pPr>
        <w:autoSpaceDE w:val="0"/>
        <w:autoSpaceDN w:val="0"/>
        <w:adjustRightInd w:val="0"/>
        <w:ind w:left="420" w:leftChars="200" w:firstLine="600" w:firstLineChars="20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3、项目支出：是指在基本支出之外，为完成特定行政任务和事业发展目标，而发生的支出。</w:t>
      </w:r>
    </w:p>
    <w:p>
      <w:pPr>
        <w:autoSpaceDE w:val="0"/>
        <w:autoSpaceDN w:val="0"/>
        <w:adjustRightInd w:val="0"/>
        <w:ind w:left="420" w:leftChars="200" w:firstLine="600" w:firstLineChars="20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4、机关运行费：是指为保证行政单位（包括参照公务员管理的事业单位）运行，用于购买货物和服务的各项资金。主要包括：办公费、印刷费，水费、电费、邮电费、福利费、日常维修费、办公取暖费、办公物业服务费、公务车运行维护费等。</w:t>
      </w:r>
    </w:p>
    <w:p>
      <w:pPr>
        <w:autoSpaceDE w:val="0"/>
        <w:autoSpaceDN w:val="0"/>
        <w:adjustRightInd w:val="0"/>
        <w:ind w:left="420" w:leftChars="200" w:firstLine="602" w:firstLineChars="200"/>
        <w:jc w:val="left"/>
        <w:rPr>
          <w:rFonts w:hint="eastAsia"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九、其他需要说明的事项</w:t>
      </w:r>
    </w:p>
    <w:p>
      <w:pPr>
        <w:autoSpaceDE w:val="0"/>
        <w:autoSpaceDN w:val="0"/>
        <w:adjustRightInd w:val="0"/>
        <w:ind w:left="420" w:leftChars="200" w:firstLine="600" w:firstLineChars="20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无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</w:p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818F2D"/>
    <w:multiLevelType w:val="singleLevel"/>
    <w:tmpl w:val="58818F2D"/>
    <w:lvl w:ilvl="0" w:tentative="0">
      <w:start w:val="2"/>
      <w:numFmt w:val="decimal"/>
      <w:suff w:val="nothing"/>
      <w:lvlText w:val="%1、"/>
      <w:lvlJc w:val="left"/>
    </w:lvl>
  </w:abstractNum>
  <w:abstractNum w:abstractNumId="1">
    <w:nsid w:val="5881B3F2"/>
    <w:multiLevelType w:val="singleLevel"/>
    <w:tmpl w:val="5881B3F2"/>
    <w:lvl w:ilvl="0" w:tentative="0">
      <w:start w:val="8"/>
      <w:numFmt w:val="chineseCounting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view w:val="web"/>
  <w:zoom w:percent="110"/>
  <w:bordersDoNotSurroundHeader w:val="0"/>
  <w:bordersDoNotSurroundFooter w:val="0"/>
  <w:documentProtection w:enforcement="0"/>
  <w:defaultTabStop w:val="420"/>
  <w:drawingGridHorizontalSpacing w:val="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YjIzODg4NDViZDhkODk5MTIwNTVhZWEyZWZkNDJlZDEifQ=="/>
  </w:docVars>
  <w:rsids>
    <w:rsidRoot w:val="00E3054B"/>
    <w:rsid w:val="005938C4"/>
    <w:rsid w:val="00C22C2A"/>
    <w:rsid w:val="00E3054B"/>
    <w:rsid w:val="014E6F8A"/>
    <w:rsid w:val="026979F7"/>
    <w:rsid w:val="04B92AD2"/>
    <w:rsid w:val="05B6129D"/>
    <w:rsid w:val="05CA39EF"/>
    <w:rsid w:val="05F23A44"/>
    <w:rsid w:val="063E4E73"/>
    <w:rsid w:val="072E117B"/>
    <w:rsid w:val="073F31A7"/>
    <w:rsid w:val="07773D24"/>
    <w:rsid w:val="077A0232"/>
    <w:rsid w:val="07DF4459"/>
    <w:rsid w:val="08F37FD5"/>
    <w:rsid w:val="09B32E65"/>
    <w:rsid w:val="09D744AE"/>
    <w:rsid w:val="0BBC247C"/>
    <w:rsid w:val="0C65512F"/>
    <w:rsid w:val="0C87645C"/>
    <w:rsid w:val="0D1424ED"/>
    <w:rsid w:val="0DF8567E"/>
    <w:rsid w:val="0F0B6C0E"/>
    <w:rsid w:val="0F190E46"/>
    <w:rsid w:val="10DE4F8E"/>
    <w:rsid w:val="110F3146"/>
    <w:rsid w:val="115B30C4"/>
    <w:rsid w:val="116A324B"/>
    <w:rsid w:val="11DF6E61"/>
    <w:rsid w:val="13227483"/>
    <w:rsid w:val="13B77135"/>
    <w:rsid w:val="15245F8B"/>
    <w:rsid w:val="163E6784"/>
    <w:rsid w:val="16674602"/>
    <w:rsid w:val="16774692"/>
    <w:rsid w:val="16C23571"/>
    <w:rsid w:val="17246E82"/>
    <w:rsid w:val="17C25929"/>
    <w:rsid w:val="18DB4A76"/>
    <w:rsid w:val="19382CAC"/>
    <w:rsid w:val="19902620"/>
    <w:rsid w:val="1A5658F8"/>
    <w:rsid w:val="1AE12A2A"/>
    <w:rsid w:val="1B762CF0"/>
    <w:rsid w:val="1B8D3B96"/>
    <w:rsid w:val="1BD0165B"/>
    <w:rsid w:val="1C272042"/>
    <w:rsid w:val="1E4F15D7"/>
    <w:rsid w:val="1F1C0F96"/>
    <w:rsid w:val="1F424713"/>
    <w:rsid w:val="1F6859E2"/>
    <w:rsid w:val="1FA91D8B"/>
    <w:rsid w:val="207B1DBC"/>
    <w:rsid w:val="21831D8E"/>
    <w:rsid w:val="22411CAD"/>
    <w:rsid w:val="243F6A56"/>
    <w:rsid w:val="249A0264"/>
    <w:rsid w:val="24C167D4"/>
    <w:rsid w:val="25287326"/>
    <w:rsid w:val="25BC1216"/>
    <w:rsid w:val="26552AA8"/>
    <w:rsid w:val="295A5696"/>
    <w:rsid w:val="29E13510"/>
    <w:rsid w:val="2AA55415"/>
    <w:rsid w:val="2CCC5F20"/>
    <w:rsid w:val="2CDC5845"/>
    <w:rsid w:val="2D0C0C4B"/>
    <w:rsid w:val="2D8017AD"/>
    <w:rsid w:val="2E461639"/>
    <w:rsid w:val="32091089"/>
    <w:rsid w:val="332B1372"/>
    <w:rsid w:val="334D729D"/>
    <w:rsid w:val="336F44DD"/>
    <w:rsid w:val="33AF3005"/>
    <w:rsid w:val="33D45D21"/>
    <w:rsid w:val="33ED21DB"/>
    <w:rsid w:val="34C0099F"/>
    <w:rsid w:val="3684544E"/>
    <w:rsid w:val="39050745"/>
    <w:rsid w:val="39872AE0"/>
    <w:rsid w:val="39C80ED0"/>
    <w:rsid w:val="3A184B1B"/>
    <w:rsid w:val="3B271D7E"/>
    <w:rsid w:val="3CB06E2D"/>
    <w:rsid w:val="3CE876AD"/>
    <w:rsid w:val="3F46455B"/>
    <w:rsid w:val="3F74482A"/>
    <w:rsid w:val="3FC419CD"/>
    <w:rsid w:val="41886D9F"/>
    <w:rsid w:val="422350FC"/>
    <w:rsid w:val="42430E64"/>
    <w:rsid w:val="43312D5B"/>
    <w:rsid w:val="444D288C"/>
    <w:rsid w:val="445643EB"/>
    <w:rsid w:val="468616FB"/>
    <w:rsid w:val="476D594B"/>
    <w:rsid w:val="484D7C10"/>
    <w:rsid w:val="48BC57E6"/>
    <w:rsid w:val="48CC67B2"/>
    <w:rsid w:val="4A163E58"/>
    <w:rsid w:val="4A7A2D1D"/>
    <w:rsid w:val="4AB44DF5"/>
    <w:rsid w:val="4B003614"/>
    <w:rsid w:val="4BDD5A2A"/>
    <w:rsid w:val="4C4A7DE9"/>
    <w:rsid w:val="4C9108C5"/>
    <w:rsid w:val="4CC633CC"/>
    <w:rsid w:val="4D310C0B"/>
    <w:rsid w:val="4DAE7EA0"/>
    <w:rsid w:val="508D043B"/>
    <w:rsid w:val="51015517"/>
    <w:rsid w:val="51755157"/>
    <w:rsid w:val="52FC70EE"/>
    <w:rsid w:val="539A3F28"/>
    <w:rsid w:val="53D63821"/>
    <w:rsid w:val="541D4D3F"/>
    <w:rsid w:val="546972DB"/>
    <w:rsid w:val="54953FC0"/>
    <w:rsid w:val="55240D7F"/>
    <w:rsid w:val="5543118E"/>
    <w:rsid w:val="56232843"/>
    <w:rsid w:val="57406DCD"/>
    <w:rsid w:val="577A68E3"/>
    <w:rsid w:val="59DC7897"/>
    <w:rsid w:val="5B79651F"/>
    <w:rsid w:val="5B7C3308"/>
    <w:rsid w:val="5C814A76"/>
    <w:rsid w:val="5CEB4C0A"/>
    <w:rsid w:val="5D30024A"/>
    <w:rsid w:val="5E7542EE"/>
    <w:rsid w:val="5EB10F16"/>
    <w:rsid w:val="5FBD0305"/>
    <w:rsid w:val="6372210C"/>
    <w:rsid w:val="65A0719C"/>
    <w:rsid w:val="66026A8D"/>
    <w:rsid w:val="670E5C28"/>
    <w:rsid w:val="672F1649"/>
    <w:rsid w:val="68140D9E"/>
    <w:rsid w:val="698536CB"/>
    <w:rsid w:val="6A6E5B44"/>
    <w:rsid w:val="6A90499F"/>
    <w:rsid w:val="6ADF6F48"/>
    <w:rsid w:val="6AE80D39"/>
    <w:rsid w:val="6D4F64CA"/>
    <w:rsid w:val="6FA33F27"/>
    <w:rsid w:val="70E578B1"/>
    <w:rsid w:val="70EE4D9C"/>
    <w:rsid w:val="71B33558"/>
    <w:rsid w:val="71DC7119"/>
    <w:rsid w:val="72E338BB"/>
    <w:rsid w:val="746A3BEA"/>
    <w:rsid w:val="74C33758"/>
    <w:rsid w:val="75D152D1"/>
    <w:rsid w:val="75FB4537"/>
    <w:rsid w:val="76257DC8"/>
    <w:rsid w:val="77C90C27"/>
    <w:rsid w:val="78615556"/>
    <w:rsid w:val="7B521FC3"/>
    <w:rsid w:val="7B75171B"/>
    <w:rsid w:val="7BB503D6"/>
    <w:rsid w:val="7D227959"/>
    <w:rsid w:val="7D323676"/>
    <w:rsid w:val="7E297246"/>
    <w:rsid w:val="7ECA5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cs="Times New Roman"/>
      <w:sz w:val="18"/>
      <w:szCs w:val="18"/>
    </w:rPr>
  </w:style>
  <w:style w:type="paragraph" w:styleId="3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cs="Times New Roman"/>
      <w:sz w:val="18"/>
      <w:szCs w:val="18"/>
    </w:rPr>
  </w:style>
  <w:style w:type="paragraph" w:styleId="4">
    <w:name w:val="toc 1"/>
    <w:basedOn w:val="1"/>
    <w:next w:val="1"/>
    <w:qFormat/>
    <w:uiPriority w:val="0"/>
    <w:rPr>
      <w:rFonts w:ascii="Times New Roman" w:hAnsi="Times New Roman" w:cs="Times New Roman"/>
      <w:szCs w:val="24"/>
    </w:rPr>
  </w:style>
  <w:style w:type="paragraph" w:styleId="5">
    <w:name w:val="toc 2"/>
    <w:basedOn w:val="1"/>
    <w:next w:val="1"/>
    <w:qFormat/>
    <w:uiPriority w:val="0"/>
    <w:pPr>
      <w:ind w:left="420" w:leftChars="200"/>
    </w:pPr>
    <w:rPr>
      <w:rFonts w:ascii="Times New Roman" w:hAnsi="Times New Roman" w:cs="Times New Roman"/>
      <w:szCs w:val="24"/>
    </w:rPr>
  </w:style>
  <w:style w:type="character" w:styleId="8">
    <w:name w:val="page number"/>
    <w:basedOn w:val="7"/>
    <w:unhideWhenUsed/>
    <w:qFormat/>
    <w:uiPriority w:val="0"/>
  </w:style>
  <w:style w:type="character" w:customStyle="1" w:styleId="9">
    <w:name w:val="页脚 Char"/>
    <w:basedOn w:val="7"/>
    <w:link w:val="2"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0">
    <w:name w:val="页眉 Char"/>
    <w:basedOn w:val="7"/>
    <w:link w:val="3"/>
    <w:qFormat/>
    <w:uiPriority w:val="0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36</Pages>
  <Words>5274</Words>
  <Characters>5645</Characters>
  <Lines>45</Lines>
  <Paragraphs>12</Paragraphs>
  <TotalTime>16</TotalTime>
  <ScaleCrop>false</ScaleCrop>
  <LinksUpToDate>false</LinksUpToDate>
  <CharactersWithSpaces>5696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2017-01-20T01:29:00Z</dcterms:created>
  <dc:creator>guest</dc:creator>
  <cp:lastModifiedBy>Administrator</cp:lastModifiedBy>
  <cp:lastPrinted>2019-06-24T08:22:00Z</cp:lastPrinted>
  <dcterms:modified xsi:type="dcterms:W3CDTF">2023-02-28T03:25:36Z</dcterms:modified>
  <cp:revision>2</cp:revision>
  <dc:title>河北省2017年部门预算信息公开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B6A0FC289B8F437CB6CF064584D13675</vt:lpwstr>
  </property>
</Properties>
</file>