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obfuscatedFont" PartName="/word/fonts/font1.odttf"/>
  <Override ContentType="application/vnd.openxmlformats-officedocument.obfuscatedFont" PartName="/word/fonts/font2.odttf"/>
  <Override ContentType="application/vnd.openxmlformats-officedocument.obfuscatedFont" PartName="/word/fonts/font3.odttf"/>
  <Override ContentType="application/vnd.openxmlformats-officedocument.obfuscatedFont" PartName="/word/fonts/font4.odttf"/>
  <Override ContentType="application/vnd.openxmlformats-officedocument.obfuscatedFont" PartName="/word/fonts/font5.odttf"/>
  <Override ContentType="application/vnd.openxmlformats-officedocument.obfuscatedFont" PartName="/word/fonts/font6.odttf"/>
  <Override ContentType="application/vnd.openxmlformats-officedocument.obfuscatedFont" PartName="/word/fonts/font7.odttf"/>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hint="eastAsia" w:ascii="方正小标宋简体" w:eastAsia="方正小标宋简体" w:cs="方正小标宋简体"/>
          <w:sz w:val="72"/>
          <w:szCs w:val="72"/>
          <w:lang w:bidi="ar-SA"/>
        </w:rPr>
      </w:pPr>
    </w:p>
    <w:p>
      <w:pPr>
        <w:spacing w:line="560" w:lineRule="exact"/>
        <w:jc w:val="center"/>
        <w:rPr>
          <w:rFonts w:hint="eastAsia" w:ascii="方正小标宋简体" w:eastAsia="方正小标宋简体" w:cs="方正小标宋简体"/>
          <w:sz w:val="56"/>
          <w:szCs w:val="56"/>
          <w:lang w:eastAsia="zh-CN" w:bidi="ar-SA"/>
        </w:rPr>
      </w:pPr>
      <w:r>
        <w:rPr>
          <w:rFonts w:hint="eastAsia" w:ascii="方正小标宋简体" w:eastAsia="方正小标宋简体" w:cs="方正小标宋简体"/>
          <w:sz w:val="56"/>
          <w:szCs w:val="56"/>
          <w:lang w:bidi="ar-SA"/>
        </w:rPr>
        <w:t>宁晋县</w:t>
      </w:r>
      <w:r>
        <w:rPr>
          <w:rFonts w:hint="eastAsia" w:ascii="方正小标宋简体" w:eastAsia="方正小标宋简体" w:cs="方正小标宋简体"/>
          <w:sz w:val="56"/>
          <w:szCs w:val="56"/>
          <w:lang w:eastAsia="zh-CN" w:bidi="ar-SA"/>
        </w:rPr>
        <w:t>供销合作社</w:t>
      </w:r>
    </w:p>
    <w:p>
      <w:pPr>
        <w:jc w:val="center"/>
        <w:rPr>
          <w:rFonts w:hint="eastAsia" w:ascii="方正小标宋简体" w:eastAsia="方正小标宋简体" w:cs="方正小标宋简体"/>
          <w:sz w:val="56"/>
          <w:szCs w:val="56"/>
          <w:lang w:bidi="ar-SA"/>
        </w:rPr>
      </w:pPr>
      <w:r>
        <w:rPr>
          <w:rFonts w:hint="eastAsia" w:ascii="方正小标宋简体" w:eastAsia="方正小标宋简体" w:cs="方正小标宋简体"/>
          <w:sz w:val="56"/>
          <w:szCs w:val="56"/>
          <w:lang w:bidi="ar-SA"/>
        </w:rPr>
        <w:t>20</w:t>
      </w:r>
      <w:r>
        <w:rPr>
          <w:rFonts w:hint="eastAsia" w:ascii="方正小标宋简体" w:eastAsia="方正小标宋简体" w:cs="方正小标宋简体"/>
          <w:sz w:val="56"/>
          <w:szCs w:val="56"/>
          <w:lang w:val="en-US" w:eastAsia="zh-CN" w:bidi="ar-SA"/>
        </w:rPr>
        <w:t>22</w:t>
      </w:r>
      <w:r>
        <w:rPr>
          <w:rFonts w:hint="eastAsia" w:ascii="方正小标宋简体" w:eastAsia="方正小标宋简体" w:cs="方正小标宋简体"/>
          <w:sz w:val="56"/>
          <w:szCs w:val="56"/>
          <w:lang w:bidi="ar-SA"/>
        </w:rPr>
        <w:t>年</w:t>
      </w:r>
      <w:r>
        <w:rPr>
          <w:rFonts w:hint="eastAsia" w:ascii="方正小标宋简体" w:eastAsia="方正小标宋简体" w:cs="方正小标宋简体"/>
          <w:sz w:val="56"/>
          <w:szCs w:val="56"/>
          <w:lang w:eastAsia="zh-CN" w:bidi="ar-SA"/>
        </w:rPr>
        <w:t>部门</w:t>
      </w:r>
      <w:r>
        <w:rPr>
          <w:rFonts w:hint="eastAsia" w:ascii="方正小标宋简体" w:eastAsia="方正小标宋简体" w:cs="方正小标宋简体"/>
          <w:sz w:val="56"/>
          <w:szCs w:val="56"/>
          <w:lang w:bidi="ar-SA"/>
        </w:rPr>
        <w:t>预算信息公开</w:t>
      </w:r>
    </w:p>
    <w:p>
      <w:pPr>
        <w:jc w:val="center"/>
        <w:rPr>
          <w:rFonts w:hint="eastAsia" w:ascii="方正小标宋简体" w:eastAsia="方正小标宋简体" w:cs="方正小标宋简体"/>
          <w:sz w:val="52"/>
          <w:szCs w:val="52"/>
          <w:lang w:bidi="ar-SA"/>
        </w:rPr>
      </w:pPr>
    </w:p>
    <w:p>
      <w:pPr>
        <w:jc w:val="center"/>
        <w:rPr>
          <w:rFonts w:hint="eastAsia" w:ascii="方正小标宋简体" w:eastAsia="方正小标宋简体" w:cs="方正小标宋简体"/>
          <w:sz w:val="36"/>
          <w:szCs w:val="36"/>
          <w:lang w:bidi="ar-SA"/>
        </w:rPr>
      </w:pPr>
    </w:p>
    <w:p>
      <w:pPr>
        <w:jc w:val="both"/>
        <w:rPr>
          <w:rFonts w:hint="eastAsia" w:ascii="方正小标宋简体" w:eastAsia="方正小标宋简体" w:cs="方正小标宋简体"/>
          <w:sz w:val="36"/>
          <w:szCs w:val="36"/>
          <w:lang w:bidi="ar-SA"/>
        </w:rPr>
      </w:pPr>
    </w:p>
    <w:p>
      <w:pPr>
        <w:jc w:val="center"/>
        <w:rPr>
          <w:rFonts w:hint="eastAsia" w:ascii="方正小标宋简体" w:eastAsia="方正小标宋简体" w:cs="方正小标宋简体"/>
          <w:sz w:val="36"/>
          <w:szCs w:val="36"/>
          <w:lang w:bidi="ar-SA"/>
        </w:rPr>
      </w:pPr>
    </w:p>
    <w:p>
      <w:pPr>
        <w:jc w:val="center"/>
        <w:rPr>
          <w:rFonts w:hint="eastAsia" w:ascii="方正小标宋简体" w:eastAsia="方正小标宋简体" w:cs="方正小标宋简体"/>
          <w:sz w:val="36"/>
          <w:szCs w:val="36"/>
          <w:lang w:bidi="ar-SA"/>
        </w:rPr>
      </w:pPr>
    </w:p>
    <w:p>
      <w:pPr>
        <w:jc w:val="center"/>
        <w:rPr>
          <w:rFonts w:hint="eastAsia" w:ascii="方正小标宋简体" w:eastAsia="方正小标宋简体" w:cs="方正小标宋简体"/>
          <w:sz w:val="36"/>
          <w:szCs w:val="36"/>
          <w:lang w:bidi="ar-SA"/>
        </w:rPr>
      </w:pPr>
    </w:p>
    <w:p>
      <w:pPr>
        <w:jc w:val="center"/>
        <w:rPr>
          <w:rFonts w:hint="eastAsia" w:ascii="方正小标宋简体" w:eastAsia="方正小标宋简体" w:cs="方正小标宋简体"/>
          <w:sz w:val="36"/>
          <w:szCs w:val="36"/>
          <w:lang w:bidi="ar-SA"/>
        </w:rPr>
      </w:pPr>
    </w:p>
    <w:p>
      <w:pPr>
        <w:jc w:val="center"/>
        <w:rPr>
          <w:rFonts w:hint="eastAsia" w:ascii="方正小标宋简体" w:eastAsia="方正小标宋简体" w:cs="方正小标宋简体"/>
          <w:sz w:val="36"/>
          <w:szCs w:val="36"/>
          <w:lang w:bidi="ar-SA"/>
        </w:rPr>
      </w:pPr>
    </w:p>
    <w:p>
      <w:pPr>
        <w:jc w:val="center"/>
        <w:rPr>
          <w:rFonts w:hint="eastAsia" w:ascii="方正小标宋简体" w:eastAsia="方正小标宋简体" w:cs="方正小标宋简体"/>
          <w:sz w:val="36"/>
          <w:szCs w:val="36"/>
          <w:lang w:bidi="ar-SA"/>
        </w:rPr>
      </w:pPr>
      <w:r>
        <w:rPr>
          <w:rFonts w:hint="eastAsia" w:ascii="方正小标宋简体" w:eastAsia="方正小标宋简体" w:cs="方正小标宋简体"/>
          <w:sz w:val="36"/>
          <w:szCs w:val="36"/>
          <w:lang w:bidi="ar-SA"/>
        </w:rPr>
        <w:t>宁晋县</w:t>
      </w:r>
      <w:r>
        <w:rPr>
          <w:rFonts w:hint="eastAsia" w:ascii="方正小标宋简体" w:eastAsia="方正小标宋简体" w:cs="方正小标宋简体"/>
          <w:sz w:val="36"/>
          <w:szCs w:val="36"/>
          <w:lang w:eastAsia="zh-CN" w:bidi="ar-SA"/>
        </w:rPr>
        <w:t>供销合作社</w:t>
      </w:r>
      <w:r>
        <w:rPr>
          <w:rFonts w:hint="eastAsia" w:ascii="方正小标宋简体" w:eastAsia="方正小标宋简体" w:cs="方正小标宋简体"/>
          <w:sz w:val="36"/>
          <w:szCs w:val="36"/>
          <w:lang w:bidi="ar-SA"/>
        </w:rPr>
        <w:t>编制</w:t>
      </w:r>
    </w:p>
    <w:p>
      <w:pPr>
        <w:spacing w:line="560" w:lineRule="exact"/>
        <w:rPr>
          <w:rFonts w:hint="eastAsia" w:ascii="宋体-方正超大字符集" w:eastAsia="宋体-方正超大字符集" w:cs="宋体-方正超大字符集"/>
          <w:b/>
          <w:bCs/>
          <w:sz w:val="36"/>
          <w:szCs w:val="36"/>
          <w:lang w:bidi="ar-SA"/>
        </w:rPr>
      </w:pPr>
    </w:p>
    <w:p>
      <w:pPr>
        <w:jc w:val="center"/>
        <w:rPr>
          <w:rFonts w:hint="eastAsia" w:ascii="宋体-方正超大字符集" w:eastAsia="宋体-方正超大字符集" w:cs="宋体-方正超大字符集"/>
          <w:b/>
          <w:bCs/>
          <w:sz w:val="36"/>
          <w:szCs w:val="36"/>
          <w:lang w:eastAsia="zh-CN" w:bidi="ar-SA"/>
        </w:rPr>
      </w:pPr>
      <w:r>
        <w:rPr>
          <w:rFonts w:hint="eastAsia" w:ascii="宋体-方正超大字符集" w:eastAsia="宋体-方正超大字符集" w:cs="宋体-方正超大字符集"/>
          <w:b/>
          <w:bCs/>
          <w:sz w:val="36"/>
          <w:szCs w:val="36"/>
          <w:lang w:bidi="ar-SA"/>
        </w:rPr>
        <w:t>宁晋县</w:t>
      </w:r>
      <w:r>
        <w:rPr>
          <w:rFonts w:hint="eastAsia" w:ascii="宋体-方正超大字符集" w:eastAsia="宋体-方正超大字符集" w:cs="宋体-方正超大字符集"/>
          <w:b/>
          <w:bCs/>
          <w:sz w:val="36"/>
          <w:szCs w:val="36"/>
          <w:lang w:eastAsia="zh-CN" w:bidi="ar-SA"/>
        </w:rPr>
        <w:t>供销合作社</w:t>
      </w:r>
    </w:p>
    <w:p>
      <w:pPr>
        <w:jc w:val="center"/>
        <w:rPr>
          <w:rFonts w:hint="eastAsia" w:ascii="宋体-方正超大字符集" w:eastAsia="宋体-方正超大字符集" w:cs="宋体-方正超大字符集"/>
          <w:b/>
          <w:bCs/>
          <w:sz w:val="36"/>
          <w:szCs w:val="36"/>
          <w:lang w:bidi="ar-SA"/>
        </w:rPr>
      </w:pPr>
      <w:r>
        <w:rPr>
          <w:rFonts w:hint="eastAsia" w:ascii="宋体-方正超大字符集" w:eastAsia="宋体-方正超大字符集" w:cs="宋体-方正超大字符集"/>
          <w:b/>
          <w:bCs/>
          <w:sz w:val="36"/>
          <w:szCs w:val="36"/>
          <w:lang w:bidi="ar-SA"/>
        </w:rPr>
        <w:t>20</w:t>
      </w:r>
      <w:r>
        <w:rPr>
          <w:rFonts w:hint="eastAsia" w:ascii="宋体-方正超大字符集" w:eastAsia="宋体-方正超大字符集" w:cs="宋体-方正超大字符集"/>
          <w:b/>
          <w:bCs/>
          <w:sz w:val="36"/>
          <w:szCs w:val="36"/>
          <w:lang w:val="en-US" w:eastAsia="zh-CN" w:bidi="ar-SA"/>
        </w:rPr>
        <w:t>22</w:t>
      </w:r>
      <w:r>
        <w:rPr>
          <w:rFonts w:hint="eastAsia" w:ascii="宋体-方正超大字符集" w:eastAsia="宋体-方正超大字符集" w:cs="宋体-方正超大字符集"/>
          <w:b/>
          <w:bCs/>
          <w:sz w:val="36"/>
          <w:szCs w:val="36"/>
          <w:lang w:bidi="ar-SA"/>
        </w:rPr>
        <w:t>年部门预算信息公开目录</w:t>
      </w:r>
    </w:p>
    <w:p>
      <w:pPr>
        <w:ind w:firstLine="640" w:firstLineChars="200"/>
        <w:jc w:val="center"/>
        <w:rPr>
          <w:rFonts w:hint="eastAsia" w:ascii="黑体" w:hAnsi="黑体" w:eastAsia="黑体" w:cs="黑体"/>
          <w:sz w:val="32"/>
          <w:szCs w:val="32"/>
          <w:lang w:val="en-US" w:eastAsia="zh-CN"/>
        </w:rPr>
      </w:pPr>
      <w:r>
        <w:rPr>
          <w:rFonts w:hint="eastAsia" w:ascii="黑体" w:hAnsi="黑体" w:eastAsia="黑体" w:cs="黑体"/>
          <w:sz w:val="32"/>
          <w:szCs w:val="32"/>
          <w:lang w:eastAsia="zh-CN"/>
        </w:rPr>
        <w:t>第一部分</w:t>
      </w:r>
      <w:r>
        <w:rPr>
          <w:rFonts w:hint="eastAsia" w:ascii="黑体" w:hAnsi="黑体" w:eastAsia="黑体" w:cs="黑体"/>
          <w:sz w:val="32"/>
          <w:szCs w:val="32"/>
          <w:lang w:val="en-US" w:eastAsia="zh-CN"/>
        </w:rPr>
        <w:t xml:space="preserve"> 部门预算</w:t>
      </w:r>
    </w:p>
    <w:p>
      <w:pPr>
        <w:rPr>
          <w:rFonts w:hint="eastAsia" w:ascii="黑体" w:hAnsi="黑体" w:eastAsia="黑体" w:cs="黑体"/>
          <w:sz w:val="32"/>
          <w:szCs w:val="32"/>
        </w:rPr>
      </w:pPr>
      <w:r>
        <w:rPr>
          <w:rFonts w:hint="eastAsia" w:ascii="黑体" w:hAnsi="黑体" w:eastAsia="黑体" w:cs="黑体"/>
          <w:sz w:val="32"/>
          <w:szCs w:val="32"/>
          <w:lang w:val="en-US" w:eastAsia="zh-CN"/>
        </w:rPr>
        <w:t>一、2022年</w:t>
      </w:r>
      <w:r>
        <w:rPr>
          <w:rFonts w:hint="eastAsia" w:ascii="黑体" w:hAnsi="黑体" w:eastAsia="黑体" w:cs="黑体"/>
          <w:sz w:val="32"/>
          <w:szCs w:val="32"/>
        </w:rPr>
        <w:t>部门预算公开表</w:t>
      </w:r>
    </w:p>
    <w:p>
      <w:pPr>
        <w:ind w:firstLine="640" w:firstLineChars="200"/>
        <w:rPr>
          <w:rFonts w:hint="eastAsia" w:ascii="黑体" w:hAnsi="黑体" w:eastAsia="黑体" w:cs="黑体"/>
          <w:sz w:val="32"/>
          <w:szCs w:val="32"/>
        </w:rPr>
      </w:pPr>
      <w:r>
        <w:rPr>
          <w:rFonts w:hint="eastAsia" w:ascii="黑体" w:hAnsi="黑体" w:eastAsia="黑体" w:cs="黑体"/>
          <w:sz w:val="32"/>
          <w:szCs w:val="32"/>
          <w:lang w:val="en-US" w:eastAsia="zh-CN"/>
        </w:rPr>
        <w:t>1、</w:t>
      </w:r>
      <w:r>
        <w:rPr>
          <w:rFonts w:hint="eastAsia" w:ascii="黑体" w:hAnsi="黑体" w:eastAsia="黑体" w:cs="黑体"/>
          <w:sz w:val="32"/>
          <w:szCs w:val="32"/>
        </w:rPr>
        <w:t>部门预算收支总表</w:t>
      </w:r>
    </w:p>
    <w:p>
      <w:pPr>
        <w:ind w:firstLine="640" w:firstLineChars="200"/>
        <w:rPr>
          <w:rFonts w:hint="eastAsia" w:ascii="黑体" w:hAnsi="黑体" w:eastAsia="黑体" w:cs="黑体"/>
          <w:sz w:val="32"/>
          <w:szCs w:val="32"/>
        </w:rPr>
      </w:pPr>
      <w:r>
        <w:rPr>
          <w:rFonts w:hint="eastAsia" w:ascii="黑体" w:hAnsi="黑体" w:eastAsia="黑体" w:cs="黑体"/>
          <w:sz w:val="32"/>
          <w:szCs w:val="32"/>
          <w:lang w:val="en-US" w:eastAsia="zh-CN"/>
        </w:rPr>
        <w:t>2、</w:t>
      </w:r>
      <w:r>
        <w:rPr>
          <w:rFonts w:hint="eastAsia" w:ascii="黑体" w:hAnsi="黑体" w:eastAsia="黑体" w:cs="黑体"/>
          <w:sz w:val="32"/>
          <w:szCs w:val="32"/>
        </w:rPr>
        <w:t>部门预算收入总表</w:t>
      </w:r>
    </w:p>
    <w:p>
      <w:pPr>
        <w:ind w:firstLine="640" w:firstLineChars="200"/>
        <w:rPr>
          <w:rFonts w:hint="eastAsia" w:ascii="黑体" w:hAnsi="黑体" w:eastAsia="黑体" w:cs="黑体"/>
          <w:sz w:val="32"/>
          <w:szCs w:val="32"/>
        </w:rPr>
      </w:pPr>
      <w:r>
        <w:rPr>
          <w:rFonts w:hint="eastAsia" w:ascii="黑体" w:hAnsi="黑体" w:eastAsia="黑体" w:cs="黑体"/>
          <w:sz w:val="32"/>
          <w:szCs w:val="32"/>
          <w:lang w:val="en-US" w:eastAsia="zh-CN"/>
        </w:rPr>
        <w:t>3、</w:t>
      </w:r>
      <w:r>
        <w:rPr>
          <w:rFonts w:hint="eastAsia" w:ascii="黑体" w:hAnsi="黑体" w:eastAsia="黑体" w:cs="黑体"/>
          <w:sz w:val="32"/>
          <w:szCs w:val="32"/>
        </w:rPr>
        <w:t>部门预算支出总表</w:t>
      </w:r>
    </w:p>
    <w:p>
      <w:pPr>
        <w:ind w:firstLine="640" w:firstLineChars="200"/>
        <w:rPr>
          <w:rFonts w:hint="eastAsia" w:ascii="黑体" w:hAnsi="黑体" w:eastAsia="黑体" w:cs="黑体"/>
          <w:sz w:val="32"/>
          <w:szCs w:val="32"/>
        </w:rPr>
      </w:pPr>
      <w:r>
        <w:rPr>
          <w:rFonts w:hint="eastAsia" w:ascii="黑体" w:hAnsi="黑体" w:eastAsia="黑体" w:cs="黑体"/>
          <w:sz w:val="32"/>
          <w:szCs w:val="32"/>
          <w:lang w:val="en-US" w:eastAsia="zh-CN"/>
        </w:rPr>
        <w:t>4、</w:t>
      </w:r>
      <w:r>
        <w:rPr>
          <w:rFonts w:hint="eastAsia" w:ascii="黑体" w:hAnsi="黑体" w:eastAsia="黑体" w:cs="黑体"/>
          <w:sz w:val="32"/>
          <w:szCs w:val="32"/>
        </w:rPr>
        <w:t>部门预算财政拨款收支总表</w:t>
      </w:r>
    </w:p>
    <w:p>
      <w:pPr>
        <w:ind w:firstLine="640" w:firstLineChars="200"/>
        <w:rPr>
          <w:rFonts w:hint="eastAsia" w:ascii="黑体" w:hAnsi="黑体" w:eastAsia="黑体" w:cs="黑体"/>
          <w:sz w:val="32"/>
          <w:szCs w:val="32"/>
        </w:rPr>
      </w:pPr>
      <w:r>
        <w:rPr>
          <w:rFonts w:hint="eastAsia" w:ascii="黑体" w:hAnsi="黑体" w:eastAsia="黑体" w:cs="黑体"/>
          <w:sz w:val="32"/>
          <w:szCs w:val="32"/>
          <w:lang w:val="en-US" w:eastAsia="zh-CN"/>
        </w:rPr>
        <w:t>5、</w:t>
      </w:r>
      <w:r>
        <w:rPr>
          <w:rFonts w:hint="eastAsia" w:ascii="黑体" w:hAnsi="黑体" w:eastAsia="黑体" w:cs="黑体"/>
          <w:sz w:val="32"/>
          <w:szCs w:val="32"/>
        </w:rPr>
        <w:t>部门预算一般公共预算财政拨款支出表</w:t>
      </w:r>
    </w:p>
    <w:p>
      <w:pPr>
        <w:ind w:firstLine="640" w:firstLineChars="200"/>
        <w:rPr>
          <w:rFonts w:hint="eastAsia" w:ascii="黑体" w:hAnsi="黑体" w:eastAsia="黑体" w:cs="黑体"/>
          <w:sz w:val="32"/>
          <w:szCs w:val="32"/>
        </w:rPr>
      </w:pPr>
      <w:r>
        <w:rPr>
          <w:rFonts w:hint="eastAsia" w:ascii="黑体" w:hAnsi="黑体" w:eastAsia="黑体" w:cs="黑体"/>
          <w:sz w:val="32"/>
          <w:szCs w:val="32"/>
          <w:lang w:val="en-US" w:eastAsia="zh-CN"/>
        </w:rPr>
        <w:t>6、</w:t>
      </w:r>
      <w:r>
        <w:rPr>
          <w:rFonts w:hint="eastAsia" w:ascii="黑体" w:hAnsi="黑体" w:eastAsia="黑体" w:cs="黑体"/>
          <w:sz w:val="32"/>
          <w:szCs w:val="32"/>
        </w:rPr>
        <w:t>部门预算一般公共预算财政拨款基本支出表</w:t>
      </w:r>
    </w:p>
    <w:p>
      <w:pPr>
        <w:ind w:firstLine="640" w:firstLineChars="200"/>
        <w:rPr>
          <w:rFonts w:hint="eastAsia" w:ascii="黑体" w:hAnsi="黑体" w:eastAsia="黑体" w:cs="黑体"/>
          <w:sz w:val="32"/>
          <w:szCs w:val="32"/>
        </w:rPr>
      </w:pPr>
      <w:r>
        <w:rPr>
          <w:rFonts w:hint="eastAsia" w:ascii="黑体" w:hAnsi="黑体" w:eastAsia="黑体" w:cs="黑体"/>
          <w:sz w:val="32"/>
          <w:szCs w:val="32"/>
          <w:lang w:val="en-US" w:eastAsia="zh-CN"/>
        </w:rPr>
        <w:t>7、</w:t>
      </w:r>
      <w:r>
        <w:rPr>
          <w:rFonts w:hint="eastAsia" w:ascii="黑体" w:hAnsi="黑体" w:eastAsia="黑体" w:cs="黑体"/>
          <w:sz w:val="32"/>
          <w:szCs w:val="32"/>
        </w:rPr>
        <w:t>部门预算政府基金预算财政拨款支出表</w:t>
      </w:r>
    </w:p>
    <w:p>
      <w:pPr>
        <w:ind w:firstLine="640" w:firstLineChars="200"/>
        <w:rPr>
          <w:rFonts w:hint="eastAsia" w:ascii="黑体" w:hAnsi="黑体" w:eastAsia="黑体" w:cs="黑体"/>
          <w:sz w:val="32"/>
          <w:szCs w:val="32"/>
        </w:rPr>
      </w:pPr>
      <w:r>
        <w:rPr>
          <w:rFonts w:hint="eastAsia" w:ascii="黑体" w:hAnsi="黑体" w:eastAsia="黑体" w:cs="黑体"/>
          <w:sz w:val="32"/>
          <w:szCs w:val="32"/>
          <w:lang w:val="en-US" w:eastAsia="zh-CN"/>
        </w:rPr>
        <w:t>8、</w:t>
      </w:r>
      <w:r>
        <w:rPr>
          <w:rFonts w:hint="eastAsia" w:ascii="黑体" w:hAnsi="黑体" w:eastAsia="黑体" w:cs="黑体"/>
          <w:sz w:val="32"/>
          <w:szCs w:val="32"/>
        </w:rPr>
        <w:t>部门预算国有资本经营预算财政拨款支出表</w:t>
      </w:r>
    </w:p>
    <w:p>
      <w:pPr>
        <w:ind w:firstLine="640" w:firstLineChars="200"/>
        <w:rPr>
          <w:rFonts w:hint="eastAsia" w:ascii="黑体" w:hAnsi="黑体" w:eastAsia="黑体" w:cs="黑体"/>
          <w:sz w:val="32"/>
          <w:szCs w:val="32"/>
        </w:rPr>
      </w:pPr>
      <w:r>
        <w:rPr>
          <w:rFonts w:hint="eastAsia" w:ascii="黑体" w:hAnsi="黑体" w:eastAsia="黑体" w:cs="黑体"/>
          <w:sz w:val="32"/>
          <w:szCs w:val="32"/>
          <w:lang w:val="en-US" w:eastAsia="zh-CN"/>
        </w:rPr>
        <w:t>9、</w:t>
      </w:r>
      <w:r>
        <w:rPr>
          <w:rFonts w:hint="eastAsia" w:ascii="黑体" w:hAnsi="黑体" w:eastAsia="黑体" w:cs="黑体"/>
          <w:sz w:val="32"/>
          <w:szCs w:val="32"/>
        </w:rPr>
        <w:t>部门预算财政拨款“三公”经费支出表</w:t>
      </w:r>
    </w:p>
    <w:p>
      <w:pPr>
        <w:rPr>
          <w:rFonts w:hint="eastAsia" w:ascii="黑体" w:hAnsi="黑体" w:eastAsia="黑体" w:cs="黑体"/>
          <w:sz w:val="32"/>
          <w:szCs w:val="32"/>
        </w:rPr>
      </w:pPr>
      <w:r>
        <w:rPr>
          <w:rFonts w:hint="eastAsia" w:ascii="黑体" w:hAnsi="黑体" w:eastAsia="黑体" w:cs="黑体"/>
          <w:sz w:val="32"/>
          <w:szCs w:val="32"/>
          <w:lang w:val="en-US" w:eastAsia="zh-CN"/>
        </w:rPr>
        <w:t>二、2022年</w:t>
      </w:r>
      <w:r>
        <w:rPr>
          <w:rFonts w:hint="eastAsia" w:ascii="黑体" w:hAnsi="黑体" w:eastAsia="黑体" w:cs="黑体"/>
          <w:sz w:val="32"/>
          <w:szCs w:val="32"/>
        </w:rPr>
        <w:t>部门预算信息公开情况说明</w:t>
      </w:r>
    </w:p>
    <w:p>
      <w:pPr>
        <w:ind w:firstLine="640" w:firstLineChars="200"/>
        <w:rPr>
          <w:rFonts w:hint="eastAsia" w:ascii="黑体" w:hAnsi="黑体" w:eastAsia="黑体" w:cs="黑体"/>
          <w:sz w:val="32"/>
          <w:szCs w:val="32"/>
        </w:rPr>
      </w:pPr>
      <w:r>
        <w:rPr>
          <w:rFonts w:hint="eastAsia" w:ascii="黑体" w:hAnsi="黑体" w:eastAsia="黑体" w:cs="黑体"/>
          <w:sz w:val="32"/>
          <w:szCs w:val="32"/>
          <w:lang w:val="en-US" w:eastAsia="zh-CN"/>
        </w:rPr>
        <w:t>1</w:t>
      </w:r>
      <w:r>
        <w:rPr>
          <w:rFonts w:hint="eastAsia" w:ascii="黑体" w:hAnsi="黑体" w:eastAsia="黑体" w:cs="黑体"/>
          <w:sz w:val="32"/>
          <w:szCs w:val="32"/>
        </w:rPr>
        <w:t>、部门职责及机构设置情况</w:t>
      </w:r>
    </w:p>
    <w:p>
      <w:pPr>
        <w:ind w:firstLine="640"/>
        <w:rPr>
          <w:rFonts w:hint="eastAsia" w:ascii="黑体" w:hAnsi="黑体" w:eastAsia="黑体" w:cs="黑体"/>
          <w:sz w:val="32"/>
          <w:szCs w:val="32"/>
        </w:rPr>
      </w:pPr>
      <w:r>
        <w:rPr>
          <w:rFonts w:hint="eastAsia" w:ascii="黑体" w:hAnsi="黑体" w:eastAsia="黑体" w:cs="黑体"/>
          <w:sz w:val="32"/>
          <w:szCs w:val="32"/>
          <w:lang w:val="en-US" w:eastAsia="zh-CN"/>
        </w:rPr>
        <w:t>2</w:t>
      </w:r>
      <w:r>
        <w:rPr>
          <w:rFonts w:hint="eastAsia" w:ascii="黑体" w:hAnsi="黑体" w:eastAsia="黑体" w:cs="黑体"/>
          <w:sz w:val="32"/>
          <w:szCs w:val="32"/>
        </w:rPr>
        <w:t>、部门预算安排的总体情况</w:t>
      </w:r>
    </w:p>
    <w:p>
      <w:pPr>
        <w:ind w:firstLine="640" w:firstLineChars="200"/>
        <w:rPr>
          <w:rFonts w:hint="eastAsia" w:ascii="黑体" w:hAnsi="黑体" w:eastAsia="黑体" w:cs="黑体"/>
          <w:sz w:val="32"/>
          <w:szCs w:val="32"/>
        </w:rPr>
      </w:pPr>
      <w:r>
        <w:rPr>
          <w:rFonts w:hint="eastAsia" w:ascii="黑体" w:hAnsi="黑体" w:eastAsia="黑体" w:cs="黑体"/>
          <w:sz w:val="32"/>
          <w:szCs w:val="32"/>
          <w:lang w:val="en-US" w:eastAsia="zh-CN"/>
        </w:rPr>
        <w:t>3</w:t>
      </w:r>
      <w:r>
        <w:rPr>
          <w:rFonts w:hint="eastAsia" w:ascii="黑体" w:hAnsi="黑体" w:eastAsia="黑体" w:cs="黑体"/>
          <w:sz w:val="32"/>
          <w:szCs w:val="32"/>
        </w:rPr>
        <w:t>、机关运行经费安排情况</w:t>
      </w:r>
    </w:p>
    <w:p>
      <w:pPr>
        <w:autoSpaceDE w:val="0"/>
        <w:autoSpaceDN w:val="0"/>
        <w:adjustRightInd w:val="0"/>
        <w:ind w:firstLine="640" w:firstLineChars="200"/>
        <w:jc w:val="left"/>
        <w:rPr>
          <w:rFonts w:hint="eastAsia" w:ascii="黑体" w:hAnsi="黑体" w:eastAsia="黑体" w:cs="黑体"/>
          <w:sz w:val="32"/>
          <w:szCs w:val="32"/>
        </w:rPr>
      </w:pPr>
      <w:r>
        <w:rPr>
          <w:rFonts w:hint="eastAsia" w:ascii="黑体" w:hAnsi="黑体" w:eastAsia="黑体" w:cs="黑体"/>
          <w:sz w:val="32"/>
          <w:szCs w:val="32"/>
          <w:lang w:val="en-US" w:eastAsia="zh-CN"/>
        </w:rPr>
        <w:t>4</w:t>
      </w:r>
      <w:r>
        <w:rPr>
          <w:rFonts w:hint="eastAsia" w:ascii="黑体" w:hAnsi="黑体" w:eastAsia="黑体" w:cs="黑体"/>
          <w:sz w:val="32"/>
          <w:szCs w:val="32"/>
        </w:rPr>
        <w:t>、财政拨款“三公”经费预算情况及增减变化原因</w:t>
      </w:r>
    </w:p>
    <w:p>
      <w:pPr>
        <w:autoSpaceDE w:val="0"/>
        <w:autoSpaceDN w:val="0"/>
        <w:adjustRightInd w:val="0"/>
        <w:ind w:firstLine="640" w:firstLineChars="200"/>
        <w:jc w:val="left"/>
        <w:rPr>
          <w:rFonts w:hint="eastAsia" w:ascii="黑体" w:hAnsi="黑体" w:eastAsia="黑体" w:cs="黑体"/>
          <w:sz w:val="32"/>
          <w:szCs w:val="32"/>
        </w:rPr>
      </w:pPr>
      <w:r>
        <w:rPr>
          <w:rFonts w:hint="eastAsia" w:ascii="黑体" w:hAnsi="黑体" w:eastAsia="黑体" w:cs="黑体"/>
          <w:sz w:val="32"/>
          <w:szCs w:val="32"/>
          <w:lang w:val="en-US" w:eastAsia="zh-CN"/>
        </w:rPr>
        <w:t>5</w:t>
      </w:r>
      <w:r>
        <w:rPr>
          <w:rFonts w:hint="eastAsia" w:ascii="黑体" w:hAnsi="黑体" w:eastAsia="黑体" w:cs="黑体"/>
          <w:sz w:val="32"/>
          <w:szCs w:val="32"/>
        </w:rPr>
        <w:t>、预算绩效信息</w:t>
      </w:r>
    </w:p>
    <w:p>
      <w:pPr>
        <w:autoSpaceDE w:val="0"/>
        <w:autoSpaceDN w:val="0"/>
        <w:adjustRightInd w:val="0"/>
        <w:ind w:firstLine="640" w:firstLineChars="200"/>
        <w:jc w:val="left"/>
        <w:rPr>
          <w:rFonts w:hint="eastAsia" w:ascii="黑体" w:hAnsi="黑体" w:eastAsia="黑体" w:cs="黑体"/>
          <w:sz w:val="32"/>
          <w:szCs w:val="32"/>
        </w:rPr>
      </w:pPr>
      <w:r>
        <w:rPr>
          <w:rFonts w:hint="eastAsia" w:ascii="黑体" w:hAnsi="黑体" w:eastAsia="黑体" w:cs="黑体"/>
          <w:sz w:val="32"/>
          <w:szCs w:val="32"/>
          <w:lang w:val="en-US" w:eastAsia="zh-CN"/>
        </w:rPr>
        <w:t>6</w:t>
      </w:r>
      <w:r>
        <w:rPr>
          <w:rFonts w:hint="eastAsia" w:ascii="黑体" w:hAnsi="黑体" w:eastAsia="黑体" w:cs="黑体"/>
          <w:sz w:val="32"/>
          <w:szCs w:val="32"/>
        </w:rPr>
        <w:t>、政府采购预算情况</w:t>
      </w:r>
    </w:p>
    <w:p>
      <w:pPr>
        <w:autoSpaceDE w:val="0"/>
        <w:autoSpaceDN w:val="0"/>
        <w:adjustRightInd w:val="0"/>
        <w:ind w:firstLine="640" w:firstLineChars="200"/>
        <w:jc w:val="left"/>
        <w:rPr>
          <w:rFonts w:hint="eastAsia" w:ascii="黑体" w:hAnsi="黑体" w:eastAsia="黑体" w:cs="黑体"/>
          <w:sz w:val="32"/>
          <w:szCs w:val="32"/>
        </w:rPr>
      </w:pPr>
      <w:r>
        <w:rPr>
          <w:rFonts w:hint="eastAsia" w:ascii="黑体" w:hAnsi="黑体" w:eastAsia="黑体" w:cs="黑体"/>
          <w:sz w:val="32"/>
          <w:szCs w:val="32"/>
          <w:lang w:val="en-US" w:eastAsia="zh-CN"/>
        </w:rPr>
        <w:t>7</w:t>
      </w:r>
      <w:r>
        <w:rPr>
          <w:rFonts w:hint="eastAsia" w:ascii="黑体" w:hAnsi="黑体" w:eastAsia="黑体" w:cs="黑体"/>
          <w:sz w:val="32"/>
          <w:szCs w:val="32"/>
        </w:rPr>
        <w:t>、国有资产信息</w:t>
      </w:r>
    </w:p>
    <w:p>
      <w:pPr>
        <w:autoSpaceDE w:val="0"/>
        <w:autoSpaceDN w:val="0"/>
        <w:adjustRightInd w:val="0"/>
        <w:ind w:firstLine="640" w:firstLineChars="200"/>
        <w:jc w:val="left"/>
        <w:rPr>
          <w:rFonts w:hint="eastAsia" w:ascii="黑体" w:hAnsi="黑体" w:eastAsia="黑体" w:cs="黑体"/>
          <w:sz w:val="32"/>
          <w:szCs w:val="32"/>
        </w:rPr>
      </w:pPr>
      <w:r>
        <w:rPr>
          <w:rFonts w:hint="eastAsia" w:ascii="黑体" w:hAnsi="黑体" w:eastAsia="黑体" w:cs="黑体"/>
          <w:sz w:val="32"/>
          <w:szCs w:val="32"/>
          <w:lang w:val="en-US" w:eastAsia="zh-CN"/>
        </w:rPr>
        <w:t>8</w:t>
      </w:r>
      <w:r>
        <w:rPr>
          <w:rFonts w:hint="eastAsia" w:ascii="黑体" w:hAnsi="黑体" w:eastAsia="黑体" w:cs="黑体"/>
          <w:sz w:val="32"/>
          <w:szCs w:val="32"/>
        </w:rPr>
        <w:t>、名词解释</w:t>
      </w:r>
    </w:p>
    <w:p>
      <w:pPr>
        <w:autoSpaceDE w:val="0"/>
        <w:autoSpaceDN w:val="0"/>
        <w:adjustRightInd w:val="0"/>
        <w:ind w:firstLine="640" w:firstLineChars="200"/>
        <w:jc w:val="left"/>
        <w:rPr>
          <w:rFonts w:hint="eastAsia" w:ascii="黑体" w:hAnsi="黑体" w:eastAsia="黑体" w:cs="黑体"/>
          <w:sz w:val="32"/>
          <w:szCs w:val="32"/>
        </w:rPr>
      </w:pPr>
      <w:r>
        <w:rPr>
          <w:rFonts w:hint="eastAsia" w:ascii="黑体" w:hAnsi="黑体" w:eastAsia="黑体" w:cs="黑体"/>
          <w:sz w:val="32"/>
          <w:szCs w:val="32"/>
          <w:lang w:val="en-US" w:eastAsia="zh-CN"/>
        </w:rPr>
        <w:t>9</w:t>
      </w:r>
      <w:r>
        <w:rPr>
          <w:rFonts w:hint="eastAsia" w:ascii="黑体" w:hAnsi="黑体" w:eastAsia="黑体" w:cs="黑体"/>
          <w:sz w:val="32"/>
          <w:szCs w:val="32"/>
        </w:rPr>
        <w:t>、其他需要说明的事项</w:t>
      </w:r>
    </w:p>
    <w:p>
      <w:pPr>
        <w:autoSpaceDE w:val="0"/>
        <w:autoSpaceDN w:val="0"/>
        <w:adjustRightInd w:val="0"/>
        <w:ind w:firstLine="640" w:firstLineChars="200"/>
        <w:jc w:val="center"/>
        <w:rPr>
          <w:rFonts w:hint="eastAsia" w:ascii="黑体" w:hAnsi="黑体" w:eastAsia="黑体" w:cs="黑体"/>
          <w:sz w:val="32"/>
          <w:szCs w:val="32"/>
          <w:lang w:val="en-US" w:eastAsia="zh-CN"/>
        </w:rPr>
      </w:pPr>
      <w:r>
        <w:rPr>
          <w:rFonts w:hint="eastAsia" w:ascii="黑体" w:hAnsi="黑体" w:eastAsia="黑体" w:cs="黑体"/>
          <w:sz w:val="32"/>
          <w:szCs w:val="32"/>
          <w:lang w:eastAsia="zh-CN"/>
        </w:rPr>
        <w:t>第二部分</w:t>
      </w:r>
      <w:r>
        <w:rPr>
          <w:rFonts w:hint="eastAsia" w:ascii="黑体" w:hAnsi="黑体" w:eastAsia="黑体" w:cs="黑体"/>
          <w:sz w:val="32"/>
          <w:szCs w:val="32"/>
          <w:lang w:val="en-US" w:eastAsia="zh-CN"/>
        </w:rPr>
        <w:t xml:space="preserve"> 部门所属单位预算</w:t>
      </w:r>
    </w:p>
    <w:p>
      <w:pPr>
        <w:autoSpaceDE w:val="0"/>
        <w:autoSpaceDN w:val="0"/>
        <w:adjustRightInd w:val="0"/>
        <w:ind w:firstLine="640" w:firstLineChars="200"/>
        <w:jc w:val="left"/>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一、宁晋县供销合作社本级收支预算</w:t>
      </w:r>
    </w:p>
    <w:p>
      <w:pPr>
        <w:autoSpaceDE w:val="0"/>
        <w:autoSpaceDN w:val="0"/>
        <w:adjustRightInd w:val="0"/>
        <w:ind w:firstLine="640" w:firstLineChars="200"/>
        <w:jc w:val="left"/>
        <w:rPr>
          <w:rFonts w:hint="eastAsia" w:ascii="黑体" w:hAnsi="黑体" w:eastAsia="黑体" w:cs="黑体"/>
          <w:sz w:val="32"/>
          <w:szCs w:val="32"/>
        </w:rPr>
      </w:pPr>
    </w:p>
    <w:p>
      <w:pPr>
        <w:autoSpaceDE w:val="0"/>
        <w:autoSpaceDN w:val="0"/>
        <w:adjustRightInd w:val="0"/>
        <w:ind w:firstLine="640" w:firstLineChars="200"/>
        <w:jc w:val="left"/>
        <w:rPr>
          <w:rFonts w:hint="eastAsia" w:ascii="黑体" w:hAnsi="黑体" w:eastAsia="黑体" w:cs="黑体"/>
          <w:sz w:val="32"/>
          <w:szCs w:val="32"/>
        </w:rPr>
      </w:pPr>
    </w:p>
    <w:p>
      <w:pPr>
        <w:autoSpaceDE w:val="0"/>
        <w:autoSpaceDN w:val="0"/>
        <w:adjustRightInd w:val="0"/>
        <w:ind w:firstLine="640" w:firstLineChars="200"/>
        <w:jc w:val="left"/>
        <w:rPr>
          <w:rFonts w:hint="eastAsia" w:ascii="黑体" w:hAnsi="黑体" w:eastAsia="黑体" w:cs="黑体"/>
          <w:sz w:val="32"/>
          <w:szCs w:val="32"/>
        </w:rPr>
      </w:pPr>
    </w:p>
    <w:tbl>
      <w:tblPr>
        <w:tblStyle w:val="5"/>
        <w:tblW w:w="14173" w:type="dxa"/>
        <w:jc w:val="center"/>
        <w:shd w:val="clear" w:color="auto" w:fill="auto"/>
        <w:tblLayout w:type="fixed"/>
        <w:tblCellMar>
          <w:top w:w="0" w:type="dxa"/>
          <w:left w:w="0" w:type="dxa"/>
          <w:bottom w:w="0" w:type="dxa"/>
          <w:right w:w="0" w:type="dxa"/>
        </w:tblCellMar>
      </w:tblPr>
      <w:tblGrid>
        <w:gridCol w:w="559"/>
        <w:gridCol w:w="3695"/>
        <w:gridCol w:w="975"/>
        <w:gridCol w:w="6414"/>
        <w:gridCol w:w="2530"/>
      </w:tblGrid>
      <w:tr>
        <w:tblPrEx>
          <w:shd w:val="clear" w:color="auto" w:fill="auto"/>
          <w:tblCellMar>
            <w:top w:w="0" w:type="dxa"/>
            <w:left w:w="0" w:type="dxa"/>
            <w:bottom w:w="0" w:type="dxa"/>
            <w:right w:w="0" w:type="dxa"/>
          </w:tblCellMar>
        </w:tblPrEx>
        <w:trPr>
          <w:trHeight w:val="360" w:hRule="atLeast"/>
          <w:jc w:val="center"/>
        </w:trPr>
        <w:tc>
          <w:tcPr>
            <w:tcW w:w="14173" w:type="dxa"/>
            <w:gridSpan w:val="5"/>
            <w:tcBorders>
              <w:top w:val="nil"/>
              <w:left w:val="nil"/>
              <w:bottom w:val="nil"/>
              <w:right w:val="nil"/>
            </w:tcBorders>
            <w:shd w:val="clear" w:color="auto" w:fill="auto"/>
            <w:noWrap/>
            <w:tcMar>
              <w:top w:w="15" w:type="dxa"/>
              <w:left w:w="15" w:type="dxa"/>
              <w:right w:w="15" w:type="dxa"/>
            </w:tcMar>
            <w:vAlign w:val="center"/>
          </w:tcPr>
          <w:p>
            <w:pPr>
              <w:autoSpaceDE w:val="0"/>
              <w:autoSpaceDN w:val="0"/>
              <w:adjustRightInd w:val="0"/>
              <w:ind w:firstLine="640" w:firstLineChars="200"/>
              <w:jc w:val="center"/>
              <w:rPr>
                <w:rFonts w:hint="eastAsia" w:ascii="黑体" w:hAnsi="黑体" w:eastAsia="黑体" w:cs="黑体"/>
                <w:sz w:val="32"/>
                <w:szCs w:val="32"/>
                <w:lang w:val="en-US" w:eastAsia="zh-CN"/>
              </w:rPr>
            </w:pPr>
            <w:r>
              <w:rPr>
                <w:rFonts w:hint="eastAsia" w:ascii="黑体" w:hAnsi="黑体" w:eastAsia="黑体" w:cs="黑体"/>
                <w:sz w:val="32"/>
                <w:szCs w:val="32"/>
                <w:lang w:eastAsia="zh-CN"/>
              </w:rPr>
              <w:t>第二部分</w:t>
            </w:r>
            <w:r>
              <w:rPr>
                <w:rFonts w:hint="eastAsia" w:ascii="黑体" w:hAnsi="黑体" w:eastAsia="黑体" w:cs="黑体"/>
                <w:sz w:val="32"/>
                <w:szCs w:val="32"/>
                <w:lang w:val="en-US" w:eastAsia="zh-CN"/>
              </w:rPr>
              <w:t xml:space="preserve"> 部门所属单位预算</w:t>
            </w:r>
          </w:p>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cs="宋体"/>
                <w:i w:val="0"/>
                <w:color w:val="000000"/>
                <w:kern w:val="0"/>
                <w:sz w:val="28"/>
                <w:szCs w:val="28"/>
                <w:u w:val="none"/>
                <w:lang w:val="en-US" w:eastAsia="zh-CN" w:bidi="ar"/>
              </w:rPr>
              <w:t>部门</w:t>
            </w:r>
            <w:r>
              <w:rPr>
                <w:rFonts w:hint="eastAsia" w:ascii="宋体" w:hAnsi="宋体" w:eastAsia="宋体" w:cs="宋体"/>
                <w:i w:val="0"/>
                <w:color w:val="000000"/>
                <w:kern w:val="0"/>
                <w:sz w:val="28"/>
                <w:szCs w:val="28"/>
                <w:u w:val="none"/>
                <w:lang w:val="en-US" w:eastAsia="zh-CN" w:bidi="ar"/>
              </w:rPr>
              <w:t>预算收支总表</w:t>
            </w:r>
          </w:p>
        </w:tc>
      </w:tr>
      <w:tr>
        <w:tblPrEx>
          <w:shd w:val="clear" w:color="auto" w:fill="auto"/>
          <w:tblCellMar>
            <w:top w:w="0" w:type="dxa"/>
            <w:left w:w="0" w:type="dxa"/>
            <w:bottom w:w="0" w:type="dxa"/>
            <w:right w:w="0" w:type="dxa"/>
          </w:tblCellMar>
        </w:tblPrEx>
        <w:trPr>
          <w:trHeight w:val="360" w:hRule="atLeast"/>
          <w:jc w:val="center"/>
        </w:trPr>
        <w:tc>
          <w:tcPr>
            <w:tcW w:w="5229" w:type="dxa"/>
            <w:gridSpan w:val="3"/>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预算单位编码及名称：[975</w:t>
            </w:r>
            <w:r>
              <w:rPr>
                <w:rFonts w:hint="eastAsia" w:ascii="宋体" w:hAnsi="宋体" w:cs="宋体"/>
                <w:i w:val="0"/>
                <w:color w:val="000000"/>
                <w:kern w:val="0"/>
                <w:sz w:val="22"/>
                <w:szCs w:val="22"/>
                <w:u w:val="none"/>
                <w:lang w:val="en-US" w:eastAsia="zh-CN" w:bidi="ar"/>
              </w:rPr>
              <w:t>001</w:t>
            </w:r>
            <w:r>
              <w:rPr>
                <w:rFonts w:hint="eastAsia" w:ascii="宋体" w:hAnsi="宋体" w:eastAsia="宋体" w:cs="宋体"/>
                <w:i w:val="0"/>
                <w:color w:val="000000"/>
                <w:kern w:val="0"/>
                <w:sz w:val="22"/>
                <w:szCs w:val="22"/>
                <w:u w:val="none"/>
                <w:lang w:val="en-US" w:eastAsia="zh-CN" w:bidi="ar"/>
              </w:rPr>
              <w:t>]宁晋县供销合作社</w:t>
            </w:r>
            <w:r>
              <w:rPr>
                <w:rFonts w:hint="eastAsia" w:ascii="宋体" w:hAnsi="宋体" w:cs="宋体"/>
                <w:i w:val="0"/>
                <w:color w:val="000000"/>
                <w:kern w:val="0"/>
                <w:sz w:val="22"/>
                <w:szCs w:val="22"/>
                <w:u w:val="none"/>
                <w:lang w:val="en-US" w:eastAsia="zh-CN" w:bidi="ar"/>
              </w:rPr>
              <w:t>本级</w:t>
            </w:r>
          </w:p>
        </w:tc>
        <w:tc>
          <w:tcPr>
            <w:tcW w:w="6414" w:type="dxa"/>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2530" w:type="dxa"/>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tblPrEx>
          <w:shd w:val="clear" w:color="auto" w:fill="auto"/>
          <w:tblCellMar>
            <w:top w:w="0" w:type="dxa"/>
            <w:left w:w="0" w:type="dxa"/>
            <w:bottom w:w="0" w:type="dxa"/>
            <w:right w:w="0" w:type="dxa"/>
          </w:tblCellMar>
        </w:tblPrEx>
        <w:trPr>
          <w:trHeight w:val="360" w:hRule="atLeast"/>
          <w:jc w:val="center"/>
        </w:trPr>
        <w:tc>
          <w:tcPr>
            <w:tcW w:w="559"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467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收入</w:t>
            </w:r>
          </w:p>
        </w:tc>
        <w:tc>
          <w:tcPr>
            <w:tcW w:w="8944"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w:t>
            </w:r>
          </w:p>
        </w:tc>
      </w:tr>
      <w:tr>
        <w:tblPrEx>
          <w:shd w:val="clear" w:color="auto" w:fill="auto"/>
          <w:tblCellMar>
            <w:top w:w="0" w:type="dxa"/>
            <w:left w:w="0" w:type="dxa"/>
            <w:bottom w:w="0" w:type="dxa"/>
            <w:right w:w="0" w:type="dxa"/>
          </w:tblCellMar>
        </w:tblPrEx>
        <w:trPr>
          <w:trHeight w:val="360" w:hRule="atLeast"/>
          <w:jc w:val="center"/>
        </w:trPr>
        <w:tc>
          <w:tcPr>
            <w:tcW w:w="559"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64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r>
      <w:tr>
        <w:tblPrEx>
          <w:shd w:val="clear" w:color="auto" w:fill="auto"/>
          <w:tblCellMar>
            <w:top w:w="0" w:type="dxa"/>
            <w:left w:w="0" w:type="dxa"/>
            <w:bottom w:w="0" w:type="dxa"/>
            <w:right w:w="0" w:type="dxa"/>
          </w:tblCellMar>
        </w:tblPrEx>
        <w:trPr>
          <w:trHeight w:val="36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64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一、一般公共预算拨款收入</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580.76</w:t>
            </w:r>
          </w:p>
        </w:tc>
        <w:tc>
          <w:tcPr>
            <w:tcW w:w="64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一、一般公共服务支出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二、政府性基金预算拨款收入</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二、外交支出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三、国有资本经营预算拨款收入</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三、国防支出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四、财政专户管理资金收入</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四、公共安全支出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五、事业收入</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五、教育支出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六、事业单位经营收入</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六、科学技术支出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七、上级补助收入</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七、文化旅游体育与传媒支出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八、附属单位上缴收入</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八、社会保障和就业支出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20.24</w:t>
            </w: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九、其他收入</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九、社会保险基金支出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十、卫生健康支出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十一、节能环保支出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12</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十二、城乡社区支出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十三、农林水支出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十四、交通运输支出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十五、资源勘探工业信息等支出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十六、商业服务业等支出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541.97</w:t>
            </w: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17</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十七、金融支出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十八、援助其他地区支出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十九、自然资源海洋气象等支出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二十、住房保障支出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二十一、粮油物资储备支出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二十二、国有资本经营预算支出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二十三、灾害防治及应急管理支出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24</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二十四、预备费</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25</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二十五、其他支出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26</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二十六、转移性支出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27</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二十七、灾害防治及应急管理共同财政事权转移支付支出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28</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二十八、债务还本支出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29</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二十九、债务付息支出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三十、债务发行费用支出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31</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三十一、抗疫特别国债安排的支出</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32</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本年收入合计</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580.76</w:t>
            </w:r>
          </w:p>
        </w:tc>
        <w:tc>
          <w:tcPr>
            <w:tcW w:w="64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本年支出合计</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580.76</w:t>
            </w: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33</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上年结转结余</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年终结转结余</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34</w:t>
            </w:r>
          </w:p>
        </w:tc>
        <w:tc>
          <w:tcPr>
            <w:tcW w:w="3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收入总计</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580.76</w:t>
            </w:r>
          </w:p>
        </w:tc>
        <w:tc>
          <w:tcPr>
            <w:tcW w:w="64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支出总计</w:t>
            </w:r>
          </w:p>
        </w:tc>
        <w:tc>
          <w:tcPr>
            <w:tcW w:w="2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580.76</w:t>
            </w:r>
          </w:p>
        </w:tc>
      </w:tr>
    </w:tbl>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tbl>
      <w:tblPr>
        <w:tblStyle w:val="5"/>
        <w:tblW w:w="14298" w:type="dxa"/>
        <w:jc w:val="center"/>
        <w:shd w:val="clear" w:color="auto" w:fill="auto"/>
        <w:tblLayout w:type="fixed"/>
        <w:tblCellMar>
          <w:top w:w="0" w:type="dxa"/>
          <w:left w:w="0" w:type="dxa"/>
          <w:bottom w:w="0" w:type="dxa"/>
          <w:right w:w="0" w:type="dxa"/>
        </w:tblCellMar>
      </w:tblPr>
      <w:tblGrid>
        <w:gridCol w:w="424"/>
        <w:gridCol w:w="821"/>
        <w:gridCol w:w="3206"/>
        <w:gridCol w:w="644"/>
        <w:gridCol w:w="644"/>
        <w:gridCol w:w="1219"/>
        <w:gridCol w:w="1218"/>
        <w:gridCol w:w="822"/>
        <w:gridCol w:w="821"/>
        <w:gridCol w:w="1219"/>
        <w:gridCol w:w="1616"/>
        <w:gridCol w:w="820"/>
        <w:gridCol w:w="824"/>
      </w:tblGrid>
      <w:tr>
        <w:tblPrEx>
          <w:shd w:val="clear" w:color="auto" w:fill="auto"/>
          <w:tblCellMar>
            <w:top w:w="0" w:type="dxa"/>
            <w:left w:w="0" w:type="dxa"/>
            <w:bottom w:w="0" w:type="dxa"/>
            <w:right w:w="0" w:type="dxa"/>
          </w:tblCellMar>
        </w:tblPrEx>
        <w:trPr>
          <w:trHeight w:val="360" w:hRule="atLeast"/>
          <w:jc w:val="center"/>
        </w:trPr>
        <w:tc>
          <w:tcPr>
            <w:tcW w:w="14298" w:type="dxa"/>
            <w:gridSpan w:val="13"/>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cs="宋体"/>
                <w:i w:val="0"/>
                <w:color w:val="000000"/>
                <w:kern w:val="0"/>
                <w:sz w:val="28"/>
                <w:szCs w:val="28"/>
                <w:u w:val="none"/>
                <w:lang w:val="en-US" w:eastAsia="zh-CN" w:bidi="ar"/>
              </w:rPr>
              <w:t>部门</w:t>
            </w:r>
            <w:r>
              <w:rPr>
                <w:rFonts w:hint="eastAsia" w:ascii="宋体" w:hAnsi="宋体" w:eastAsia="宋体" w:cs="宋体"/>
                <w:i w:val="0"/>
                <w:color w:val="000000"/>
                <w:kern w:val="0"/>
                <w:sz w:val="28"/>
                <w:szCs w:val="28"/>
                <w:u w:val="none"/>
                <w:lang w:val="en-US" w:eastAsia="zh-CN" w:bidi="ar"/>
              </w:rPr>
              <w:t>预算收入总表</w:t>
            </w:r>
          </w:p>
        </w:tc>
      </w:tr>
      <w:tr>
        <w:tblPrEx>
          <w:shd w:val="clear" w:color="auto" w:fill="auto"/>
          <w:tblCellMar>
            <w:top w:w="0" w:type="dxa"/>
            <w:left w:w="0" w:type="dxa"/>
            <w:bottom w:w="0" w:type="dxa"/>
            <w:right w:w="0" w:type="dxa"/>
          </w:tblCellMar>
        </w:tblPrEx>
        <w:trPr>
          <w:trHeight w:val="360" w:hRule="atLeast"/>
          <w:jc w:val="center"/>
        </w:trPr>
        <w:tc>
          <w:tcPr>
            <w:tcW w:w="9819" w:type="dxa"/>
            <w:gridSpan w:val="9"/>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预算单位编码及名称：[975</w:t>
            </w:r>
            <w:r>
              <w:rPr>
                <w:rFonts w:hint="eastAsia" w:ascii="宋体" w:hAnsi="宋体" w:cs="宋体"/>
                <w:i w:val="0"/>
                <w:color w:val="000000"/>
                <w:kern w:val="0"/>
                <w:sz w:val="22"/>
                <w:szCs w:val="22"/>
                <w:u w:val="none"/>
                <w:lang w:val="en-US" w:eastAsia="zh-CN" w:bidi="ar"/>
              </w:rPr>
              <w:t>001</w:t>
            </w:r>
            <w:r>
              <w:rPr>
                <w:rFonts w:hint="eastAsia" w:ascii="宋体" w:hAnsi="宋体" w:eastAsia="宋体" w:cs="宋体"/>
                <w:i w:val="0"/>
                <w:color w:val="000000"/>
                <w:kern w:val="0"/>
                <w:sz w:val="22"/>
                <w:szCs w:val="22"/>
                <w:u w:val="none"/>
                <w:lang w:val="en-US" w:eastAsia="zh-CN" w:bidi="ar"/>
              </w:rPr>
              <w:t>]宁晋县供销合作社</w:t>
            </w:r>
            <w:r>
              <w:rPr>
                <w:rFonts w:hint="eastAsia" w:ascii="宋体" w:hAnsi="宋体" w:cs="宋体"/>
                <w:i w:val="0"/>
                <w:color w:val="000000"/>
                <w:kern w:val="0"/>
                <w:sz w:val="22"/>
                <w:szCs w:val="22"/>
                <w:u w:val="none"/>
                <w:lang w:val="en-US" w:eastAsia="zh-CN" w:bidi="ar"/>
              </w:rPr>
              <w:t>本级</w:t>
            </w:r>
          </w:p>
        </w:tc>
        <w:tc>
          <w:tcPr>
            <w:tcW w:w="2835" w:type="dxa"/>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1644" w:type="dxa"/>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tblPrEx>
          <w:shd w:val="clear" w:color="auto" w:fill="auto"/>
          <w:tblCellMar>
            <w:top w:w="0" w:type="dxa"/>
            <w:left w:w="0" w:type="dxa"/>
            <w:bottom w:w="0" w:type="dxa"/>
            <w:right w:w="0" w:type="dxa"/>
          </w:tblCellMar>
        </w:tblPrEx>
        <w:trPr>
          <w:trHeight w:val="360" w:hRule="atLeast"/>
          <w:jc w:val="center"/>
        </w:trPr>
        <w:tc>
          <w:tcPr>
            <w:tcW w:w="42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40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w:t>
            </w:r>
          </w:p>
        </w:tc>
        <w:tc>
          <w:tcPr>
            <w:tcW w:w="64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8379"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本年收入</w:t>
            </w:r>
          </w:p>
        </w:tc>
        <w:tc>
          <w:tcPr>
            <w:tcW w:w="82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上年结转</w:t>
            </w:r>
          </w:p>
        </w:tc>
      </w:tr>
      <w:tr>
        <w:tblPrEx>
          <w:shd w:val="clear" w:color="auto" w:fill="auto"/>
          <w:tblCellMar>
            <w:top w:w="0" w:type="dxa"/>
            <w:left w:w="0" w:type="dxa"/>
            <w:bottom w:w="0" w:type="dxa"/>
            <w:right w:w="0" w:type="dxa"/>
          </w:tblCellMar>
        </w:tblPrEx>
        <w:trPr>
          <w:trHeight w:val="360" w:hRule="atLeast"/>
          <w:jc w:val="center"/>
        </w:trPr>
        <w:tc>
          <w:tcPr>
            <w:tcW w:w="42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3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64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财政拨款收入</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财政专户收入</w:t>
            </w:r>
          </w:p>
        </w:tc>
        <w:tc>
          <w:tcPr>
            <w:tcW w:w="8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事业收入</w:t>
            </w: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经营收入</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上级补助收入</w:t>
            </w: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附属单位上缴收入</w:t>
            </w: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其他收入</w:t>
            </w:r>
          </w:p>
        </w:tc>
        <w:tc>
          <w:tcPr>
            <w:tcW w:w="82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trHeight w:val="360" w:hRule="atLeast"/>
          <w:jc w:val="center"/>
        </w:trPr>
        <w:tc>
          <w:tcPr>
            <w:tcW w:w="4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3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8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8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r>
      <w:tr>
        <w:tblPrEx>
          <w:shd w:val="clear" w:color="auto" w:fill="auto"/>
          <w:tblCellMar>
            <w:top w:w="0" w:type="dxa"/>
            <w:left w:w="0" w:type="dxa"/>
            <w:bottom w:w="0" w:type="dxa"/>
            <w:right w:w="0" w:type="dxa"/>
          </w:tblCellMar>
        </w:tblPrEx>
        <w:trPr>
          <w:trHeight w:val="330" w:hRule="atLeast"/>
          <w:jc w:val="center"/>
        </w:trPr>
        <w:tc>
          <w:tcPr>
            <w:tcW w:w="4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w:t>
            </w: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3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合计</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580.76</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580.76</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580.76</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w:t>
            </w: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w:t>
            </w:r>
          </w:p>
        </w:tc>
        <w:tc>
          <w:tcPr>
            <w:tcW w:w="3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社会保障和就业支出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20.24</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20.24</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20.24</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w:t>
            </w: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w:t>
            </w:r>
          </w:p>
        </w:tc>
        <w:tc>
          <w:tcPr>
            <w:tcW w:w="3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行政事业单位养老支出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19.76</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19.76</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19.76</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w:t>
            </w: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2080502</w:t>
            </w:r>
          </w:p>
        </w:tc>
        <w:tc>
          <w:tcPr>
            <w:tcW w:w="3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事业单位离退休</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4.30</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4.30</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4.30</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w:t>
            </w: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2080505</w:t>
            </w:r>
          </w:p>
        </w:tc>
        <w:tc>
          <w:tcPr>
            <w:tcW w:w="3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机关事业单位基本养老保险缴费支出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15.46</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15.46</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15.46</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w:t>
            </w: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20827</w:t>
            </w:r>
          </w:p>
        </w:tc>
        <w:tc>
          <w:tcPr>
            <w:tcW w:w="3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财政对其他社会保险基金的补助</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0.48</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0.48</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0.48</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w:t>
            </w: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2082702</w:t>
            </w:r>
          </w:p>
        </w:tc>
        <w:tc>
          <w:tcPr>
            <w:tcW w:w="3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财政对工伤保险基金的补助</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0.48</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0.48</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0.48</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w:t>
            </w: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w:t>
            </w:r>
          </w:p>
        </w:tc>
        <w:tc>
          <w:tcPr>
            <w:tcW w:w="3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卫生健康支出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w:t>
            </w: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21011</w:t>
            </w:r>
          </w:p>
        </w:tc>
        <w:tc>
          <w:tcPr>
            <w:tcW w:w="3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行政事业单位医疗</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w:t>
            </w: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2101102</w:t>
            </w:r>
          </w:p>
        </w:tc>
        <w:tc>
          <w:tcPr>
            <w:tcW w:w="3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事业单位医疗</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w:t>
            </w: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216</w:t>
            </w:r>
          </w:p>
        </w:tc>
        <w:tc>
          <w:tcPr>
            <w:tcW w:w="3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商业服务业等支出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541.97</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541.97</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541.97</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12</w:t>
            </w: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21602</w:t>
            </w:r>
          </w:p>
        </w:tc>
        <w:tc>
          <w:tcPr>
            <w:tcW w:w="3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商业流通事务</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541.97</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541.97</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541.97</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w:t>
            </w: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2160203</w:t>
            </w:r>
          </w:p>
        </w:tc>
        <w:tc>
          <w:tcPr>
            <w:tcW w:w="3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机关服务</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14.00</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14.00</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14.00</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w:t>
            </w: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2160250</w:t>
            </w:r>
          </w:p>
        </w:tc>
        <w:tc>
          <w:tcPr>
            <w:tcW w:w="3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事业运行</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527.97</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527.97</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527.97</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w:t>
            </w: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w:t>
            </w:r>
          </w:p>
        </w:tc>
        <w:tc>
          <w:tcPr>
            <w:tcW w:w="3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住房保障支出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w:t>
            </w: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22102</w:t>
            </w:r>
          </w:p>
        </w:tc>
        <w:tc>
          <w:tcPr>
            <w:tcW w:w="3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住房改革支出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17</w:t>
            </w: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2210201</w:t>
            </w:r>
          </w:p>
        </w:tc>
        <w:tc>
          <w:tcPr>
            <w:tcW w:w="3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住房公积金</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bl>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tbl>
      <w:tblPr>
        <w:tblStyle w:val="5"/>
        <w:tblW w:w="14648" w:type="dxa"/>
        <w:jc w:val="center"/>
        <w:shd w:val="clear" w:color="auto" w:fill="auto"/>
        <w:tblLayout w:type="fixed"/>
        <w:tblCellMar>
          <w:top w:w="0" w:type="dxa"/>
          <w:left w:w="0" w:type="dxa"/>
          <w:bottom w:w="0" w:type="dxa"/>
          <w:right w:w="0" w:type="dxa"/>
        </w:tblCellMar>
      </w:tblPr>
      <w:tblGrid>
        <w:gridCol w:w="493"/>
        <w:gridCol w:w="955"/>
        <w:gridCol w:w="3724"/>
        <w:gridCol w:w="1416"/>
        <w:gridCol w:w="955"/>
        <w:gridCol w:w="955"/>
        <w:gridCol w:w="955"/>
        <w:gridCol w:w="1647"/>
        <w:gridCol w:w="3548"/>
      </w:tblGrid>
      <w:tr>
        <w:tblPrEx>
          <w:shd w:val="clear" w:color="auto" w:fill="auto"/>
          <w:tblCellMar>
            <w:top w:w="0" w:type="dxa"/>
            <w:left w:w="0" w:type="dxa"/>
            <w:bottom w:w="0" w:type="dxa"/>
            <w:right w:w="0" w:type="dxa"/>
          </w:tblCellMar>
        </w:tblPrEx>
        <w:trPr>
          <w:trHeight w:val="360" w:hRule="atLeast"/>
          <w:jc w:val="center"/>
        </w:trPr>
        <w:tc>
          <w:tcPr>
            <w:tcW w:w="14648" w:type="dxa"/>
            <w:gridSpan w:val="9"/>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cs="宋体"/>
                <w:i w:val="0"/>
                <w:color w:val="000000"/>
                <w:kern w:val="0"/>
                <w:sz w:val="28"/>
                <w:szCs w:val="28"/>
                <w:u w:val="none"/>
                <w:lang w:val="en-US" w:eastAsia="zh-CN" w:bidi="ar"/>
              </w:rPr>
              <w:t>部门</w:t>
            </w:r>
            <w:r>
              <w:rPr>
                <w:rFonts w:hint="eastAsia" w:ascii="宋体" w:hAnsi="宋体" w:eastAsia="宋体" w:cs="宋体"/>
                <w:i w:val="0"/>
                <w:color w:val="000000"/>
                <w:kern w:val="0"/>
                <w:sz w:val="28"/>
                <w:szCs w:val="28"/>
                <w:u w:val="none"/>
                <w:lang w:val="en-US" w:eastAsia="zh-CN" w:bidi="ar"/>
              </w:rPr>
              <w:t>预算支出总表</w:t>
            </w:r>
          </w:p>
        </w:tc>
      </w:tr>
      <w:tr>
        <w:tblPrEx>
          <w:shd w:val="clear" w:color="auto" w:fill="auto"/>
          <w:tblCellMar>
            <w:top w:w="0" w:type="dxa"/>
            <w:left w:w="0" w:type="dxa"/>
            <w:bottom w:w="0" w:type="dxa"/>
            <w:right w:w="0" w:type="dxa"/>
          </w:tblCellMar>
        </w:tblPrEx>
        <w:trPr>
          <w:trHeight w:val="360" w:hRule="atLeast"/>
          <w:jc w:val="center"/>
        </w:trPr>
        <w:tc>
          <w:tcPr>
            <w:tcW w:w="9453" w:type="dxa"/>
            <w:gridSpan w:val="7"/>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预算单位编码及名称：[975</w:t>
            </w:r>
            <w:r>
              <w:rPr>
                <w:rFonts w:hint="eastAsia" w:ascii="宋体" w:hAnsi="宋体" w:cs="宋体"/>
                <w:i w:val="0"/>
                <w:color w:val="000000"/>
                <w:kern w:val="0"/>
                <w:sz w:val="22"/>
                <w:szCs w:val="22"/>
                <w:u w:val="none"/>
                <w:lang w:val="en-US" w:eastAsia="zh-CN" w:bidi="ar"/>
              </w:rPr>
              <w:t>001</w:t>
            </w:r>
            <w:r>
              <w:rPr>
                <w:rFonts w:hint="eastAsia" w:ascii="宋体" w:hAnsi="宋体" w:eastAsia="宋体" w:cs="宋体"/>
                <w:i w:val="0"/>
                <w:color w:val="000000"/>
                <w:kern w:val="0"/>
                <w:sz w:val="22"/>
                <w:szCs w:val="22"/>
                <w:u w:val="none"/>
                <w:lang w:val="en-US" w:eastAsia="zh-CN" w:bidi="ar"/>
              </w:rPr>
              <w:t>]宁晋县供销合作社</w:t>
            </w:r>
            <w:r>
              <w:rPr>
                <w:rFonts w:hint="eastAsia" w:ascii="宋体" w:hAnsi="宋体" w:cs="宋体"/>
                <w:i w:val="0"/>
                <w:color w:val="000000"/>
                <w:kern w:val="0"/>
                <w:sz w:val="22"/>
                <w:szCs w:val="22"/>
                <w:u w:val="none"/>
                <w:lang w:val="en-US" w:eastAsia="zh-CN" w:bidi="ar"/>
              </w:rPr>
              <w:t>本级</w:t>
            </w:r>
          </w:p>
        </w:tc>
        <w:tc>
          <w:tcPr>
            <w:tcW w:w="1647" w:type="dxa"/>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3548" w:type="dxa"/>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tblPrEx>
          <w:shd w:val="clear" w:color="auto" w:fill="auto"/>
          <w:tblCellMar>
            <w:top w:w="0" w:type="dxa"/>
            <w:left w:w="0" w:type="dxa"/>
            <w:bottom w:w="0" w:type="dxa"/>
            <w:right w:w="0" w:type="dxa"/>
          </w:tblCellMar>
        </w:tblPrEx>
        <w:trPr>
          <w:trHeight w:val="360" w:hRule="atLeast"/>
          <w:jc w:val="center"/>
        </w:trPr>
        <w:tc>
          <w:tcPr>
            <w:tcW w:w="493"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467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支出功能分类科目</w:t>
            </w:r>
          </w:p>
        </w:tc>
        <w:tc>
          <w:tcPr>
            <w:tcW w:w="1416"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本年支出合计</w:t>
            </w:r>
          </w:p>
        </w:tc>
        <w:tc>
          <w:tcPr>
            <w:tcW w:w="955"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955"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c>
          <w:tcPr>
            <w:tcW w:w="955"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经营支出</w:t>
            </w:r>
          </w:p>
        </w:tc>
        <w:tc>
          <w:tcPr>
            <w:tcW w:w="1647"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上缴上级支出</w:t>
            </w:r>
          </w:p>
        </w:tc>
        <w:tc>
          <w:tcPr>
            <w:tcW w:w="3548"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对附属单位补助支出</w:t>
            </w:r>
          </w:p>
        </w:tc>
      </w:tr>
      <w:tr>
        <w:tblPrEx>
          <w:shd w:val="clear" w:color="auto" w:fill="auto"/>
          <w:tblCellMar>
            <w:top w:w="0" w:type="dxa"/>
            <w:left w:w="0" w:type="dxa"/>
            <w:bottom w:w="0" w:type="dxa"/>
            <w:right w:w="0" w:type="dxa"/>
          </w:tblCellMar>
        </w:tblPrEx>
        <w:trPr>
          <w:trHeight w:val="360" w:hRule="atLeast"/>
          <w:jc w:val="center"/>
        </w:trPr>
        <w:tc>
          <w:tcPr>
            <w:tcW w:w="493"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37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416"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55"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55"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55"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647"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548"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60" w:hRule="atLeast"/>
          <w:jc w:val="center"/>
        </w:trPr>
        <w:tc>
          <w:tcPr>
            <w:tcW w:w="4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37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4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16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35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r>
      <w:tr>
        <w:tblPrEx>
          <w:shd w:val="clear" w:color="auto" w:fill="auto"/>
          <w:tblCellMar>
            <w:top w:w="0" w:type="dxa"/>
            <w:left w:w="0" w:type="dxa"/>
            <w:bottom w:w="0" w:type="dxa"/>
            <w:right w:w="0" w:type="dxa"/>
          </w:tblCellMar>
        </w:tblPrEx>
        <w:trPr>
          <w:trHeight w:val="330" w:hRule="atLeast"/>
          <w:jc w:val="center"/>
        </w:trPr>
        <w:tc>
          <w:tcPr>
            <w:tcW w:w="4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37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合计</w:t>
            </w:r>
          </w:p>
        </w:tc>
        <w:tc>
          <w:tcPr>
            <w:tcW w:w="14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580.76</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180.95</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399.81</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5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jc w:val="center"/>
        </w:trPr>
        <w:tc>
          <w:tcPr>
            <w:tcW w:w="4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w:t>
            </w:r>
          </w:p>
        </w:tc>
        <w:tc>
          <w:tcPr>
            <w:tcW w:w="37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社会保障和就业支出</w:t>
            </w:r>
          </w:p>
        </w:tc>
        <w:tc>
          <w:tcPr>
            <w:tcW w:w="14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20.24</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20.24</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5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w:t>
            </w:r>
          </w:p>
        </w:tc>
        <w:tc>
          <w:tcPr>
            <w:tcW w:w="37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行政事业单位养老支出</w:t>
            </w:r>
          </w:p>
        </w:tc>
        <w:tc>
          <w:tcPr>
            <w:tcW w:w="14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19.76</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19.76</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5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2080502</w:t>
            </w:r>
          </w:p>
        </w:tc>
        <w:tc>
          <w:tcPr>
            <w:tcW w:w="37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事业单位离退休</w:t>
            </w:r>
          </w:p>
        </w:tc>
        <w:tc>
          <w:tcPr>
            <w:tcW w:w="14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4.30</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4.30</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5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jc w:val="center"/>
        </w:trPr>
        <w:tc>
          <w:tcPr>
            <w:tcW w:w="4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2080505</w:t>
            </w:r>
          </w:p>
        </w:tc>
        <w:tc>
          <w:tcPr>
            <w:tcW w:w="37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机关事业单位基本养老保险缴费支出</w:t>
            </w:r>
          </w:p>
        </w:tc>
        <w:tc>
          <w:tcPr>
            <w:tcW w:w="14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15.46</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15.46</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5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jc w:val="center"/>
        </w:trPr>
        <w:tc>
          <w:tcPr>
            <w:tcW w:w="4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20827</w:t>
            </w:r>
          </w:p>
        </w:tc>
        <w:tc>
          <w:tcPr>
            <w:tcW w:w="37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财政对其他社会保险基金的补助</w:t>
            </w:r>
          </w:p>
        </w:tc>
        <w:tc>
          <w:tcPr>
            <w:tcW w:w="14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0.48</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0.48</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5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jc w:val="center"/>
        </w:trPr>
        <w:tc>
          <w:tcPr>
            <w:tcW w:w="4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2082702</w:t>
            </w:r>
          </w:p>
        </w:tc>
        <w:tc>
          <w:tcPr>
            <w:tcW w:w="37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财政对工伤保险基金的补助</w:t>
            </w:r>
          </w:p>
        </w:tc>
        <w:tc>
          <w:tcPr>
            <w:tcW w:w="14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0.48</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0.48</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5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w:t>
            </w:r>
          </w:p>
        </w:tc>
        <w:tc>
          <w:tcPr>
            <w:tcW w:w="37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卫生健康支出</w:t>
            </w:r>
          </w:p>
        </w:tc>
        <w:tc>
          <w:tcPr>
            <w:tcW w:w="14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5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21011</w:t>
            </w:r>
          </w:p>
        </w:tc>
        <w:tc>
          <w:tcPr>
            <w:tcW w:w="37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行政事业单位医疗</w:t>
            </w:r>
          </w:p>
        </w:tc>
        <w:tc>
          <w:tcPr>
            <w:tcW w:w="14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5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2101102</w:t>
            </w:r>
          </w:p>
        </w:tc>
        <w:tc>
          <w:tcPr>
            <w:tcW w:w="37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事业单位医疗</w:t>
            </w:r>
          </w:p>
        </w:tc>
        <w:tc>
          <w:tcPr>
            <w:tcW w:w="14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5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216</w:t>
            </w:r>
          </w:p>
        </w:tc>
        <w:tc>
          <w:tcPr>
            <w:tcW w:w="37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商业服务业等支出</w:t>
            </w:r>
          </w:p>
        </w:tc>
        <w:tc>
          <w:tcPr>
            <w:tcW w:w="14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541.97</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142.16</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399.81</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5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12</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21602</w:t>
            </w:r>
          </w:p>
        </w:tc>
        <w:tc>
          <w:tcPr>
            <w:tcW w:w="37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商业流通事务</w:t>
            </w:r>
          </w:p>
        </w:tc>
        <w:tc>
          <w:tcPr>
            <w:tcW w:w="14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541.97</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142.16</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399.81</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5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2160203</w:t>
            </w:r>
          </w:p>
        </w:tc>
        <w:tc>
          <w:tcPr>
            <w:tcW w:w="37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机关服务</w:t>
            </w:r>
          </w:p>
        </w:tc>
        <w:tc>
          <w:tcPr>
            <w:tcW w:w="14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14.00</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14.00</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5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2160250</w:t>
            </w:r>
          </w:p>
        </w:tc>
        <w:tc>
          <w:tcPr>
            <w:tcW w:w="37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事业运行</w:t>
            </w:r>
          </w:p>
        </w:tc>
        <w:tc>
          <w:tcPr>
            <w:tcW w:w="14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527.97</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142.16</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385.81</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5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w:t>
            </w:r>
          </w:p>
        </w:tc>
        <w:tc>
          <w:tcPr>
            <w:tcW w:w="37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住房保障支出</w:t>
            </w:r>
          </w:p>
        </w:tc>
        <w:tc>
          <w:tcPr>
            <w:tcW w:w="14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5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22102</w:t>
            </w:r>
          </w:p>
        </w:tc>
        <w:tc>
          <w:tcPr>
            <w:tcW w:w="37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住房改革支出</w:t>
            </w:r>
          </w:p>
        </w:tc>
        <w:tc>
          <w:tcPr>
            <w:tcW w:w="14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5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4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17</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2210201</w:t>
            </w:r>
          </w:p>
        </w:tc>
        <w:tc>
          <w:tcPr>
            <w:tcW w:w="37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住房公积金</w:t>
            </w:r>
          </w:p>
        </w:tc>
        <w:tc>
          <w:tcPr>
            <w:tcW w:w="14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5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bl>
    <w:p>
      <w:pPr>
        <w:numPr>
          <w:ilvl w:val="0"/>
          <w:numId w:val="0"/>
        </w:numPr>
        <w:autoSpaceDE w:val="0"/>
        <w:autoSpaceDN w:val="0"/>
        <w:adjustRightInd w:val="0"/>
        <w:jc w:val="both"/>
        <w:rPr>
          <w:rFonts w:hint="eastAsia" w:ascii="黑体" w:hAnsi="黑体" w:eastAsia="黑体" w:cs="黑体"/>
          <w:sz w:val="32"/>
          <w:szCs w:val="32"/>
          <w:lang w:val="en-US" w:eastAsia="zh-CN"/>
        </w:rPr>
      </w:pPr>
    </w:p>
    <w:tbl>
      <w:tblPr>
        <w:tblStyle w:val="5"/>
        <w:tblW w:w="14407" w:type="dxa"/>
        <w:jc w:val="center"/>
        <w:shd w:val="clear" w:color="auto" w:fill="auto"/>
        <w:tblLayout w:type="fixed"/>
        <w:tblCellMar>
          <w:top w:w="0" w:type="dxa"/>
          <w:left w:w="0" w:type="dxa"/>
          <w:bottom w:w="0" w:type="dxa"/>
          <w:right w:w="0" w:type="dxa"/>
        </w:tblCellMar>
      </w:tblPr>
      <w:tblGrid>
        <w:gridCol w:w="385"/>
        <w:gridCol w:w="2186"/>
        <w:gridCol w:w="644"/>
        <w:gridCol w:w="4529"/>
        <w:gridCol w:w="644"/>
        <w:gridCol w:w="1826"/>
        <w:gridCol w:w="2007"/>
        <w:gridCol w:w="2186"/>
      </w:tblGrid>
      <w:tr>
        <w:tblPrEx>
          <w:shd w:val="clear" w:color="auto" w:fill="auto"/>
          <w:tblCellMar>
            <w:top w:w="0" w:type="dxa"/>
            <w:left w:w="0" w:type="dxa"/>
            <w:bottom w:w="0" w:type="dxa"/>
            <w:right w:w="0" w:type="dxa"/>
          </w:tblCellMar>
        </w:tblPrEx>
        <w:trPr>
          <w:trHeight w:val="360" w:hRule="atLeast"/>
          <w:jc w:val="center"/>
        </w:trPr>
        <w:tc>
          <w:tcPr>
            <w:tcW w:w="14407"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cs="宋体"/>
                <w:i w:val="0"/>
                <w:color w:val="000000"/>
                <w:kern w:val="0"/>
                <w:sz w:val="28"/>
                <w:szCs w:val="28"/>
                <w:u w:val="none"/>
                <w:lang w:val="en-US" w:eastAsia="zh-CN" w:bidi="ar"/>
              </w:rPr>
              <w:t>部门</w:t>
            </w:r>
            <w:r>
              <w:rPr>
                <w:rFonts w:hint="eastAsia" w:ascii="宋体" w:hAnsi="宋体" w:eastAsia="宋体" w:cs="宋体"/>
                <w:i w:val="0"/>
                <w:color w:val="000000"/>
                <w:kern w:val="0"/>
                <w:sz w:val="28"/>
                <w:szCs w:val="28"/>
                <w:u w:val="none"/>
                <w:lang w:val="en-US" w:eastAsia="zh-CN" w:bidi="ar"/>
              </w:rPr>
              <w:t>预算财政拨款收支总表</w:t>
            </w:r>
          </w:p>
        </w:tc>
      </w:tr>
      <w:tr>
        <w:tblPrEx>
          <w:shd w:val="clear" w:color="auto" w:fill="auto"/>
          <w:tblCellMar>
            <w:top w:w="0" w:type="dxa"/>
            <w:left w:w="0" w:type="dxa"/>
            <w:bottom w:w="0" w:type="dxa"/>
            <w:right w:w="0" w:type="dxa"/>
          </w:tblCellMar>
        </w:tblPrEx>
        <w:trPr>
          <w:trHeight w:val="360" w:hRule="atLeast"/>
          <w:jc w:val="center"/>
        </w:trPr>
        <w:tc>
          <w:tcPr>
            <w:tcW w:w="10214" w:type="dxa"/>
            <w:gridSpan w:val="6"/>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预算单位编码及名称：[975</w:t>
            </w:r>
            <w:r>
              <w:rPr>
                <w:rFonts w:hint="eastAsia" w:ascii="宋体" w:hAnsi="宋体" w:cs="宋体"/>
                <w:i w:val="0"/>
                <w:color w:val="000000"/>
                <w:kern w:val="0"/>
                <w:sz w:val="22"/>
                <w:szCs w:val="22"/>
                <w:u w:val="none"/>
                <w:lang w:val="en-US" w:eastAsia="zh-CN" w:bidi="ar"/>
              </w:rPr>
              <w:t>001</w:t>
            </w:r>
            <w:r>
              <w:rPr>
                <w:rFonts w:hint="eastAsia" w:ascii="宋体" w:hAnsi="宋体" w:eastAsia="宋体" w:cs="宋体"/>
                <w:i w:val="0"/>
                <w:color w:val="000000"/>
                <w:kern w:val="0"/>
                <w:sz w:val="22"/>
                <w:szCs w:val="22"/>
                <w:u w:val="none"/>
                <w:lang w:val="en-US" w:eastAsia="zh-CN" w:bidi="ar"/>
              </w:rPr>
              <w:t>]宁晋县供销合作社</w:t>
            </w:r>
            <w:r>
              <w:rPr>
                <w:rFonts w:hint="eastAsia" w:ascii="宋体" w:hAnsi="宋体" w:cs="宋体"/>
                <w:i w:val="0"/>
                <w:color w:val="000000"/>
                <w:kern w:val="0"/>
                <w:sz w:val="22"/>
                <w:szCs w:val="22"/>
                <w:u w:val="none"/>
                <w:lang w:val="en-US" w:eastAsia="zh-CN" w:bidi="ar"/>
              </w:rPr>
              <w:t>本级</w:t>
            </w:r>
          </w:p>
        </w:tc>
        <w:tc>
          <w:tcPr>
            <w:tcW w:w="2007" w:type="dxa"/>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2186" w:type="dxa"/>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tblPrEx>
          <w:shd w:val="clear" w:color="auto" w:fill="auto"/>
          <w:tblCellMar>
            <w:top w:w="0" w:type="dxa"/>
            <w:left w:w="0" w:type="dxa"/>
            <w:bottom w:w="0" w:type="dxa"/>
            <w:right w:w="0" w:type="dxa"/>
          </w:tblCellMar>
        </w:tblPrEx>
        <w:trPr>
          <w:trHeight w:val="360" w:hRule="atLeast"/>
          <w:jc w:val="center"/>
        </w:trPr>
        <w:tc>
          <w:tcPr>
            <w:tcW w:w="385"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283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收入</w:t>
            </w:r>
          </w:p>
        </w:tc>
        <w:tc>
          <w:tcPr>
            <w:tcW w:w="11192"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w:t>
            </w:r>
          </w:p>
        </w:tc>
      </w:tr>
      <w:tr>
        <w:tblPrEx>
          <w:shd w:val="clear" w:color="auto" w:fill="auto"/>
          <w:tblCellMar>
            <w:top w:w="0" w:type="dxa"/>
            <w:left w:w="0" w:type="dxa"/>
            <w:bottom w:w="0" w:type="dxa"/>
            <w:right w:w="0" w:type="dxa"/>
          </w:tblCellMar>
        </w:tblPrEx>
        <w:trPr>
          <w:trHeight w:val="360" w:hRule="atLeast"/>
          <w:jc w:val="center"/>
        </w:trPr>
        <w:tc>
          <w:tcPr>
            <w:tcW w:w="385"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w:t>
            </w: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一般公共预算财政拨款</w:t>
            </w: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政府性基金预算财政拨款</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国有资本经营预算财政拨款</w:t>
            </w:r>
          </w:p>
        </w:tc>
      </w:tr>
      <w:tr>
        <w:tblPrEx>
          <w:shd w:val="clear" w:color="auto" w:fill="auto"/>
          <w:tblCellMar>
            <w:top w:w="0" w:type="dxa"/>
            <w:left w:w="0" w:type="dxa"/>
            <w:bottom w:w="0" w:type="dxa"/>
            <w:right w:w="0" w:type="dxa"/>
          </w:tblCellMar>
        </w:tblPrEx>
        <w:trPr>
          <w:trHeight w:val="36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一、一般公共预算拨款</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580.76</w:t>
            </w: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一、一般公共服务支出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二、政府性基金预算拨款</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二、外交支出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三、国有资本经营预算拨款</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三、国防支出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四、公共安全支出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五、教育支出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六、科学技术支出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七、文化旅游体育与传媒支出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八、社会保障和就业支出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20.24</w:t>
            </w: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20.24</w:t>
            </w: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九、社会保险基金支出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十、卫生健康支出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十一、节能环保支出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12</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十二、城乡社区支出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十三、农林水支出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十四、交通运输支出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十五、资源勘探工业信息等支出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十六、商业服务业等支出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541.97</w:t>
            </w: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541.97</w:t>
            </w: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17</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十七、金融支出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十八、援助其他地区支出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十九、自然资源海洋气象等支出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二十、住房保障支出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二十一、粮油物资储备支出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二十二、国有资本经营预算支出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二十三、灾害防治及应急管理支出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24</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二十四、预备费</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25</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二十五、其他支出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26</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二十六、转移性支出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27</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二十七、灾害防治及应急管理共同财政事权转移支付支出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28</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二十八、债务还本支出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29</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二十九、债务付息支出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三十、债务发行费用支出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31</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三十一、抗疫特别国债安排的支出</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32</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本年收入合计</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580.76</w:t>
            </w: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本年支出合计</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580.76</w:t>
            </w: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580.76</w:t>
            </w: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33</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年初财政拨款结转和结余</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年末财政拨款结转和结余</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34</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一、一般公共预算拨款</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35</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二、政府性基金预算拨款</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36</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三、国有资本经营预算拨款</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3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37</w:t>
            </w: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收入总计</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580.76</w:t>
            </w:r>
          </w:p>
        </w:tc>
        <w:tc>
          <w:tcPr>
            <w:tcW w:w="4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支出总计</w:t>
            </w:r>
          </w:p>
        </w:tc>
        <w:tc>
          <w:tcPr>
            <w:tcW w:w="6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580.76</w:t>
            </w:r>
          </w:p>
        </w:tc>
        <w:tc>
          <w:tcPr>
            <w:tcW w:w="1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580.76</w:t>
            </w:r>
          </w:p>
        </w:tc>
        <w:tc>
          <w:tcPr>
            <w:tcW w:w="2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bl>
    <w:p>
      <w:pPr>
        <w:numPr>
          <w:ilvl w:val="0"/>
          <w:numId w:val="0"/>
        </w:numPr>
        <w:autoSpaceDE w:val="0"/>
        <w:autoSpaceDN w:val="0"/>
        <w:adjustRightInd w:val="0"/>
        <w:jc w:val="both"/>
        <w:rPr>
          <w:rFonts w:hint="eastAsia" w:ascii="黑体" w:hAnsi="黑体" w:eastAsia="黑体" w:cs="黑体"/>
          <w:sz w:val="32"/>
          <w:szCs w:val="32"/>
          <w:lang w:val="en-US" w:eastAsia="zh-CN"/>
        </w:rPr>
      </w:pPr>
    </w:p>
    <w:tbl>
      <w:tblPr>
        <w:tblStyle w:val="5"/>
        <w:tblW w:w="14173" w:type="dxa"/>
        <w:jc w:val="center"/>
        <w:shd w:val="clear" w:color="auto" w:fill="auto"/>
        <w:tblLayout w:type="fixed"/>
        <w:tblCellMar>
          <w:top w:w="0" w:type="dxa"/>
          <w:left w:w="0" w:type="dxa"/>
          <w:bottom w:w="0" w:type="dxa"/>
          <w:right w:w="0" w:type="dxa"/>
        </w:tblCellMar>
      </w:tblPr>
      <w:tblGrid>
        <w:gridCol w:w="649"/>
        <w:gridCol w:w="1256"/>
        <w:gridCol w:w="4900"/>
        <w:gridCol w:w="889"/>
        <w:gridCol w:w="889"/>
        <w:gridCol w:w="1256"/>
        <w:gridCol w:w="2167"/>
        <w:gridCol w:w="2167"/>
      </w:tblGrid>
      <w:tr>
        <w:tblPrEx>
          <w:shd w:val="clear" w:color="auto" w:fill="auto"/>
          <w:tblCellMar>
            <w:top w:w="0" w:type="dxa"/>
            <w:left w:w="0" w:type="dxa"/>
            <w:bottom w:w="0" w:type="dxa"/>
            <w:right w:w="0" w:type="dxa"/>
          </w:tblCellMar>
        </w:tblPrEx>
        <w:trPr>
          <w:trHeight w:val="360" w:hRule="atLeast"/>
          <w:jc w:val="center"/>
        </w:trPr>
        <w:tc>
          <w:tcPr>
            <w:tcW w:w="14173"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cs="宋体"/>
                <w:i w:val="0"/>
                <w:color w:val="000000"/>
                <w:kern w:val="0"/>
                <w:sz w:val="28"/>
                <w:szCs w:val="28"/>
                <w:u w:val="none"/>
                <w:lang w:val="en-US" w:eastAsia="zh-CN" w:bidi="ar"/>
              </w:rPr>
              <w:t>部门</w:t>
            </w:r>
            <w:r>
              <w:rPr>
                <w:rFonts w:hint="eastAsia" w:ascii="宋体" w:hAnsi="宋体" w:eastAsia="宋体" w:cs="宋体"/>
                <w:i w:val="0"/>
                <w:color w:val="000000"/>
                <w:kern w:val="0"/>
                <w:sz w:val="28"/>
                <w:szCs w:val="28"/>
                <w:u w:val="none"/>
                <w:lang w:val="en-US" w:eastAsia="zh-CN" w:bidi="ar"/>
              </w:rPr>
              <w:t>预算一般公共预算财政拨款支出表</w:t>
            </w:r>
          </w:p>
        </w:tc>
      </w:tr>
      <w:tr>
        <w:tblPrEx>
          <w:shd w:val="clear" w:color="auto" w:fill="auto"/>
          <w:tblCellMar>
            <w:top w:w="0" w:type="dxa"/>
            <w:left w:w="0" w:type="dxa"/>
            <w:bottom w:w="0" w:type="dxa"/>
            <w:right w:w="0" w:type="dxa"/>
          </w:tblCellMar>
        </w:tblPrEx>
        <w:trPr>
          <w:trHeight w:val="360" w:hRule="atLeast"/>
          <w:jc w:val="center"/>
        </w:trPr>
        <w:tc>
          <w:tcPr>
            <w:tcW w:w="9839" w:type="dxa"/>
            <w:gridSpan w:val="6"/>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预算单位编码及名称：[975</w:t>
            </w:r>
            <w:r>
              <w:rPr>
                <w:rFonts w:hint="eastAsia" w:ascii="宋体" w:hAnsi="宋体" w:cs="宋体"/>
                <w:i w:val="0"/>
                <w:color w:val="000000"/>
                <w:kern w:val="0"/>
                <w:sz w:val="22"/>
                <w:szCs w:val="22"/>
                <w:u w:val="none"/>
                <w:lang w:val="en-US" w:eastAsia="zh-CN" w:bidi="ar"/>
              </w:rPr>
              <w:t>001</w:t>
            </w:r>
            <w:r>
              <w:rPr>
                <w:rFonts w:hint="eastAsia" w:ascii="宋体" w:hAnsi="宋体" w:eastAsia="宋体" w:cs="宋体"/>
                <w:i w:val="0"/>
                <w:color w:val="000000"/>
                <w:kern w:val="0"/>
                <w:sz w:val="22"/>
                <w:szCs w:val="22"/>
                <w:u w:val="none"/>
                <w:lang w:val="en-US" w:eastAsia="zh-CN" w:bidi="ar"/>
              </w:rPr>
              <w:t>]宁晋县供销合作社</w:t>
            </w:r>
            <w:r>
              <w:rPr>
                <w:rFonts w:hint="eastAsia" w:ascii="宋体" w:hAnsi="宋体" w:cs="宋体"/>
                <w:i w:val="0"/>
                <w:color w:val="000000"/>
                <w:kern w:val="0"/>
                <w:sz w:val="22"/>
                <w:szCs w:val="22"/>
                <w:u w:val="none"/>
                <w:lang w:val="en-US" w:eastAsia="zh-CN" w:bidi="ar"/>
              </w:rPr>
              <w:t>本级</w:t>
            </w:r>
          </w:p>
        </w:tc>
        <w:tc>
          <w:tcPr>
            <w:tcW w:w="2167" w:type="dxa"/>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2167" w:type="dxa"/>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tblPrEx>
          <w:shd w:val="clear" w:color="auto" w:fill="auto"/>
          <w:tblCellMar>
            <w:top w:w="0" w:type="dxa"/>
            <w:left w:w="0" w:type="dxa"/>
            <w:bottom w:w="0" w:type="dxa"/>
            <w:right w:w="0" w:type="dxa"/>
          </w:tblCellMar>
        </w:tblPrEx>
        <w:trPr>
          <w:trHeight w:val="360" w:hRule="atLeast"/>
          <w:jc w:val="center"/>
        </w:trPr>
        <w:tc>
          <w:tcPr>
            <w:tcW w:w="649"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6156"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支出功能分类科目</w:t>
            </w:r>
          </w:p>
        </w:tc>
        <w:tc>
          <w:tcPr>
            <w:tcW w:w="889"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431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2167"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r>
      <w:tr>
        <w:tblPrEx>
          <w:shd w:val="clear" w:color="auto" w:fill="auto"/>
          <w:tblCellMar>
            <w:top w:w="0" w:type="dxa"/>
            <w:left w:w="0" w:type="dxa"/>
            <w:bottom w:w="0" w:type="dxa"/>
            <w:right w:w="0" w:type="dxa"/>
          </w:tblCellMar>
        </w:tblPrEx>
        <w:trPr>
          <w:trHeight w:val="360" w:hRule="atLeast"/>
          <w:jc w:val="center"/>
        </w:trPr>
        <w:tc>
          <w:tcPr>
            <w:tcW w:w="649"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4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889"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人员经费</w:t>
            </w: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公用经费</w:t>
            </w:r>
          </w:p>
        </w:tc>
        <w:tc>
          <w:tcPr>
            <w:tcW w:w="2167"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trHeight w:val="360"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4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r>
      <w:tr>
        <w:tblPrEx>
          <w:shd w:val="clear" w:color="auto" w:fill="auto"/>
          <w:tblCellMar>
            <w:top w:w="0" w:type="dxa"/>
            <w:left w:w="0" w:type="dxa"/>
            <w:bottom w:w="0" w:type="dxa"/>
            <w:right w:w="0" w:type="dxa"/>
          </w:tblCellMar>
        </w:tblPrEx>
        <w:trPr>
          <w:trHeight w:val="330"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4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合计</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580.76</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180.95</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173.04</w:t>
            </w: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7.91</w:t>
            </w: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399.81</w:t>
            </w:r>
          </w:p>
        </w:tc>
      </w:tr>
      <w:tr>
        <w:tblPrEx>
          <w:shd w:val="clear" w:color="auto" w:fill="auto"/>
          <w:tblCellMar>
            <w:top w:w="0" w:type="dxa"/>
            <w:left w:w="0" w:type="dxa"/>
            <w:bottom w:w="0" w:type="dxa"/>
            <w:right w:w="0" w:type="dxa"/>
          </w:tblCellMar>
        </w:tblPrEx>
        <w:trPr>
          <w:trHeight w:val="330"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w:t>
            </w:r>
          </w:p>
        </w:tc>
        <w:tc>
          <w:tcPr>
            <w:tcW w:w="4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社会保障和就业支出</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20.24</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20.24</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20.24</w:t>
            </w: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w:t>
            </w:r>
          </w:p>
        </w:tc>
        <w:tc>
          <w:tcPr>
            <w:tcW w:w="4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行政事业单位养老支出</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19.76</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19.76</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19.76</w:t>
            </w: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2080502</w:t>
            </w:r>
          </w:p>
        </w:tc>
        <w:tc>
          <w:tcPr>
            <w:tcW w:w="4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事业单位离退休</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4.30</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4.30</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4.30</w:t>
            </w: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2080505</w:t>
            </w:r>
          </w:p>
        </w:tc>
        <w:tc>
          <w:tcPr>
            <w:tcW w:w="4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机关事业单位基本养老保险缴费支出</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15.46</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15.46</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15.46</w:t>
            </w: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20827</w:t>
            </w:r>
          </w:p>
        </w:tc>
        <w:tc>
          <w:tcPr>
            <w:tcW w:w="4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财政对其他社会保险基金的补助</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0.48</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0.48</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0.48</w:t>
            </w: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2082702</w:t>
            </w:r>
          </w:p>
        </w:tc>
        <w:tc>
          <w:tcPr>
            <w:tcW w:w="4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财政对工伤保险基金的补助</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0.48</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0.48</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0.48</w:t>
            </w: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w:t>
            </w:r>
          </w:p>
        </w:tc>
        <w:tc>
          <w:tcPr>
            <w:tcW w:w="4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卫生健康支出</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21011</w:t>
            </w:r>
          </w:p>
        </w:tc>
        <w:tc>
          <w:tcPr>
            <w:tcW w:w="4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行政事业单位医疗</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2101102</w:t>
            </w:r>
          </w:p>
        </w:tc>
        <w:tc>
          <w:tcPr>
            <w:tcW w:w="4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事业单位医疗</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216</w:t>
            </w:r>
          </w:p>
        </w:tc>
        <w:tc>
          <w:tcPr>
            <w:tcW w:w="4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商业服务业等支出</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541.97</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142.16</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134.25</w:t>
            </w: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7.91</w:t>
            </w: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399.81</w:t>
            </w:r>
          </w:p>
        </w:tc>
      </w:tr>
      <w:tr>
        <w:tblPrEx>
          <w:shd w:val="clear" w:color="auto" w:fill="auto"/>
          <w:tblCellMar>
            <w:top w:w="0" w:type="dxa"/>
            <w:left w:w="0" w:type="dxa"/>
            <w:bottom w:w="0" w:type="dxa"/>
            <w:right w:w="0" w:type="dxa"/>
          </w:tblCellMar>
        </w:tblPrEx>
        <w:trPr>
          <w:trHeight w:val="330"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12</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21602</w:t>
            </w:r>
          </w:p>
        </w:tc>
        <w:tc>
          <w:tcPr>
            <w:tcW w:w="4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商业流通事务</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541.97</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142.16</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134.25</w:t>
            </w: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7.91</w:t>
            </w: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399.81</w:t>
            </w:r>
          </w:p>
        </w:tc>
      </w:tr>
      <w:tr>
        <w:tblPrEx>
          <w:shd w:val="clear" w:color="auto" w:fill="auto"/>
          <w:tblCellMar>
            <w:top w:w="0" w:type="dxa"/>
            <w:left w:w="0" w:type="dxa"/>
            <w:bottom w:w="0" w:type="dxa"/>
            <w:right w:w="0" w:type="dxa"/>
          </w:tblCellMar>
        </w:tblPrEx>
        <w:trPr>
          <w:trHeight w:val="330"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2160203</w:t>
            </w:r>
          </w:p>
        </w:tc>
        <w:tc>
          <w:tcPr>
            <w:tcW w:w="4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机关服务</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14.00</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14.00</w:t>
            </w:r>
          </w:p>
        </w:tc>
      </w:tr>
      <w:tr>
        <w:tblPrEx>
          <w:shd w:val="clear" w:color="auto" w:fill="auto"/>
          <w:tblCellMar>
            <w:top w:w="0" w:type="dxa"/>
            <w:left w:w="0" w:type="dxa"/>
            <w:bottom w:w="0" w:type="dxa"/>
            <w:right w:w="0" w:type="dxa"/>
          </w:tblCellMar>
        </w:tblPrEx>
        <w:trPr>
          <w:trHeight w:val="330"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2160250</w:t>
            </w:r>
          </w:p>
        </w:tc>
        <w:tc>
          <w:tcPr>
            <w:tcW w:w="4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事业运行</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527.97</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142.16</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134.25</w:t>
            </w: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7.91</w:t>
            </w: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385.81</w:t>
            </w:r>
          </w:p>
        </w:tc>
      </w:tr>
      <w:tr>
        <w:tblPrEx>
          <w:tblCellMar>
            <w:top w:w="0" w:type="dxa"/>
            <w:left w:w="0" w:type="dxa"/>
            <w:bottom w:w="0" w:type="dxa"/>
            <w:right w:w="0" w:type="dxa"/>
          </w:tblCellMar>
        </w:tblPrEx>
        <w:trPr>
          <w:trHeight w:val="330"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w:t>
            </w:r>
          </w:p>
        </w:tc>
        <w:tc>
          <w:tcPr>
            <w:tcW w:w="4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住房保障支出</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22102</w:t>
            </w:r>
          </w:p>
        </w:tc>
        <w:tc>
          <w:tcPr>
            <w:tcW w:w="4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住房改革支出</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6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17</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2210201</w:t>
            </w:r>
          </w:p>
        </w:tc>
        <w:tc>
          <w:tcPr>
            <w:tcW w:w="4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住房公积金</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bl>
    <w:p>
      <w:pPr>
        <w:numPr>
          <w:ilvl w:val="0"/>
          <w:numId w:val="0"/>
        </w:numPr>
        <w:autoSpaceDE w:val="0"/>
        <w:autoSpaceDN w:val="0"/>
        <w:adjustRightInd w:val="0"/>
        <w:jc w:val="both"/>
        <w:rPr>
          <w:rFonts w:hint="eastAsia" w:ascii="黑体" w:hAnsi="黑体" w:eastAsia="黑体" w:cs="黑体"/>
          <w:sz w:val="32"/>
          <w:szCs w:val="32"/>
          <w:lang w:val="en-US" w:eastAsia="zh-CN"/>
        </w:rPr>
      </w:pPr>
    </w:p>
    <w:tbl>
      <w:tblPr>
        <w:tblStyle w:val="5"/>
        <w:tblW w:w="14174" w:type="dxa"/>
        <w:jc w:val="center"/>
        <w:shd w:val="clear" w:color="auto" w:fill="auto"/>
        <w:tblLayout w:type="fixed"/>
        <w:tblCellMar>
          <w:top w:w="0" w:type="dxa"/>
          <w:left w:w="0" w:type="dxa"/>
          <w:bottom w:w="0" w:type="dxa"/>
          <w:right w:w="0" w:type="dxa"/>
        </w:tblCellMar>
      </w:tblPr>
      <w:tblGrid>
        <w:gridCol w:w="805"/>
        <w:gridCol w:w="1559"/>
        <w:gridCol w:w="5327"/>
        <w:gridCol w:w="1103"/>
        <w:gridCol w:w="2690"/>
        <w:gridCol w:w="2690"/>
      </w:tblGrid>
      <w:tr>
        <w:tblPrEx>
          <w:shd w:val="clear" w:color="auto" w:fill="auto"/>
          <w:tblCellMar>
            <w:top w:w="0" w:type="dxa"/>
            <w:left w:w="0" w:type="dxa"/>
            <w:bottom w:w="0" w:type="dxa"/>
            <w:right w:w="0" w:type="dxa"/>
          </w:tblCellMar>
        </w:tblPrEx>
        <w:trPr>
          <w:trHeight w:val="360" w:hRule="atLeast"/>
          <w:jc w:val="center"/>
        </w:trPr>
        <w:tc>
          <w:tcPr>
            <w:tcW w:w="14174" w:type="dxa"/>
            <w:gridSpan w:val="6"/>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cs="宋体"/>
                <w:i w:val="0"/>
                <w:color w:val="000000"/>
                <w:kern w:val="0"/>
                <w:sz w:val="28"/>
                <w:szCs w:val="28"/>
                <w:u w:val="none"/>
                <w:lang w:val="en-US" w:eastAsia="zh-CN" w:bidi="ar"/>
              </w:rPr>
              <w:t>部门</w:t>
            </w:r>
            <w:r>
              <w:rPr>
                <w:rFonts w:hint="eastAsia" w:ascii="宋体" w:hAnsi="宋体" w:eastAsia="宋体" w:cs="宋体"/>
                <w:i w:val="0"/>
                <w:color w:val="000000"/>
                <w:kern w:val="0"/>
                <w:sz w:val="28"/>
                <w:szCs w:val="28"/>
                <w:u w:val="none"/>
                <w:lang w:val="en-US" w:eastAsia="zh-CN" w:bidi="ar"/>
              </w:rPr>
              <w:t>预算一般公共预算财政拨款基本支出表</w:t>
            </w:r>
          </w:p>
        </w:tc>
      </w:tr>
      <w:tr>
        <w:tblPrEx>
          <w:shd w:val="clear" w:color="auto" w:fill="auto"/>
          <w:tblCellMar>
            <w:top w:w="0" w:type="dxa"/>
            <w:left w:w="0" w:type="dxa"/>
            <w:bottom w:w="0" w:type="dxa"/>
            <w:right w:w="0" w:type="dxa"/>
          </w:tblCellMar>
        </w:tblPrEx>
        <w:trPr>
          <w:trHeight w:val="360" w:hRule="atLeast"/>
          <w:jc w:val="center"/>
        </w:trPr>
        <w:tc>
          <w:tcPr>
            <w:tcW w:w="8794" w:type="dxa"/>
            <w:gridSpan w:val="4"/>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预算单位编码及名称：[975</w:t>
            </w:r>
            <w:r>
              <w:rPr>
                <w:rFonts w:hint="eastAsia" w:ascii="宋体" w:hAnsi="宋体" w:cs="宋体"/>
                <w:i w:val="0"/>
                <w:color w:val="000000"/>
                <w:kern w:val="0"/>
                <w:sz w:val="22"/>
                <w:szCs w:val="22"/>
                <w:u w:val="none"/>
                <w:lang w:val="en-US" w:eastAsia="zh-CN" w:bidi="ar"/>
              </w:rPr>
              <w:t>001</w:t>
            </w:r>
            <w:r>
              <w:rPr>
                <w:rFonts w:hint="eastAsia" w:ascii="宋体" w:hAnsi="宋体" w:eastAsia="宋体" w:cs="宋体"/>
                <w:i w:val="0"/>
                <w:color w:val="000000"/>
                <w:kern w:val="0"/>
                <w:sz w:val="22"/>
                <w:szCs w:val="22"/>
                <w:u w:val="none"/>
                <w:lang w:val="en-US" w:eastAsia="zh-CN" w:bidi="ar"/>
              </w:rPr>
              <w:t>]宁晋县供销合作社</w:t>
            </w:r>
            <w:r>
              <w:rPr>
                <w:rFonts w:hint="eastAsia" w:ascii="宋体" w:hAnsi="宋体" w:cs="宋体"/>
                <w:i w:val="0"/>
                <w:color w:val="000000"/>
                <w:kern w:val="0"/>
                <w:sz w:val="22"/>
                <w:szCs w:val="22"/>
                <w:u w:val="none"/>
                <w:lang w:val="en-US" w:eastAsia="zh-CN" w:bidi="ar"/>
              </w:rPr>
              <w:t>本级</w:t>
            </w:r>
          </w:p>
        </w:tc>
        <w:tc>
          <w:tcPr>
            <w:tcW w:w="269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269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tblPrEx>
          <w:shd w:val="clear" w:color="auto" w:fill="auto"/>
          <w:tblCellMar>
            <w:top w:w="0" w:type="dxa"/>
            <w:left w:w="0" w:type="dxa"/>
            <w:bottom w:w="0" w:type="dxa"/>
            <w:right w:w="0" w:type="dxa"/>
          </w:tblCellMar>
        </w:tblPrEx>
        <w:trPr>
          <w:trHeight w:val="360" w:hRule="atLeast"/>
          <w:jc w:val="center"/>
        </w:trPr>
        <w:tc>
          <w:tcPr>
            <w:tcW w:w="80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688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支出部门经济分类科目</w:t>
            </w:r>
          </w:p>
        </w:tc>
        <w:tc>
          <w:tcPr>
            <w:tcW w:w="648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一般公共预算基本支出</w:t>
            </w:r>
          </w:p>
        </w:tc>
      </w:tr>
      <w:tr>
        <w:tblPrEx>
          <w:shd w:val="clear" w:color="auto" w:fill="auto"/>
          <w:tblCellMar>
            <w:top w:w="0" w:type="dxa"/>
            <w:left w:w="0" w:type="dxa"/>
            <w:bottom w:w="0" w:type="dxa"/>
            <w:right w:w="0" w:type="dxa"/>
          </w:tblCellMar>
        </w:tblPrEx>
        <w:trPr>
          <w:trHeight w:val="360" w:hRule="atLeast"/>
          <w:jc w:val="center"/>
        </w:trPr>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53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人员经费</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公用经费</w:t>
            </w:r>
          </w:p>
        </w:tc>
      </w:tr>
      <w:tr>
        <w:tblPrEx>
          <w:shd w:val="clear" w:color="auto" w:fill="auto"/>
          <w:tblCellMar>
            <w:top w:w="0" w:type="dxa"/>
            <w:left w:w="0" w:type="dxa"/>
            <w:bottom w:w="0" w:type="dxa"/>
            <w:right w:w="0" w:type="dxa"/>
          </w:tblCellMar>
        </w:tblPrEx>
        <w:trPr>
          <w:trHeight w:val="360" w:hRule="atLeast"/>
          <w:jc w:val="center"/>
        </w:trPr>
        <w:tc>
          <w:tcPr>
            <w:tcW w:w="8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53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tblPrEx>
          <w:shd w:val="clear" w:color="auto" w:fill="auto"/>
          <w:tblCellMar>
            <w:top w:w="0" w:type="dxa"/>
            <w:left w:w="0" w:type="dxa"/>
            <w:bottom w:w="0" w:type="dxa"/>
            <w:right w:w="0" w:type="dxa"/>
          </w:tblCellMar>
        </w:tblPrEx>
        <w:trPr>
          <w:trHeight w:val="330" w:hRule="atLeast"/>
          <w:jc w:val="center"/>
        </w:trPr>
        <w:tc>
          <w:tcPr>
            <w:tcW w:w="8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w:t>
            </w:r>
          </w:p>
        </w:tc>
        <w:tc>
          <w:tcPr>
            <w:tcW w:w="1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53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合计</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180.95</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173.04</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7.91</w:t>
            </w:r>
          </w:p>
        </w:tc>
      </w:tr>
      <w:tr>
        <w:tblPrEx>
          <w:shd w:val="clear" w:color="auto" w:fill="auto"/>
          <w:tblCellMar>
            <w:top w:w="0" w:type="dxa"/>
            <w:left w:w="0" w:type="dxa"/>
            <w:bottom w:w="0" w:type="dxa"/>
            <w:right w:w="0" w:type="dxa"/>
          </w:tblCellMar>
        </w:tblPrEx>
        <w:trPr>
          <w:trHeight w:val="330" w:hRule="atLeast"/>
          <w:jc w:val="center"/>
        </w:trPr>
        <w:tc>
          <w:tcPr>
            <w:tcW w:w="8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w:t>
            </w:r>
          </w:p>
        </w:tc>
        <w:tc>
          <w:tcPr>
            <w:tcW w:w="1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w:t>
            </w:r>
          </w:p>
        </w:tc>
        <w:tc>
          <w:tcPr>
            <w:tcW w:w="53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工资福利支出</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139.34</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139.34</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8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w:t>
            </w:r>
          </w:p>
        </w:tc>
        <w:tc>
          <w:tcPr>
            <w:tcW w:w="1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30101</w:t>
            </w:r>
          </w:p>
        </w:tc>
        <w:tc>
          <w:tcPr>
            <w:tcW w:w="53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基本工资</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63.00</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63.00</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8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w:t>
            </w:r>
          </w:p>
        </w:tc>
        <w:tc>
          <w:tcPr>
            <w:tcW w:w="1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30102</w:t>
            </w:r>
          </w:p>
        </w:tc>
        <w:tc>
          <w:tcPr>
            <w:tcW w:w="53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津贴补贴</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31.85</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31.85</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8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w:t>
            </w:r>
          </w:p>
        </w:tc>
        <w:tc>
          <w:tcPr>
            <w:tcW w:w="1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30107</w:t>
            </w:r>
          </w:p>
        </w:tc>
        <w:tc>
          <w:tcPr>
            <w:tcW w:w="53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绩效工资</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39.4</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39.4</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8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w:t>
            </w:r>
          </w:p>
        </w:tc>
        <w:tc>
          <w:tcPr>
            <w:tcW w:w="1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30108</w:t>
            </w:r>
          </w:p>
        </w:tc>
        <w:tc>
          <w:tcPr>
            <w:tcW w:w="53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机关事业单位基本养老保险缴费</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15.46</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15.46</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8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w:t>
            </w:r>
          </w:p>
        </w:tc>
        <w:tc>
          <w:tcPr>
            <w:tcW w:w="1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30110</w:t>
            </w:r>
          </w:p>
        </w:tc>
        <w:tc>
          <w:tcPr>
            <w:tcW w:w="53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城镇职工基本医疗保险缴费</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6.96</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8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w:t>
            </w:r>
          </w:p>
        </w:tc>
        <w:tc>
          <w:tcPr>
            <w:tcW w:w="1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30112</w:t>
            </w:r>
          </w:p>
        </w:tc>
        <w:tc>
          <w:tcPr>
            <w:tcW w:w="53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其他社会保障缴费</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0.48</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0.48</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8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w:t>
            </w:r>
          </w:p>
        </w:tc>
        <w:tc>
          <w:tcPr>
            <w:tcW w:w="1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30113</w:t>
            </w:r>
          </w:p>
        </w:tc>
        <w:tc>
          <w:tcPr>
            <w:tcW w:w="53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住房公积金</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11.59</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0" w:hRule="atLeast"/>
          <w:jc w:val="center"/>
        </w:trPr>
        <w:tc>
          <w:tcPr>
            <w:tcW w:w="8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w:t>
            </w:r>
          </w:p>
        </w:tc>
        <w:tc>
          <w:tcPr>
            <w:tcW w:w="1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w:t>
            </w:r>
          </w:p>
        </w:tc>
        <w:tc>
          <w:tcPr>
            <w:tcW w:w="53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商品和服务支出</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7.91</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7.91</w:t>
            </w:r>
          </w:p>
        </w:tc>
      </w:tr>
      <w:tr>
        <w:tblPrEx>
          <w:shd w:val="clear" w:color="auto" w:fill="auto"/>
          <w:tblCellMar>
            <w:top w:w="0" w:type="dxa"/>
            <w:left w:w="0" w:type="dxa"/>
            <w:bottom w:w="0" w:type="dxa"/>
            <w:right w:w="0" w:type="dxa"/>
          </w:tblCellMar>
        </w:tblPrEx>
        <w:trPr>
          <w:trHeight w:val="330" w:hRule="atLeast"/>
          <w:jc w:val="center"/>
        </w:trPr>
        <w:tc>
          <w:tcPr>
            <w:tcW w:w="8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w:t>
            </w:r>
          </w:p>
        </w:tc>
        <w:tc>
          <w:tcPr>
            <w:tcW w:w="1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30201</w:t>
            </w:r>
          </w:p>
        </w:tc>
        <w:tc>
          <w:tcPr>
            <w:tcW w:w="53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办公费</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3.04</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3.04</w:t>
            </w:r>
          </w:p>
        </w:tc>
      </w:tr>
      <w:tr>
        <w:tblPrEx>
          <w:shd w:val="clear" w:color="auto" w:fill="auto"/>
          <w:tblCellMar>
            <w:top w:w="0" w:type="dxa"/>
            <w:left w:w="0" w:type="dxa"/>
            <w:bottom w:w="0" w:type="dxa"/>
            <w:right w:w="0" w:type="dxa"/>
          </w:tblCellMar>
        </w:tblPrEx>
        <w:trPr>
          <w:trHeight w:val="330" w:hRule="atLeast"/>
          <w:jc w:val="center"/>
        </w:trPr>
        <w:tc>
          <w:tcPr>
            <w:tcW w:w="8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12</w:t>
            </w:r>
          </w:p>
        </w:tc>
        <w:tc>
          <w:tcPr>
            <w:tcW w:w="1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30205</w:t>
            </w:r>
          </w:p>
        </w:tc>
        <w:tc>
          <w:tcPr>
            <w:tcW w:w="53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水费</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0.05</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0.05</w:t>
            </w:r>
          </w:p>
        </w:tc>
      </w:tr>
      <w:tr>
        <w:tblPrEx>
          <w:shd w:val="clear" w:color="auto" w:fill="auto"/>
          <w:tblCellMar>
            <w:top w:w="0" w:type="dxa"/>
            <w:left w:w="0" w:type="dxa"/>
            <w:bottom w:w="0" w:type="dxa"/>
            <w:right w:w="0" w:type="dxa"/>
          </w:tblCellMar>
        </w:tblPrEx>
        <w:trPr>
          <w:trHeight w:val="330" w:hRule="atLeast"/>
          <w:jc w:val="center"/>
        </w:trPr>
        <w:tc>
          <w:tcPr>
            <w:tcW w:w="8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w:t>
            </w:r>
          </w:p>
        </w:tc>
        <w:tc>
          <w:tcPr>
            <w:tcW w:w="1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30206</w:t>
            </w:r>
          </w:p>
        </w:tc>
        <w:tc>
          <w:tcPr>
            <w:tcW w:w="53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电费</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0.09</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0.09</w:t>
            </w:r>
          </w:p>
        </w:tc>
      </w:tr>
      <w:tr>
        <w:tblPrEx>
          <w:shd w:val="clear" w:color="auto" w:fill="auto"/>
          <w:tblCellMar>
            <w:top w:w="0" w:type="dxa"/>
            <w:left w:w="0" w:type="dxa"/>
            <w:bottom w:w="0" w:type="dxa"/>
            <w:right w:w="0" w:type="dxa"/>
          </w:tblCellMar>
        </w:tblPrEx>
        <w:trPr>
          <w:trHeight w:val="330" w:hRule="atLeast"/>
          <w:jc w:val="center"/>
        </w:trPr>
        <w:tc>
          <w:tcPr>
            <w:tcW w:w="8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w:t>
            </w:r>
          </w:p>
        </w:tc>
        <w:tc>
          <w:tcPr>
            <w:tcW w:w="1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30207</w:t>
            </w:r>
          </w:p>
        </w:tc>
        <w:tc>
          <w:tcPr>
            <w:tcW w:w="53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邮电费</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1.50</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1.50</w:t>
            </w:r>
          </w:p>
        </w:tc>
      </w:tr>
      <w:tr>
        <w:tblPrEx>
          <w:shd w:val="clear" w:color="auto" w:fill="auto"/>
          <w:tblCellMar>
            <w:top w:w="0" w:type="dxa"/>
            <w:left w:w="0" w:type="dxa"/>
            <w:bottom w:w="0" w:type="dxa"/>
            <w:right w:w="0" w:type="dxa"/>
          </w:tblCellMar>
        </w:tblPrEx>
        <w:trPr>
          <w:trHeight w:val="330" w:hRule="atLeast"/>
          <w:jc w:val="center"/>
        </w:trPr>
        <w:tc>
          <w:tcPr>
            <w:tcW w:w="8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w:t>
            </w:r>
          </w:p>
        </w:tc>
        <w:tc>
          <w:tcPr>
            <w:tcW w:w="1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30213</w:t>
            </w:r>
          </w:p>
        </w:tc>
        <w:tc>
          <w:tcPr>
            <w:tcW w:w="53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维修(护)费</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0.06</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0.06</w:t>
            </w:r>
          </w:p>
        </w:tc>
      </w:tr>
      <w:tr>
        <w:tblPrEx>
          <w:shd w:val="clear" w:color="auto" w:fill="auto"/>
          <w:tblCellMar>
            <w:top w:w="0" w:type="dxa"/>
            <w:left w:w="0" w:type="dxa"/>
            <w:bottom w:w="0" w:type="dxa"/>
            <w:right w:w="0" w:type="dxa"/>
          </w:tblCellMar>
        </w:tblPrEx>
        <w:trPr>
          <w:trHeight w:val="330" w:hRule="atLeast"/>
          <w:jc w:val="center"/>
        </w:trPr>
        <w:tc>
          <w:tcPr>
            <w:tcW w:w="8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w:t>
            </w:r>
          </w:p>
        </w:tc>
        <w:tc>
          <w:tcPr>
            <w:tcW w:w="1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30228</w:t>
            </w:r>
          </w:p>
        </w:tc>
        <w:tc>
          <w:tcPr>
            <w:tcW w:w="53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工会经费</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1.16</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1.16</w:t>
            </w:r>
          </w:p>
        </w:tc>
      </w:tr>
      <w:tr>
        <w:tblPrEx>
          <w:shd w:val="clear" w:color="auto" w:fill="auto"/>
          <w:tblCellMar>
            <w:top w:w="0" w:type="dxa"/>
            <w:left w:w="0" w:type="dxa"/>
            <w:bottom w:w="0" w:type="dxa"/>
            <w:right w:w="0" w:type="dxa"/>
          </w:tblCellMar>
        </w:tblPrEx>
        <w:trPr>
          <w:trHeight w:val="330" w:hRule="atLeast"/>
          <w:jc w:val="center"/>
        </w:trPr>
        <w:tc>
          <w:tcPr>
            <w:tcW w:w="8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17</w:t>
            </w:r>
          </w:p>
        </w:tc>
        <w:tc>
          <w:tcPr>
            <w:tcW w:w="1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30229</w:t>
            </w:r>
          </w:p>
        </w:tc>
        <w:tc>
          <w:tcPr>
            <w:tcW w:w="53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福利费</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2.01</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2.01</w:t>
            </w:r>
          </w:p>
        </w:tc>
      </w:tr>
      <w:tr>
        <w:tblPrEx>
          <w:tblCellMar>
            <w:top w:w="0" w:type="dxa"/>
            <w:left w:w="0" w:type="dxa"/>
            <w:bottom w:w="0" w:type="dxa"/>
            <w:right w:w="0" w:type="dxa"/>
          </w:tblCellMar>
        </w:tblPrEx>
        <w:trPr>
          <w:trHeight w:val="330" w:hRule="atLeast"/>
          <w:jc w:val="center"/>
        </w:trPr>
        <w:tc>
          <w:tcPr>
            <w:tcW w:w="8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w:t>
            </w:r>
          </w:p>
        </w:tc>
        <w:tc>
          <w:tcPr>
            <w:tcW w:w="1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303</w:t>
            </w:r>
          </w:p>
        </w:tc>
        <w:tc>
          <w:tcPr>
            <w:tcW w:w="53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对个人和家庭的补助</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4.30</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4.30</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jc w:val="center"/>
        </w:trPr>
        <w:tc>
          <w:tcPr>
            <w:tcW w:w="8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w:t>
            </w:r>
          </w:p>
        </w:tc>
        <w:tc>
          <w:tcPr>
            <w:tcW w:w="1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30302</w:t>
            </w:r>
          </w:p>
        </w:tc>
        <w:tc>
          <w:tcPr>
            <w:tcW w:w="53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退休费</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4.30</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4.30</w:t>
            </w:r>
          </w:p>
        </w:tc>
        <w:tc>
          <w:tcPr>
            <w:tcW w:w="2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bl>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tbl>
      <w:tblPr>
        <w:tblStyle w:val="5"/>
        <w:tblW w:w="14173" w:type="dxa"/>
        <w:jc w:val="center"/>
        <w:shd w:val="clear" w:color="auto" w:fill="auto"/>
        <w:tblLayout w:type="fixed"/>
        <w:tblCellMar>
          <w:top w:w="0" w:type="dxa"/>
          <w:left w:w="0" w:type="dxa"/>
          <w:bottom w:w="0" w:type="dxa"/>
          <w:right w:w="0" w:type="dxa"/>
        </w:tblCellMar>
      </w:tblPr>
      <w:tblGrid>
        <w:gridCol w:w="724"/>
        <w:gridCol w:w="6486"/>
        <w:gridCol w:w="1402"/>
        <w:gridCol w:w="723"/>
        <w:gridCol w:w="2419"/>
        <w:gridCol w:w="2419"/>
      </w:tblGrid>
      <w:tr>
        <w:tblPrEx>
          <w:shd w:val="clear" w:color="auto" w:fill="auto"/>
          <w:tblCellMar>
            <w:top w:w="0" w:type="dxa"/>
            <w:left w:w="0" w:type="dxa"/>
            <w:bottom w:w="0" w:type="dxa"/>
            <w:right w:w="0" w:type="dxa"/>
          </w:tblCellMar>
        </w:tblPrEx>
        <w:trPr>
          <w:trHeight w:val="360" w:hRule="atLeast"/>
          <w:jc w:val="center"/>
        </w:trPr>
        <w:tc>
          <w:tcPr>
            <w:tcW w:w="14173" w:type="dxa"/>
            <w:gridSpan w:val="6"/>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cs="宋体"/>
                <w:i w:val="0"/>
                <w:color w:val="000000"/>
                <w:kern w:val="0"/>
                <w:sz w:val="28"/>
                <w:szCs w:val="28"/>
                <w:u w:val="none"/>
                <w:lang w:val="en-US" w:eastAsia="zh-CN" w:bidi="ar"/>
              </w:rPr>
              <w:t>部门</w:t>
            </w:r>
            <w:r>
              <w:rPr>
                <w:rFonts w:hint="eastAsia" w:ascii="宋体" w:hAnsi="宋体" w:eastAsia="宋体" w:cs="宋体"/>
                <w:i w:val="0"/>
                <w:color w:val="000000"/>
                <w:kern w:val="0"/>
                <w:sz w:val="28"/>
                <w:szCs w:val="28"/>
                <w:u w:val="none"/>
                <w:lang w:val="en-US" w:eastAsia="zh-CN" w:bidi="ar"/>
              </w:rPr>
              <w:t>预算政府基金预算财政拨款支出表</w:t>
            </w:r>
          </w:p>
        </w:tc>
      </w:tr>
      <w:tr>
        <w:tblPrEx>
          <w:shd w:val="clear" w:color="auto" w:fill="auto"/>
          <w:tblCellMar>
            <w:top w:w="0" w:type="dxa"/>
            <w:left w:w="0" w:type="dxa"/>
            <w:bottom w:w="0" w:type="dxa"/>
            <w:right w:w="0" w:type="dxa"/>
          </w:tblCellMar>
        </w:tblPrEx>
        <w:trPr>
          <w:trHeight w:val="360" w:hRule="atLeast"/>
          <w:jc w:val="center"/>
        </w:trPr>
        <w:tc>
          <w:tcPr>
            <w:tcW w:w="9335" w:type="dxa"/>
            <w:gridSpan w:val="4"/>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预算单位编码及名称：[975</w:t>
            </w:r>
            <w:r>
              <w:rPr>
                <w:rFonts w:hint="eastAsia" w:ascii="宋体" w:hAnsi="宋体" w:cs="宋体"/>
                <w:i w:val="0"/>
                <w:color w:val="000000"/>
                <w:kern w:val="0"/>
                <w:sz w:val="22"/>
                <w:szCs w:val="22"/>
                <w:u w:val="none"/>
                <w:lang w:val="en-US" w:eastAsia="zh-CN" w:bidi="ar"/>
              </w:rPr>
              <w:t>001</w:t>
            </w:r>
            <w:r>
              <w:rPr>
                <w:rFonts w:hint="eastAsia" w:ascii="宋体" w:hAnsi="宋体" w:eastAsia="宋体" w:cs="宋体"/>
                <w:i w:val="0"/>
                <w:color w:val="000000"/>
                <w:kern w:val="0"/>
                <w:sz w:val="22"/>
                <w:szCs w:val="22"/>
                <w:u w:val="none"/>
                <w:lang w:val="en-US" w:eastAsia="zh-CN" w:bidi="ar"/>
              </w:rPr>
              <w:t>]宁晋县供销合作社</w:t>
            </w:r>
            <w:r>
              <w:rPr>
                <w:rFonts w:hint="eastAsia" w:ascii="宋体" w:hAnsi="宋体" w:cs="宋体"/>
                <w:i w:val="0"/>
                <w:color w:val="000000"/>
                <w:kern w:val="0"/>
                <w:sz w:val="22"/>
                <w:szCs w:val="22"/>
                <w:u w:val="none"/>
                <w:lang w:val="en-US" w:eastAsia="zh-CN" w:bidi="ar"/>
              </w:rPr>
              <w:t>本级</w:t>
            </w:r>
          </w:p>
        </w:tc>
        <w:tc>
          <w:tcPr>
            <w:tcW w:w="2419"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2419"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tblPrEx>
          <w:shd w:val="clear" w:color="auto" w:fill="auto"/>
          <w:tblCellMar>
            <w:top w:w="0" w:type="dxa"/>
            <w:left w:w="0" w:type="dxa"/>
            <w:bottom w:w="0" w:type="dxa"/>
            <w:right w:w="0" w:type="dxa"/>
          </w:tblCellMar>
        </w:tblPrEx>
        <w:trPr>
          <w:trHeight w:val="360" w:hRule="atLeast"/>
          <w:jc w:val="center"/>
        </w:trPr>
        <w:tc>
          <w:tcPr>
            <w:tcW w:w="72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788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支出功能分类科目</w:t>
            </w:r>
          </w:p>
        </w:tc>
        <w:tc>
          <w:tcPr>
            <w:tcW w:w="72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2419"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2419"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r>
      <w:tr>
        <w:tblPrEx>
          <w:shd w:val="clear" w:color="auto" w:fill="auto"/>
          <w:tblCellMar>
            <w:top w:w="0" w:type="dxa"/>
            <w:left w:w="0" w:type="dxa"/>
            <w:bottom w:w="0" w:type="dxa"/>
            <w:right w:w="0" w:type="dxa"/>
          </w:tblCellMar>
        </w:tblPrEx>
        <w:trPr>
          <w:trHeight w:val="360" w:hRule="atLeast"/>
          <w:jc w:val="center"/>
        </w:trPr>
        <w:tc>
          <w:tcPr>
            <w:tcW w:w="72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4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14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72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19"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19"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trHeight w:val="360" w:hRule="atLeast"/>
          <w:jc w:val="center"/>
        </w:trPr>
        <w:tc>
          <w:tcPr>
            <w:tcW w:w="7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64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4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7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24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24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tblPrEx>
          <w:shd w:val="clear" w:color="auto" w:fill="auto"/>
          <w:tblCellMar>
            <w:top w:w="0" w:type="dxa"/>
            <w:left w:w="0" w:type="dxa"/>
            <w:bottom w:w="0" w:type="dxa"/>
            <w:right w:w="0" w:type="dxa"/>
          </w:tblCellMar>
        </w:tblPrEx>
        <w:trPr>
          <w:trHeight w:val="300" w:hRule="atLeast"/>
          <w:jc w:val="center"/>
        </w:trPr>
        <w:tc>
          <w:tcPr>
            <w:tcW w:w="7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eastAsia" w:ascii="Calibri" w:hAnsi="Calibri" w:eastAsia="宋体" w:cs="Calibri"/>
                <w:i w:val="0"/>
                <w:color w:val="000000"/>
                <w:sz w:val="22"/>
                <w:szCs w:val="22"/>
                <w:u w:val="none"/>
              </w:rPr>
            </w:pPr>
          </w:p>
        </w:tc>
        <w:tc>
          <w:tcPr>
            <w:tcW w:w="64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无政府基金预算财政拨款预算，空表列示。</w:t>
            </w:r>
          </w:p>
        </w:tc>
        <w:tc>
          <w:tcPr>
            <w:tcW w:w="14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bl>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tbl>
      <w:tblPr>
        <w:tblStyle w:val="5"/>
        <w:tblW w:w="14173" w:type="dxa"/>
        <w:jc w:val="center"/>
        <w:shd w:val="clear" w:color="auto" w:fill="auto"/>
        <w:tblLayout w:type="fixed"/>
        <w:tblCellMar>
          <w:top w:w="0" w:type="dxa"/>
          <w:left w:w="0" w:type="dxa"/>
          <w:bottom w:w="0" w:type="dxa"/>
          <w:right w:w="0" w:type="dxa"/>
        </w:tblCellMar>
      </w:tblPr>
      <w:tblGrid>
        <w:gridCol w:w="691"/>
        <w:gridCol w:w="6836"/>
        <w:gridCol w:w="1338"/>
        <w:gridCol w:w="692"/>
        <w:gridCol w:w="2308"/>
        <w:gridCol w:w="2308"/>
      </w:tblGrid>
      <w:tr>
        <w:tblPrEx>
          <w:tblCellMar>
            <w:top w:w="0" w:type="dxa"/>
            <w:left w:w="0" w:type="dxa"/>
            <w:bottom w:w="0" w:type="dxa"/>
            <w:right w:w="0" w:type="dxa"/>
          </w:tblCellMar>
        </w:tblPrEx>
        <w:trPr>
          <w:trHeight w:val="360" w:hRule="atLeast"/>
          <w:jc w:val="center"/>
        </w:trPr>
        <w:tc>
          <w:tcPr>
            <w:tcW w:w="14173" w:type="dxa"/>
            <w:gridSpan w:val="6"/>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cs="宋体"/>
                <w:i w:val="0"/>
                <w:color w:val="000000"/>
                <w:kern w:val="0"/>
                <w:sz w:val="28"/>
                <w:szCs w:val="28"/>
                <w:u w:val="none"/>
                <w:lang w:val="en-US" w:eastAsia="zh-CN" w:bidi="ar"/>
              </w:rPr>
              <w:t>部门</w:t>
            </w:r>
            <w:r>
              <w:rPr>
                <w:rFonts w:hint="eastAsia" w:ascii="宋体" w:hAnsi="宋体" w:eastAsia="宋体" w:cs="宋体"/>
                <w:i w:val="0"/>
                <w:color w:val="000000"/>
                <w:kern w:val="0"/>
                <w:sz w:val="28"/>
                <w:szCs w:val="28"/>
                <w:u w:val="none"/>
                <w:lang w:val="en-US" w:eastAsia="zh-CN" w:bidi="ar"/>
              </w:rPr>
              <w:t>预算国有资本经营预算财政拨款支出表</w:t>
            </w:r>
          </w:p>
        </w:tc>
      </w:tr>
      <w:tr>
        <w:tblPrEx>
          <w:shd w:val="clear" w:color="auto" w:fill="auto"/>
          <w:tblCellMar>
            <w:top w:w="0" w:type="dxa"/>
            <w:left w:w="0" w:type="dxa"/>
            <w:bottom w:w="0" w:type="dxa"/>
            <w:right w:w="0" w:type="dxa"/>
          </w:tblCellMar>
        </w:tblPrEx>
        <w:trPr>
          <w:trHeight w:val="360" w:hRule="atLeast"/>
          <w:jc w:val="center"/>
        </w:trPr>
        <w:tc>
          <w:tcPr>
            <w:tcW w:w="9557" w:type="dxa"/>
            <w:gridSpan w:val="4"/>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预算单位编码及名称：[975</w:t>
            </w:r>
            <w:r>
              <w:rPr>
                <w:rFonts w:hint="eastAsia" w:ascii="宋体" w:hAnsi="宋体" w:cs="宋体"/>
                <w:i w:val="0"/>
                <w:color w:val="000000"/>
                <w:kern w:val="0"/>
                <w:sz w:val="22"/>
                <w:szCs w:val="22"/>
                <w:u w:val="none"/>
                <w:lang w:val="en-US" w:eastAsia="zh-CN" w:bidi="ar"/>
              </w:rPr>
              <w:t>001</w:t>
            </w:r>
            <w:r>
              <w:rPr>
                <w:rFonts w:hint="eastAsia" w:ascii="宋体" w:hAnsi="宋体" w:eastAsia="宋体" w:cs="宋体"/>
                <w:i w:val="0"/>
                <w:color w:val="000000"/>
                <w:kern w:val="0"/>
                <w:sz w:val="22"/>
                <w:szCs w:val="22"/>
                <w:u w:val="none"/>
                <w:lang w:val="en-US" w:eastAsia="zh-CN" w:bidi="ar"/>
              </w:rPr>
              <w:t>]宁晋县供销合作社</w:t>
            </w:r>
            <w:r>
              <w:rPr>
                <w:rFonts w:hint="eastAsia" w:ascii="宋体" w:hAnsi="宋体" w:cs="宋体"/>
                <w:i w:val="0"/>
                <w:color w:val="000000"/>
                <w:kern w:val="0"/>
                <w:sz w:val="22"/>
                <w:szCs w:val="22"/>
                <w:u w:val="none"/>
                <w:lang w:val="en-US" w:eastAsia="zh-CN" w:bidi="ar"/>
              </w:rPr>
              <w:t>本级</w:t>
            </w:r>
          </w:p>
        </w:tc>
        <w:tc>
          <w:tcPr>
            <w:tcW w:w="2308"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2308"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tblPrEx>
          <w:tblCellMar>
            <w:top w:w="0" w:type="dxa"/>
            <w:left w:w="0" w:type="dxa"/>
            <w:bottom w:w="0" w:type="dxa"/>
            <w:right w:w="0" w:type="dxa"/>
          </w:tblCellMar>
        </w:tblPrEx>
        <w:trPr>
          <w:trHeight w:val="360" w:hRule="atLeast"/>
          <w:jc w:val="center"/>
        </w:trPr>
        <w:tc>
          <w:tcPr>
            <w:tcW w:w="69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817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支出功能分类科目</w:t>
            </w:r>
          </w:p>
        </w:tc>
        <w:tc>
          <w:tcPr>
            <w:tcW w:w="69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230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230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r>
      <w:tr>
        <w:tblPrEx>
          <w:shd w:val="clear" w:color="auto" w:fill="auto"/>
          <w:tblCellMar>
            <w:top w:w="0" w:type="dxa"/>
            <w:left w:w="0" w:type="dxa"/>
            <w:bottom w:w="0" w:type="dxa"/>
            <w:right w:w="0" w:type="dxa"/>
          </w:tblCellMar>
        </w:tblPrEx>
        <w:trPr>
          <w:trHeight w:val="360" w:hRule="atLeast"/>
          <w:jc w:val="center"/>
        </w:trPr>
        <w:tc>
          <w:tcPr>
            <w:tcW w:w="69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8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69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0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0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trHeight w:val="360" w:hRule="atLeast"/>
          <w:jc w:val="center"/>
        </w:trPr>
        <w:tc>
          <w:tcPr>
            <w:tcW w:w="6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68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23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23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tblPrEx>
          <w:shd w:val="clear" w:color="auto" w:fill="auto"/>
          <w:tblCellMar>
            <w:top w:w="0" w:type="dxa"/>
            <w:left w:w="0" w:type="dxa"/>
            <w:bottom w:w="0" w:type="dxa"/>
            <w:right w:w="0" w:type="dxa"/>
          </w:tblCellMar>
        </w:tblPrEx>
        <w:trPr>
          <w:trHeight w:val="300" w:hRule="atLeast"/>
          <w:jc w:val="center"/>
        </w:trPr>
        <w:tc>
          <w:tcPr>
            <w:tcW w:w="6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eastAsia" w:ascii="Calibri" w:hAnsi="Calibri" w:eastAsia="宋体" w:cs="Calibri"/>
                <w:i w:val="0"/>
                <w:color w:val="000000"/>
                <w:sz w:val="22"/>
                <w:szCs w:val="22"/>
                <w:u w:val="none"/>
              </w:rPr>
            </w:pPr>
          </w:p>
        </w:tc>
        <w:tc>
          <w:tcPr>
            <w:tcW w:w="68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无国有资本经营预算财政拨款预算，空表列示。</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3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3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bl>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tbl>
      <w:tblPr>
        <w:tblStyle w:val="5"/>
        <w:tblW w:w="14173" w:type="dxa"/>
        <w:jc w:val="center"/>
        <w:shd w:val="clear" w:color="auto" w:fill="auto"/>
        <w:tblLayout w:type="fixed"/>
        <w:tblCellMar>
          <w:top w:w="0" w:type="dxa"/>
          <w:left w:w="0" w:type="dxa"/>
          <w:bottom w:w="0" w:type="dxa"/>
          <w:right w:w="0" w:type="dxa"/>
        </w:tblCellMar>
      </w:tblPr>
      <w:tblGrid>
        <w:gridCol w:w="552"/>
        <w:gridCol w:w="4948"/>
        <w:gridCol w:w="552"/>
        <w:gridCol w:w="2621"/>
        <w:gridCol w:w="2362"/>
        <w:gridCol w:w="3138"/>
      </w:tblGrid>
      <w:tr>
        <w:tblPrEx>
          <w:shd w:val="clear" w:color="auto" w:fill="auto"/>
          <w:tblCellMar>
            <w:top w:w="0" w:type="dxa"/>
            <w:left w:w="0" w:type="dxa"/>
            <w:bottom w:w="0" w:type="dxa"/>
            <w:right w:w="0" w:type="dxa"/>
          </w:tblCellMar>
        </w:tblPrEx>
        <w:trPr>
          <w:trHeight w:val="360" w:hRule="atLeast"/>
          <w:jc w:val="center"/>
        </w:trPr>
        <w:tc>
          <w:tcPr>
            <w:tcW w:w="14173" w:type="dxa"/>
            <w:gridSpan w:val="6"/>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cs="宋体"/>
                <w:i w:val="0"/>
                <w:color w:val="000000"/>
                <w:kern w:val="0"/>
                <w:sz w:val="28"/>
                <w:szCs w:val="28"/>
                <w:u w:val="none"/>
                <w:lang w:val="en-US" w:eastAsia="zh-CN" w:bidi="ar"/>
              </w:rPr>
              <w:t>部门</w:t>
            </w:r>
            <w:r>
              <w:rPr>
                <w:rFonts w:hint="eastAsia" w:ascii="宋体" w:hAnsi="宋体" w:eastAsia="宋体" w:cs="宋体"/>
                <w:i w:val="0"/>
                <w:color w:val="000000"/>
                <w:kern w:val="0"/>
                <w:sz w:val="28"/>
                <w:szCs w:val="28"/>
                <w:u w:val="none"/>
                <w:lang w:val="en-US" w:eastAsia="zh-CN" w:bidi="ar"/>
              </w:rPr>
              <w:t>预算财政拨款“三公”经费支出表</w:t>
            </w:r>
          </w:p>
        </w:tc>
      </w:tr>
      <w:tr>
        <w:tblPrEx>
          <w:shd w:val="clear" w:color="auto" w:fill="auto"/>
          <w:tblCellMar>
            <w:top w:w="0" w:type="dxa"/>
            <w:left w:w="0" w:type="dxa"/>
            <w:bottom w:w="0" w:type="dxa"/>
            <w:right w:w="0" w:type="dxa"/>
          </w:tblCellMar>
        </w:tblPrEx>
        <w:trPr>
          <w:trHeight w:val="360" w:hRule="atLeast"/>
          <w:jc w:val="center"/>
        </w:trPr>
        <w:tc>
          <w:tcPr>
            <w:tcW w:w="8673" w:type="dxa"/>
            <w:gridSpan w:val="4"/>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预算单位编码及名称：[975</w:t>
            </w:r>
            <w:r>
              <w:rPr>
                <w:rFonts w:hint="eastAsia" w:ascii="宋体" w:hAnsi="宋体" w:cs="宋体"/>
                <w:i w:val="0"/>
                <w:color w:val="000000"/>
                <w:kern w:val="0"/>
                <w:sz w:val="22"/>
                <w:szCs w:val="22"/>
                <w:u w:val="none"/>
                <w:lang w:val="en-US" w:eastAsia="zh-CN" w:bidi="ar"/>
              </w:rPr>
              <w:t>001</w:t>
            </w:r>
            <w:r>
              <w:rPr>
                <w:rFonts w:hint="eastAsia" w:ascii="宋体" w:hAnsi="宋体" w:eastAsia="宋体" w:cs="宋体"/>
                <w:i w:val="0"/>
                <w:color w:val="000000"/>
                <w:kern w:val="0"/>
                <w:sz w:val="22"/>
                <w:szCs w:val="22"/>
                <w:u w:val="none"/>
                <w:lang w:val="en-US" w:eastAsia="zh-CN" w:bidi="ar"/>
              </w:rPr>
              <w:t>]宁晋县供销合作社</w:t>
            </w:r>
            <w:r>
              <w:rPr>
                <w:rFonts w:hint="eastAsia" w:ascii="宋体" w:hAnsi="宋体" w:cs="宋体"/>
                <w:i w:val="0"/>
                <w:color w:val="000000"/>
                <w:kern w:val="0"/>
                <w:sz w:val="22"/>
                <w:szCs w:val="22"/>
                <w:u w:val="none"/>
                <w:lang w:val="en-US" w:eastAsia="zh-CN" w:bidi="ar"/>
              </w:rPr>
              <w:t>本级</w:t>
            </w:r>
          </w:p>
        </w:tc>
        <w:tc>
          <w:tcPr>
            <w:tcW w:w="2362"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3138"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tblPrEx>
          <w:shd w:val="clear" w:color="auto" w:fill="auto"/>
          <w:tblCellMar>
            <w:top w:w="0" w:type="dxa"/>
            <w:left w:w="0" w:type="dxa"/>
            <w:bottom w:w="0" w:type="dxa"/>
            <w:right w:w="0" w:type="dxa"/>
          </w:tblCellMar>
        </w:tblPrEx>
        <w:trPr>
          <w:trHeight w:val="360" w:hRule="atLeast"/>
          <w:jc w:val="center"/>
        </w:trPr>
        <w:tc>
          <w:tcPr>
            <w:tcW w:w="55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494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8673"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资金性质</w:t>
            </w:r>
          </w:p>
        </w:tc>
      </w:tr>
      <w:tr>
        <w:tblPrEx>
          <w:shd w:val="clear" w:color="auto" w:fill="auto"/>
          <w:tblCellMar>
            <w:top w:w="0" w:type="dxa"/>
            <w:left w:w="0" w:type="dxa"/>
            <w:bottom w:w="0" w:type="dxa"/>
            <w:right w:w="0" w:type="dxa"/>
          </w:tblCellMar>
        </w:tblPrEx>
        <w:trPr>
          <w:trHeight w:val="360" w:hRule="atLeast"/>
          <w:jc w:val="center"/>
        </w:trPr>
        <w:tc>
          <w:tcPr>
            <w:tcW w:w="55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94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26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一般公共预算财政拨款</w:t>
            </w:r>
          </w:p>
        </w:tc>
        <w:tc>
          <w:tcPr>
            <w:tcW w:w="23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政府性基金财政拨款</w:t>
            </w:r>
          </w:p>
        </w:tc>
        <w:tc>
          <w:tcPr>
            <w:tcW w:w="31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国有资本经营预算财政拨款</w:t>
            </w:r>
          </w:p>
        </w:tc>
      </w:tr>
      <w:tr>
        <w:tblPrEx>
          <w:shd w:val="clear" w:color="auto" w:fill="auto"/>
          <w:tblCellMar>
            <w:top w:w="0" w:type="dxa"/>
            <w:left w:w="0" w:type="dxa"/>
            <w:bottom w:w="0" w:type="dxa"/>
            <w:right w:w="0" w:type="dxa"/>
          </w:tblCellMar>
        </w:tblPrEx>
        <w:trPr>
          <w:trHeight w:val="360" w:hRule="atLeast"/>
          <w:jc w:val="center"/>
        </w:trPr>
        <w:tc>
          <w:tcPr>
            <w:tcW w:w="5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49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5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26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23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31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tblPrEx>
          <w:shd w:val="clear" w:color="auto" w:fill="auto"/>
          <w:tblCellMar>
            <w:top w:w="0" w:type="dxa"/>
            <w:left w:w="0" w:type="dxa"/>
            <w:bottom w:w="0" w:type="dxa"/>
            <w:right w:w="0" w:type="dxa"/>
          </w:tblCellMar>
        </w:tblPrEx>
        <w:trPr>
          <w:trHeight w:val="300" w:hRule="atLeast"/>
          <w:jc w:val="center"/>
        </w:trPr>
        <w:tc>
          <w:tcPr>
            <w:tcW w:w="5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eastAsia" w:ascii="Calibri" w:hAnsi="Calibri" w:eastAsia="宋体" w:cs="Calibri"/>
                <w:i w:val="0"/>
                <w:color w:val="000000"/>
                <w:sz w:val="22"/>
                <w:szCs w:val="22"/>
                <w:u w:val="none"/>
              </w:rPr>
            </w:pPr>
          </w:p>
        </w:tc>
        <w:tc>
          <w:tcPr>
            <w:tcW w:w="49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无财政拨款“三公”经费预算，空表列示。</w:t>
            </w:r>
          </w:p>
        </w:tc>
        <w:tc>
          <w:tcPr>
            <w:tcW w:w="5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6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3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1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bl>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jc w:val="center"/>
        <w:rPr>
          <w:rFonts w:hint="eastAsia"/>
          <w:b/>
          <w:bCs/>
          <w:sz w:val="44"/>
          <w:szCs w:val="44"/>
        </w:rPr>
      </w:pPr>
      <w:r>
        <w:rPr>
          <w:rFonts w:hint="eastAsia"/>
          <w:b/>
          <w:bCs/>
          <w:sz w:val="44"/>
          <w:szCs w:val="44"/>
        </w:rPr>
        <w:t>宁晋县供销合作社</w:t>
      </w:r>
      <w:r>
        <w:rPr>
          <w:rFonts w:hint="eastAsia"/>
          <w:b/>
          <w:bCs/>
          <w:sz w:val="44"/>
          <w:szCs w:val="44"/>
          <w:lang w:val="en-US" w:eastAsia="zh-CN"/>
        </w:rPr>
        <w:t>2022</w:t>
      </w:r>
      <w:r>
        <w:rPr>
          <w:rFonts w:hint="eastAsia"/>
          <w:b/>
          <w:bCs/>
          <w:sz w:val="44"/>
          <w:szCs w:val="44"/>
        </w:rPr>
        <w:t>年</w:t>
      </w:r>
      <w:r>
        <w:rPr>
          <w:rFonts w:hint="eastAsia"/>
          <w:b/>
          <w:bCs/>
          <w:sz w:val="44"/>
          <w:szCs w:val="44"/>
          <w:lang w:eastAsia="zh-CN"/>
        </w:rPr>
        <w:t>单位</w:t>
      </w:r>
      <w:r>
        <w:rPr>
          <w:rFonts w:hint="eastAsia"/>
          <w:b/>
          <w:bCs/>
          <w:sz w:val="44"/>
          <w:szCs w:val="44"/>
        </w:rPr>
        <w:t>预算说明</w:t>
      </w:r>
    </w:p>
    <w:p>
      <w:pPr>
        <w:numPr>
          <w:ilvl w:val="0"/>
          <w:numId w:val="0"/>
        </w:numPr>
        <w:ind w:firstLine="643" w:firstLineChars="200"/>
        <w:rPr>
          <w:rFonts w:hint="eastAsia" w:ascii="宋体" w:hAnsi="宋体" w:eastAsia="宋体" w:cs="宋体"/>
          <w:b/>
          <w:bCs/>
          <w:sz w:val="32"/>
          <w:szCs w:val="32"/>
        </w:rPr>
      </w:pPr>
      <w:r>
        <w:rPr>
          <w:rFonts w:hint="eastAsia" w:ascii="宋体" w:hAnsi="宋体" w:eastAsia="宋体" w:cs="宋体"/>
          <w:b/>
          <w:bCs/>
          <w:sz w:val="32"/>
          <w:szCs w:val="32"/>
          <w:lang w:eastAsia="zh-CN"/>
        </w:rPr>
        <w:t>一、</w:t>
      </w:r>
      <w:r>
        <w:rPr>
          <w:rFonts w:hint="eastAsia" w:ascii="宋体" w:hAnsi="宋体" w:cs="宋体"/>
          <w:b/>
          <w:bCs/>
          <w:sz w:val="32"/>
          <w:szCs w:val="32"/>
          <w:lang w:eastAsia="zh-CN"/>
        </w:rPr>
        <w:t>单位</w:t>
      </w:r>
      <w:r>
        <w:rPr>
          <w:rFonts w:hint="eastAsia" w:ascii="宋体" w:hAnsi="宋体" w:eastAsia="宋体" w:cs="宋体"/>
          <w:b/>
          <w:bCs/>
          <w:sz w:val="32"/>
          <w:szCs w:val="32"/>
          <w:lang w:eastAsia="zh-CN"/>
        </w:rPr>
        <w:t>职责</w:t>
      </w:r>
      <w:r>
        <w:rPr>
          <w:rFonts w:hint="eastAsia" w:ascii="宋体" w:hAnsi="宋体" w:eastAsia="宋体" w:cs="宋体"/>
          <w:b/>
          <w:bCs/>
          <w:sz w:val="32"/>
          <w:szCs w:val="32"/>
        </w:rPr>
        <w:t>及机构设置情况</w:t>
      </w:r>
    </w:p>
    <w:p>
      <w:pPr>
        <w:numPr>
          <w:ilvl w:val="0"/>
          <w:numId w:val="0"/>
        </w:numPr>
        <w:ind w:firstLine="640" w:firstLineChars="200"/>
        <w:rPr>
          <w:rFonts w:hint="eastAsia" w:ascii="宋体" w:hAnsi="宋体" w:eastAsia="宋体" w:cs="宋体"/>
          <w:sz w:val="32"/>
          <w:szCs w:val="32"/>
        </w:rPr>
      </w:pPr>
      <w:r>
        <w:rPr>
          <w:rFonts w:hint="eastAsia" w:ascii="宋体" w:hAnsi="宋体" w:eastAsia="宋体" w:cs="宋体"/>
          <w:sz w:val="32"/>
          <w:szCs w:val="32"/>
          <w:lang w:val="en-US" w:eastAsia="zh-CN"/>
        </w:rPr>
        <w:t>1、</w:t>
      </w:r>
      <w:r>
        <w:rPr>
          <w:rFonts w:hint="eastAsia" w:ascii="宋体" w:hAnsi="宋体" w:eastAsia="宋体" w:cs="宋体"/>
          <w:sz w:val="32"/>
          <w:szCs w:val="32"/>
        </w:rPr>
        <w:t>制定宁晋县深化供销合作社综合改革实施方案，指导推进全县供销社综合改革工作。到202</w:t>
      </w:r>
      <w:r>
        <w:rPr>
          <w:rFonts w:hint="eastAsia" w:ascii="宋体" w:hAnsi="宋体" w:eastAsia="宋体" w:cs="宋体"/>
          <w:sz w:val="32"/>
          <w:szCs w:val="32"/>
          <w:lang w:val="en-US" w:eastAsia="zh-CN"/>
        </w:rPr>
        <w:t>2</w:t>
      </w:r>
      <w:r>
        <w:rPr>
          <w:rFonts w:hint="eastAsia" w:ascii="宋体" w:hAnsi="宋体" w:eastAsia="宋体" w:cs="宋体"/>
          <w:sz w:val="32"/>
          <w:szCs w:val="32"/>
        </w:rPr>
        <w:t>年全部完成综合改革任务，按照县政府授权，对重要农业生产资料、烟花爆竹、和再生资源经营进行组织协调管理，负责管理食盐、防汛、救灾物资等重要物资储备工作。按照有关规定，负责全县流通领域盐业行政管理及食盐批发、零售的监督管理和许可管理，负责市场工业用盐管理。组建供销集团（资产运营管理中心）指导全县供销社社属企业改革、建立现代企业制度、管理运营本机社社有资产，积极指导全县供销社的业务活动，参与和推进农业产业化经营，开拓市场。</w:t>
      </w:r>
    </w:p>
    <w:p>
      <w:pPr>
        <w:numPr>
          <w:ilvl w:val="0"/>
          <w:numId w:val="0"/>
        </w:numPr>
        <w:ind w:firstLine="640" w:firstLineChars="200"/>
        <w:rPr>
          <w:rFonts w:hint="eastAsia" w:ascii="宋体" w:hAnsi="宋体" w:eastAsia="宋体" w:cs="宋体"/>
          <w:sz w:val="32"/>
          <w:szCs w:val="32"/>
        </w:rPr>
      </w:pPr>
      <w:r>
        <w:rPr>
          <w:rFonts w:hint="eastAsia" w:ascii="宋体" w:hAnsi="宋体" w:eastAsia="宋体" w:cs="宋体"/>
          <w:sz w:val="32"/>
          <w:szCs w:val="32"/>
          <w:lang w:val="en-US" w:eastAsia="zh-CN"/>
        </w:rPr>
        <w:t>2、</w:t>
      </w:r>
      <w:r>
        <w:rPr>
          <w:rFonts w:hint="eastAsia" w:ascii="宋体" w:hAnsi="宋体" w:eastAsia="宋体" w:cs="宋体"/>
          <w:sz w:val="32"/>
          <w:szCs w:val="32"/>
        </w:rPr>
        <w:t>承办县政府交办的其他事项。</w:t>
      </w:r>
    </w:p>
    <w:p>
      <w:pPr>
        <w:ind w:firstLine="640" w:firstLineChars="200"/>
        <w:rPr>
          <w:rFonts w:hint="eastAsia" w:ascii="宋体" w:hAnsi="宋体" w:eastAsia="宋体" w:cs="宋体"/>
          <w:sz w:val="32"/>
          <w:szCs w:val="32"/>
        </w:rPr>
      </w:pPr>
      <w:r>
        <w:rPr>
          <w:rFonts w:hint="eastAsia" w:ascii="宋体" w:hAnsi="宋体" w:eastAsia="宋体" w:cs="宋体"/>
          <w:sz w:val="32"/>
          <w:szCs w:val="32"/>
          <w:lang w:val="en-US" w:eastAsia="zh-CN"/>
        </w:rPr>
        <w:t>3、</w:t>
      </w:r>
      <w:r>
        <w:rPr>
          <w:rFonts w:hint="eastAsia" w:ascii="宋体" w:hAnsi="宋体" w:eastAsia="宋体" w:cs="宋体"/>
          <w:sz w:val="32"/>
          <w:szCs w:val="32"/>
        </w:rPr>
        <w:t>纳入宁晋县供销合作社20</w:t>
      </w:r>
      <w:r>
        <w:rPr>
          <w:rFonts w:hint="eastAsia" w:ascii="宋体" w:hAnsi="宋体" w:eastAsia="宋体" w:cs="宋体"/>
          <w:sz w:val="32"/>
          <w:szCs w:val="32"/>
          <w:lang w:val="en-US" w:eastAsia="zh-CN"/>
        </w:rPr>
        <w:t>22</w:t>
      </w:r>
      <w:r>
        <w:rPr>
          <w:rFonts w:hint="eastAsia" w:ascii="宋体" w:hAnsi="宋体" w:eastAsia="宋体" w:cs="宋体"/>
          <w:sz w:val="32"/>
          <w:szCs w:val="32"/>
        </w:rPr>
        <w:t>年</w:t>
      </w:r>
      <w:r>
        <w:rPr>
          <w:rFonts w:hint="eastAsia" w:ascii="宋体" w:hAnsi="宋体" w:cs="宋体"/>
          <w:sz w:val="32"/>
          <w:szCs w:val="32"/>
          <w:lang w:eastAsia="zh-CN"/>
        </w:rPr>
        <w:t>单位</w:t>
      </w:r>
      <w:r>
        <w:rPr>
          <w:rFonts w:hint="eastAsia" w:ascii="宋体" w:hAnsi="宋体" w:eastAsia="宋体" w:cs="宋体"/>
          <w:sz w:val="32"/>
          <w:szCs w:val="32"/>
        </w:rPr>
        <w:t>预算编制范围的单位共1个，详细情况见下表：</w:t>
      </w:r>
    </w:p>
    <w:tbl>
      <w:tblPr>
        <w:tblStyle w:val="5"/>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57"/>
        <w:gridCol w:w="67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57" w:type="dxa"/>
            <w:noWrap w:val="0"/>
            <w:vAlign w:val="top"/>
          </w:tcPr>
          <w:p>
            <w:pPr>
              <w:rPr>
                <w:rFonts w:hint="eastAsia" w:ascii="宋体" w:hAnsi="宋体" w:eastAsia="宋体" w:cs="宋体"/>
                <w:sz w:val="32"/>
                <w:szCs w:val="32"/>
              </w:rPr>
            </w:pPr>
            <w:r>
              <w:rPr>
                <w:rFonts w:hint="eastAsia" w:ascii="宋体" w:hAnsi="宋体" w:eastAsia="宋体" w:cs="宋体"/>
                <w:sz w:val="32"/>
                <w:szCs w:val="32"/>
              </w:rPr>
              <w:t>序号</w:t>
            </w:r>
          </w:p>
        </w:tc>
        <w:tc>
          <w:tcPr>
            <w:tcW w:w="6765" w:type="dxa"/>
            <w:noWrap w:val="0"/>
            <w:vAlign w:val="top"/>
          </w:tcPr>
          <w:p>
            <w:pPr>
              <w:rPr>
                <w:rFonts w:hint="eastAsia" w:ascii="宋体" w:hAnsi="宋体" w:eastAsia="宋体" w:cs="宋体"/>
                <w:sz w:val="32"/>
                <w:szCs w:val="32"/>
              </w:rPr>
            </w:pPr>
            <w:r>
              <w:rPr>
                <w:rFonts w:hint="eastAsia" w:ascii="宋体" w:hAnsi="宋体" w:eastAsia="宋体" w:cs="宋体"/>
                <w:sz w:val="32"/>
                <w:szCs w:val="32"/>
              </w:rPr>
              <w:t>单位名称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57" w:type="dxa"/>
            <w:noWrap w:val="0"/>
            <w:vAlign w:val="top"/>
          </w:tcPr>
          <w:p>
            <w:pPr>
              <w:rPr>
                <w:rFonts w:hint="eastAsia" w:ascii="宋体" w:hAnsi="宋体" w:eastAsia="宋体" w:cs="宋体"/>
                <w:sz w:val="32"/>
                <w:szCs w:val="32"/>
              </w:rPr>
            </w:pPr>
            <w:r>
              <w:rPr>
                <w:rFonts w:hint="eastAsia" w:ascii="宋体" w:hAnsi="宋体" w:eastAsia="宋体" w:cs="宋体"/>
                <w:sz w:val="32"/>
                <w:szCs w:val="32"/>
              </w:rPr>
              <w:t>1</w:t>
            </w:r>
          </w:p>
        </w:tc>
        <w:tc>
          <w:tcPr>
            <w:tcW w:w="6765" w:type="dxa"/>
            <w:noWrap w:val="0"/>
            <w:vAlign w:val="top"/>
          </w:tcPr>
          <w:p>
            <w:pPr>
              <w:rPr>
                <w:rFonts w:hint="eastAsia" w:ascii="宋体" w:hAnsi="宋体" w:eastAsia="宋体" w:cs="宋体"/>
                <w:sz w:val="32"/>
                <w:szCs w:val="32"/>
              </w:rPr>
            </w:pPr>
            <w:r>
              <w:rPr>
                <w:rFonts w:hint="eastAsia" w:ascii="宋体" w:hAnsi="宋体" w:eastAsia="宋体" w:cs="宋体"/>
                <w:sz w:val="32"/>
                <w:szCs w:val="32"/>
              </w:rPr>
              <w:t>宁晋县供销合作社</w:t>
            </w:r>
          </w:p>
        </w:tc>
      </w:tr>
    </w:tbl>
    <w:p>
      <w:pPr>
        <w:pStyle w:val="4"/>
        <w:ind w:firstLine="643" w:firstLineChars="200"/>
        <w:rPr>
          <w:rFonts w:hint="eastAsia" w:ascii="宋体" w:hAnsi="宋体" w:eastAsia="宋体" w:cs="宋体"/>
          <w:b/>
          <w:sz w:val="32"/>
          <w:szCs w:val="32"/>
        </w:rPr>
      </w:pPr>
      <w:r>
        <w:rPr>
          <w:rFonts w:hint="eastAsia" w:ascii="宋体" w:hAnsi="宋体" w:eastAsia="宋体" w:cs="宋体"/>
          <w:b/>
          <w:bCs/>
          <w:sz w:val="32"/>
          <w:szCs w:val="32"/>
        </w:rPr>
        <w:t>二、</w:t>
      </w:r>
      <w:r>
        <w:rPr>
          <w:rFonts w:hint="eastAsia" w:hAnsi="宋体" w:cs="宋体"/>
          <w:b/>
          <w:sz w:val="32"/>
          <w:szCs w:val="32"/>
          <w:lang w:eastAsia="zh-CN"/>
        </w:rPr>
        <w:t>单位</w:t>
      </w:r>
      <w:r>
        <w:rPr>
          <w:rFonts w:hint="eastAsia" w:ascii="宋体" w:hAnsi="宋体" w:eastAsia="宋体" w:cs="宋体"/>
          <w:b/>
          <w:sz w:val="32"/>
          <w:szCs w:val="32"/>
        </w:rPr>
        <w:t>预算安排总体情况</w:t>
      </w:r>
    </w:p>
    <w:p>
      <w:pPr>
        <w:ind w:firstLine="640" w:firstLineChars="200"/>
        <w:rPr>
          <w:rFonts w:hint="eastAsia" w:ascii="宋体" w:hAnsi="宋体" w:eastAsia="宋体" w:cs="宋体"/>
          <w:sz w:val="32"/>
          <w:szCs w:val="32"/>
          <w:lang w:eastAsia="zh-CN"/>
        </w:rPr>
      </w:pPr>
      <w:r>
        <w:rPr>
          <w:rFonts w:hint="eastAsia" w:ascii="宋体" w:hAnsi="宋体" w:eastAsia="宋体" w:cs="宋体"/>
          <w:sz w:val="32"/>
          <w:szCs w:val="32"/>
        </w:rPr>
        <w:t>根据县财政局（关于202</w:t>
      </w:r>
      <w:r>
        <w:rPr>
          <w:rFonts w:hint="eastAsia" w:ascii="宋体" w:hAnsi="宋体" w:eastAsia="宋体" w:cs="宋体"/>
          <w:sz w:val="32"/>
          <w:szCs w:val="32"/>
          <w:lang w:val="en-US" w:eastAsia="zh-CN"/>
        </w:rPr>
        <w:t>2</w:t>
      </w:r>
      <w:r>
        <w:rPr>
          <w:rFonts w:hint="eastAsia" w:ascii="宋体" w:hAnsi="宋体" w:eastAsia="宋体" w:cs="宋体"/>
          <w:sz w:val="32"/>
          <w:szCs w:val="32"/>
        </w:rPr>
        <w:t>年县级</w:t>
      </w:r>
      <w:r>
        <w:rPr>
          <w:rFonts w:hint="eastAsia" w:ascii="宋体" w:hAnsi="宋体" w:cs="宋体"/>
          <w:sz w:val="32"/>
          <w:szCs w:val="32"/>
          <w:lang w:eastAsia="zh-CN"/>
        </w:rPr>
        <w:t>单位</w:t>
      </w:r>
      <w:r>
        <w:rPr>
          <w:rFonts w:hint="eastAsia" w:ascii="宋体" w:hAnsi="宋体" w:eastAsia="宋体" w:cs="宋体"/>
          <w:sz w:val="32"/>
          <w:szCs w:val="32"/>
        </w:rPr>
        <w:t>预算的批复）的文件要求，202</w:t>
      </w:r>
      <w:r>
        <w:rPr>
          <w:rFonts w:hint="eastAsia" w:ascii="宋体" w:hAnsi="宋体" w:eastAsia="宋体" w:cs="宋体"/>
          <w:sz w:val="32"/>
          <w:szCs w:val="32"/>
          <w:lang w:val="en-US" w:eastAsia="zh-CN"/>
        </w:rPr>
        <w:t>2</w:t>
      </w:r>
      <w:r>
        <w:rPr>
          <w:rFonts w:hint="eastAsia" w:ascii="宋体" w:hAnsi="宋体" w:eastAsia="宋体" w:cs="宋体"/>
          <w:sz w:val="32"/>
          <w:szCs w:val="32"/>
        </w:rPr>
        <w:t>年</w:t>
      </w:r>
      <w:r>
        <w:rPr>
          <w:rFonts w:hint="eastAsia" w:ascii="宋体" w:hAnsi="宋体" w:cs="宋体"/>
          <w:sz w:val="32"/>
          <w:szCs w:val="32"/>
          <w:lang w:eastAsia="zh-CN"/>
        </w:rPr>
        <w:t>单位</w:t>
      </w:r>
      <w:r>
        <w:rPr>
          <w:rFonts w:hint="eastAsia" w:ascii="宋体" w:hAnsi="宋体" w:eastAsia="宋体" w:cs="宋体"/>
          <w:sz w:val="32"/>
          <w:szCs w:val="32"/>
        </w:rPr>
        <w:t>预算总收入为</w:t>
      </w:r>
      <w:r>
        <w:rPr>
          <w:rFonts w:hint="eastAsia" w:ascii="宋体" w:hAnsi="宋体" w:eastAsia="宋体" w:cs="宋体"/>
          <w:sz w:val="32"/>
          <w:szCs w:val="32"/>
          <w:lang w:val="en-US" w:eastAsia="zh-CN"/>
        </w:rPr>
        <w:t>580.76</w:t>
      </w:r>
      <w:r>
        <w:rPr>
          <w:rFonts w:hint="eastAsia" w:ascii="宋体" w:hAnsi="宋体" w:eastAsia="宋体" w:cs="宋体"/>
          <w:sz w:val="32"/>
          <w:szCs w:val="32"/>
        </w:rPr>
        <w:t>万元，较202</w:t>
      </w:r>
      <w:r>
        <w:rPr>
          <w:rFonts w:hint="eastAsia" w:ascii="宋体" w:hAnsi="宋体" w:eastAsia="宋体" w:cs="宋体"/>
          <w:sz w:val="32"/>
          <w:szCs w:val="32"/>
          <w:lang w:val="en-US" w:eastAsia="zh-CN"/>
        </w:rPr>
        <w:t>1</w:t>
      </w:r>
      <w:r>
        <w:rPr>
          <w:rFonts w:hint="eastAsia" w:ascii="宋体" w:hAnsi="宋体" w:eastAsia="宋体" w:cs="宋体"/>
          <w:sz w:val="32"/>
          <w:szCs w:val="32"/>
        </w:rPr>
        <w:t>年预算总收入（</w:t>
      </w:r>
      <w:r>
        <w:rPr>
          <w:rFonts w:hint="eastAsia" w:ascii="宋体" w:hAnsi="宋体" w:eastAsia="宋体" w:cs="宋体"/>
          <w:sz w:val="32"/>
          <w:szCs w:val="32"/>
          <w:lang w:val="en-US" w:eastAsia="zh-CN"/>
        </w:rPr>
        <w:t>143.35</w:t>
      </w:r>
      <w:r>
        <w:rPr>
          <w:rFonts w:hint="eastAsia" w:ascii="宋体" w:hAnsi="宋体" w:eastAsia="宋体" w:cs="宋体"/>
          <w:sz w:val="32"/>
          <w:szCs w:val="32"/>
        </w:rPr>
        <w:t>万元）</w:t>
      </w:r>
      <w:r>
        <w:rPr>
          <w:rFonts w:hint="eastAsia" w:ascii="宋体" w:hAnsi="宋体" w:eastAsia="宋体" w:cs="宋体"/>
          <w:sz w:val="32"/>
          <w:szCs w:val="32"/>
          <w:lang w:eastAsia="zh-CN"/>
        </w:rPr>
        <w:t>增加</w:t>
      </w:r>
      <w:r>
        <w:rPr>
          <w:rFonts w:hint="eastAsia" w:ascii="宋体" w:hAnsi="宋体" w:eastAsia="宋体" w:cs="宋体"/>
          <w:sz w:val="32"/>
          <w:szCs w:val="32"/>
          <w:lang w:val="en-US" w:eastAsia="zh-CN"/>
        </w:rPr>
        <w:t>437.41</w:t>
      </w:r>
      <w:r>
        <w:rPr>
          <w:rFonts w:hint="eastAsia" w:ascii="宋体" w:hAnsi="宋体" w:eastAsia="宋体" w:cs="宋体"/>
          <w:sz w:val="32"/>
          <w:szCs w:val="32"/>
        </w:rPr>
        <w:t>万元，主要原因是</w:t>
      </w:r>
      <w:r>
        <w:rPr>
          <w:rFonts w:hint="eastAsia" w:ascii="宋体" w:hAnsi="宋体" w:eastAsia="宋体" w:cs="宋体"/>
          <w:sz w:val="32"/>
          <w:szCs w:val="32"/>
          <w:lang w:eastAsia="zh-CN"/>
        </w:rPr>
        <w:t>人员和特殊项目增加</w:t>
      </w:r>
      <w:r>
        <w:rPr>
          <w:rFonts w:hint="eastAsia" w:ascii="宋体" w:hAnsi="宋体" w:eastAsia="宋体" w:cs="宋体"/>
          <w:sz w:val="32"/>
          <w:szCs w:val="32"/>
        </w:rPr>
        <w:t>。</w:t>
      </w:r>
    </w:p>
    <w:p>
      <w:pPr>
        <w:ind w:firstLine="640" w:firstLineChars="200"/>
        <w:rPr>
          <w:rFonts w:hint="eastAsia" w:ascii="宋体" w:hAnsi="宋体" w:eastAsia="宋体" w:cs="宋体"/>
          <w:sz w:val="32"/>
          <w:szCs w:val="32"/>
          <w:lang w:eastAsia="zh-CN"/>
        </w:rPr>
      </w:pPr>
      <w:r>
        <w:rPr>
          <w:rFonts w:hint="eastAsia" w:ascii="宋体" w:hAnsi="宋体" w:eastAsia="宋体" w:cs="宋体"/>
          <w:sz w:val="32"/>
          <w:szCs w:val="32"/>
        </w:rPr>
        <w:t>202</w:t>
      </w:r>
      <w:r>
        <w:rPr>
          <w:rFonts w:hint="eastAsia" w:ascii="宋体" w:hAnsi="宋体" w:eastAsia="宋体" w:cs="宋体"/>
          <w:sz w:val="32"/>
          <w:szCs w:val="32"/>
          <w:lang w:val="en-US" w:eastAsia="zh-CN"/>
        </w:rPr>
        <w:t>2</w:t>
      </w:r>
      <w:r>
        <w:rPr>
          <w:rFonts w:hint="eastAsia" w:ascii="宋体" w:hAnsi="宋体" w:eastAsia="宋体" w:cs="宋体"/>
          <w:sz w:val="32"/>
          <w:szCs w:val="32"/>
        </w:rPr>
        <w:t>年</w:t>
      </w:r>
      <w:r>
        <w:rPr>
          <w:rFonts w:hint="eastAsia" w:ascii="宋体" w:hAnsi="宋体" w:cs="宋体"/>
          <w:sz w:val="32"/>
          <w:szCs w:val="32"/>
          <w:lang w:eastAsia="zh-CN"/>
        </w:rPr>
        <w:t>单位</w:t>
      </w:r>
      <w:r>
        <w:rPr>
          <w:rFonts w:hint="eastAsia" w:ascii="宋体" w:hAnsi="宋体" w:eastAsia="宋体" w:cs="宋体"/>
          <w:sz w:val="32"/>
          <w:szCs w:val="32"/>
        </w:rPr>
        <w:t>预算总支出</w:t>
      </w:r>
      <w:r>
        <w:rPr>
          <w:rFonts w:hint="eastAsia" w:ascii="宋体" w:hAnsi="宋体" w:eastAsia="宋体" w:cs="宋体"/>
          <w:sz w:val="32"/>
          <w:szCs w:val="32"/>
          <w:lang w:val="en-US" w:eastAsia="zh-CN"/>
        </w:rPr>
        <w:t>580.76</w:t>
      </w:r>
      <w:r>
        <w:rPr>
          <w:rFonts w:hint="eastAsia" w:ascii="宋体" w:hAnsi="宋体" w:eastAsia="宋体" w:cs="宋体"/>
          <w:sz w:val="32"/>
          <w:szCs w:val="32"/>
        </w:rPr>
        <w:t>万元，较</w:t>
      </w:r>
      <w:r>
        <w:rPr>
          <w:rFonts w:hint="eastAsia" w:ascii="宋体" w:hAnsi="宋体" w:eastAsia="宋体" w:cs="宋体"/>
          <w:sz w:val="32"/>
          <w:szCs w:val="32"/>
          <w:lang w:val="en-US" w:eastAsia="zh-CN"/>
        </w:rPr>
        <w:t>2021</w:t>
      </w:r>
      <w:r>
        <w:rPr>
          <w:rFonts w:hint="eastAsia" w:ascii="宋体" w:hAnsi="宋体" w:eastAsia="宋体" w:cs="宋体"/>
          <w:sz w:val="32"/>
          <w:szCs w:val="32"/>
        </w:rPr>
        <w:t>年预算总支出（</w:t>
      </w:r>
      <w:r>
        <w:rPr>
          <w:rFonts w:hint="eastAsia" w:ascii="宋体" w:hAnsi="宋体" w:eastAsia="宋体" w:cs="宋体"/>
          <w:sz w:val="32"/>
          <w:szCs w:val="32"/>
          <w:lang w:val="en-US" w:eastAsia="zh-CN"/>
        </w:rPr>
        <w:t>143.35</w:t>
      </w:r>
      <w:r>
        <w:rPr>
          <w:rFonts w:hint="eastAsia" w:ascii="宋体" w:hAnsi="宋体" w:eastAsia="宋体" w:cs="宋体"/>
          <w:sz w:val="32"/>
          <w:szCs w:val="32"/>
        </w:rPr>
        <w:t>万元）</w:t>
      </w:r>
      <w:r>
        <w:rPr>
          <w:rFonts w:hint="eastAsia" w:ascii="宋体" w:hAnsi="宋体" w:eastAsia="宋体" w:cs="宋体"/>
          <w:sz w:val="32"/>
          <w:szCs w:val="32"/>
          <w:lang w:eastAsia="zh-CN"/>
        </w:rPr>
        <w:t>增加</w:t>
      </w:r>
      <w:r>
        <w:rPr>
          <w:rFonts w:hint="eastAsia" w:ascii="宋体" w:hAnsi="宋体" w:eastAsia="宋体" w:cs="宋体"/>
          <w:sz w:val="32"/>
          <w:szCs w:val="32"/>
          <w:lang w:val="en-US" w:eastAsia="zh-CN"/>
        </w:rPr>
        <w:t>437.41</w:t>
      </w:r>
      <w:r>
        <w:rPr>
          <w:rFonts w:hint="eastAsia" w:ascii="宋体" w:hAnsi="宋体" w:eastAsia="宋体" w:cs="宋体"/>
          <w:sz w:val="32"/>
          <w:szCs w:val="32"/>
        </w:rPr>
        <w:t>万元，主要原因是202</w:t>
      </w:r>
      <w:r>
        <w:rPr>
          <w:rFonts w:hint="eastAsia" w:ascii="宋体" w:hAnsi="宋体" w:eastAsia="宋体" w:cs="宋体"/>
          <w:sz w:val="32"/>
          <w:szCs w:val="32"/>
          <w:lang w:val="en-US" w:eastAsia="zh-CN"/>
        </w:rPr>
        <w:t>2</w:t>
      </w:r>
      <w:r>
        <w:rPr>
          <w:rFonts w:hint="eastAsia" w:ascii="宋体" w:hAnsi="宋体" w:eastAsia="宋体" w:cs="宋体"/>
          <w:sz w:val="32"/>
          <w:szCs w:val="32"/>
        </w:rPr>
        <w:t>年</w:t>
      </w:r>
      <w:r>
        <w:rPr>
          <w:rFonts w:hint="eastAsia" w:ascii="宋体" w:hAnsi="宋体" w:eastAsia="宋体" w:cs="宋体"/>
          <w:sz w:val="32"/>
          <w:szCs w:val="32"/>
          <w:lang w:eastAsia="zh-CN"/>
        </w:rPr>
        <w:t>人员和特殊项目增加</w:t>
      </w:r>
      <w:r>
        <w:rPr>
          <w:rFonts w:hint="eastAsia" w:ascii="宋体" w:hAnsi="宋体" w:eastAsia="宋体" w:cs="宋体"/>
          <w:sz w:val="32"/>
          <w:szCs w:val="32"/>
        </w:rPr>
        <w:t>，其中，202</w:t>
      </w:r>
      <w:r>
        <w:rPr>
          <w:rFonts w:hint="eastAsia" w:ascii="宋体" w:hAnsi="宋体" w:eastAsia="宋体" w:cs="宋体"/>
          <w:sz w:val="32"/>
          <w:szCs w:val="32"/>
          <w:lang w:val="en-US" w:eastAsia="zh-CN"/>
        </w:rPr>
        <w:t>2</w:t>
      </w:r>
      <w:r>
        <w:rPr>
          <w:rFonts w:hint="eastAsia" w:ascii="宋体" w:hAnsi="宋体" w:eastAsia="宋体" w:cs="宋体"/>
          <w:sz w:val="32"/>
          <w:szCs w:val="32"/>
        </w:rPr>
        <w:t>年</w:t>
      </w:r>
      <w:r>
        <w:rPr>
          <w:rFonts w:hint="eastAsia" w:ascii="宋体" w:hAnsi="宋体" w:cs="宋体"/>
          <w:sz w:val="32"/>
          <w:szCs w:val="32"/>
          <w:lang w:eastAsia="zh-CN"/>
        </w:rPr>
        <w:t>单位</w:t>
      </w:r>
      <w:r>
        <w:rPr>
          <w:rFonts w:hint="eastAsia" w:ascii="宋体" w:hAnsi="宋体" w:eastAsia="宋体" w:cs="宋体"/>
          <w:sz w:val="32"/>
          <w:szCs w:val="32"/>
        </w:rPr>
        <w:t>预算基本支出是</w:t>
      </w:r>
      <w:r>
        <w:rPr>
          <w:rFonts w:hint="eastAsia" w:ascii="宋体" w:hAnsi="宋体" w:eastAsia="宋体" w:cs="宋体"/>
          <w:sz w:val="32"/>
          <w:szCs w:val="32"/>
          <w:lang w:val="en-US" w:eastAsia="zh-CN"/>
        </w:rPr>
        <w:t>180.95</w:t>
      </w:r>
      <w:r>
        <w:rPr>
          <w:rFonts w:hint="eastAsia" w:ascii="宋体" w:hAnsi="宋体" w:eastAsia="宋体" w:cs="宋体"/>
          <w:sz w:val="32"/>
          <w:szCs w:val="32"/>
        </w:rPr>
        <w:t>万元，</w:t>
      </w:r>
      <w:r>
        <w:rPr>
          <w:rFonts w:hint="eastAsia" w:ascii="宋体" w:hAnsi="宋体" w:eastAsia="宋体" w:cs="宋体"/>
          <w:sz w:val="32"/>
          <w:szCs w:val="32"/>
          <w:lang w:eastAsia="zh-CN"/>
        </w:rPr>
        <w:t>其中，人员经费</w:t>
      </w:r>
      <w:r>
        <w:rPr>
          <w:rFonts w:hint="eastAsia" w:ascii="宋体" w:hAnsi="宋体" w:eastAsia="宋体" w:cs="宋体"/>
          <w:sz w:val="32"/>
          <w:szCs w:val="32"/>
          <w:lang w:val="en-US" w:eastAsia="zh-CN"/>
        </w:rPr>
        <w:t>173.04万元，日常公用经费7.91万元；</w:t>
      </w:r>
      <w:r>
        <w:rPr>
          <w:rFonts w:hint="eastAsia" w:ascii="宋体" w:hAnsi="宋体" w:eastAsia="宋体" w:cs="宋体"/>
          <w:sz w:val="32"/>
          <w:szCs w:val="32"/>
        </w:rPr>
        <w:t>202</w:t>
      </w:r>
      <w:r>
        <w:rPr>
          <w:rFonts w:hint="eastAsia" w:ascii="宋体" w:hAnsi="宋体" w:eastAsia="宋体" w:cs="宋体"/>
          <w:sz w:val="32"/>
          <w:szCs w:val="32"/>
          <w:lang w:val="en-US" w:eastAsia="zh-CN"/>
        </w:rPr>
        <w:t>2</w:t>
      </w:r>
      <w:r>
        <w:rPr>
          <w:rFonts w:hint="eastAsia" w:ascii="宋体" w:hAnsi="宋体" w:eastAsia="宋体" w:cs="宋体"/>
          <w:sz w:val="32"/>
          <w:szCs w:val="32"/>
        </w:rPr>
        <w:t>年</w:t>
      </w:r>
      <w:r>
        <w:rPr>
          <w:rFonts w:hint="eastAsia" w:ascii="宋体" w:hAnsi="宋体" w:cs="宋体"/>
          <w:sz w:val="32"/>
          <w:szCs w:val="32"/>
          <w:lang w:eastAsia="zh-CN"/>
        </w:rPr>
        <w:t>单位</w:t>
      </w:r>
      <w:r>
        <w:rPr>
          <w:rFonts w:hint="eastAsia" w:ascii="宋体" w:hAnsi="宋体" w:eastAsia="宋体" w:cs="宋体"/>
          <w:sz w:val="32"/>
          <w:szCs w:val="32"/>
        </w:rPr>
        <w:t>预算项目支出</w:t>
      </w:r>
      <w:r>
        <w:rPr>
          <w:rFonts w:hint="eastAsia" w:ascii="宋体" w:hAnsi="宋体" w:eastAsia="宋体" w:cs="宋体"/>
          <w:sz w:val="32"/>
          <w:szCs w:val="32"/>
          <w:lang w:val="en-US" w:eastAsia="zh-CN"/>
        </w:rPr>
        <w:t>399.81</w:t>
      </w:r>
      <w:r>
        <w:rPr>
          <w:rFonts w:hint="eastAsia" w:ascii="宋体" w:hAnsi="宋体" w:eastAsia="宋体" w:cs="宋体"/>
          <w:sz w:val="32"/>
          <w:szCs w:val="32"/>
        </w:rPr>
        <w:t>万元</w:t>
      </w:r>
      <w:r>
        <w:rPr>
          <w:rFonts w:hint="eastAsia" w:ascii="宋体" w:hAnsi="宋体" w:eastAsia="宋体" w:cs="宋体"/>
          <w:sz w:val="32"/>
          <w:szCs w:val="32"/>
          <w:lang w:eastAsia="zh-CN"/>
        </w:rPr>
        <w:t>。</w:t>
      </w:r>
    </w:p>
    <w:p>
      <w:pPr>
        <w:pStyle w:val="4"/>
        <w:ind w:firstLine="643" w:firstLineChars="200"/>
        <w:rPr>
          <w:rFonts w:hint="eastAsia" w:hAnsi="宋体" w:cs="宋体"/>
          <w:b/>
          <w:sz w:val="32"/>
          <w:szCs w:val="32"/>
        </w:rPr>
      </w:pPr>
      <w:r>
        <w:rPr>
          <w:rFonts w:hint="eastAsia" w:hAnsi="宋体" w:cs="宋体"/>
          <w:b/>
          <w:sz w:val="32"/>
          <w:szCs w:val="32"/>
        </w:rPr>
        <w:t>三、机关运行经费预算安排情况</w:t>
      </w:r>
    </w:p>
    <w:p>
      <w:pPr>
        <w:ind w:firstLine="640" w:firstLineChars="200"/>
        <w:rPr>
          <w:rFonts w:hint="eastAsia" w:ascii="仿宋_GB2312" w:hAnsi="仿宋" w:eastAsia="仿宋_GB2312" w:cs="仿宋_GB2312"/>
          <w:sz w:val="32"/>
          <w:szCs w:val="32"/>
        </w:rPr>
      </w:pPr>
      <w:r>
        <w:rPr>
          <w:rFonts w:hint="eastAsia" w:ascii="宋体" w:hAnsi="宋体" w:cs="宋体"/>
          <w:kern w:val="0"/>
          <w:sz w:val="32"/>
          <w:szCs w:val="32"/>
          <w:lang w:bidi="ar"/>
        </w:rPr>
        <w:t>我单位202</w:t>
      </w:r>
      <w:r>
        <w:rPr>
          <w:rFonts w:hint="eastAsia" w:ascii="宋体" w:hAnsi="宋体" w:cs="宋体"/>
          <w:kern w:val="0"/>
          <w:sz w:val="32"/>
          <w:szCs w:val="32"/>
          <w:lang w:val="en-US" w:eastAsia="zh-CN" w:bidi="ar"/>
        </w:rPr>
        <w:t>2</w:t>
      </w:r>
      <w:r>
        <w:rPr>
          <w:rFonts w:hint="eastAsia" w:ascii="宋体" w:hAnsi="宋体" w:cs="宋体"/>
          <w:kern w:val="0"/>
          <w:sz w:val="32"/>
          <w:szCs w:val="32"/>
          <w:lang w:bidi="ar"/>
        </w:rPr>
        <w:t>年日常公用经费共计安排</w:t>
      </w:r>
      <w:r>
        <w:rPr>
          <w:rFonts w:hint="eastAsia" w:ascii="宋体" w:hAnsi="宋体" w:cs="宋体"/>
          <w:kern w:val="0"/>
          <w:sz w:val="32"/>
          <w:szCs w:val="32"/>
          <w:lang w:val="en-US" w:eastAsia="zh-CN" w:bidi="ar"/>
        </w:rPr>
        <w:t>7.91</w:t>
      </w:r>
      <w:r>
        <w:rPr>
          <w:rFonts w:hint="eastAsia" w:ascii="宋体" w:hAnsi="宋体" w:cs="宋体"/>
          <w:kern w:val="0"/>
          <w:sz w:val="32"/>
          <w:szCs w:val="32"/>
          <w:lang w:bidi="ar"/>
        </w:rPr>
        <w:t>万元</w:t>
      </w:r>
      <w:r>
        <w:rPr>
          <w:rFonts w:hint="eastAsia" w:ascii="宋体" w:hAnsi="宋体" w:cs="宋体"/>
          <w:kern w:val="0"/>
          <w:sz w:val="32"/>
          <w:szCs w:val="32"/>
          <w:lang w:eastAsia="zh-CN" w:bidi="ar"/>
        </w:rPr>
        <w:t>。</w:t>
      </w:r>
      <w:r>
        <w:rPr>
          <w:rFonts w:hint="eastAsia" w:hAnsi="宋体" w:cs="宋体"/>
          <w:sz w:val="32"/>
          <w:szCs w:val="32"/>
        </w:rPr>
        <w:t>具体安排：办公费</w:t>
      </w:r>
      <w:r>
        <w:rPr>
          <w:rFonts w:hint="eastAsia" w:hAnsi="宋体" w:cs="宋体"/>
          <w:sz w:val="32"/>
          <w:szCs w:val="32"/>
          <w:lang w:val="en-US" w:eastAsia="zh-CN"/>
        </w:rPr>
        <w:t>3.04</w:t>
      </w:r>
      <w:r>
        <w:rPr>
          <w:rFonts w:hint="eastAsia" w:hAnsi="宋体" w:cs="宋体"/>
          <w:sz w:val="32"/>
          <w:szCs w:val="32"/>
        </w:rPr>
        <w:t>万元，水费0.</w:t>
      </w:r>
      <w:r>
        <w:rPr>
          <w:rFonts w:hint="eastAsia" w:hAnsi="宋体" w:cs="宋体"/>
          <w:sz w:val="32"/>
          <w:szCs w:val="32"/>
          <w:lang w:val="en-US" w:eastAsia="zh-CN"/>
        </w:rPr>
        <w:t>05</w:t>
      </w:r>
      <w:r>
        <w:rPr>
          <w:rFonts w:hint="eastAsia" w:hAnsi="宋体" w:cs="宋体"/>
          <w:sz w:val="32"/>
          <w:szCs w:val="32"/>
        </w:rPr>
        <w:t>万元，电费</w:t>
      </w:r>
      <w:r>
        <w:rPr>
          <w:rFonts w:hint="eastAsia" w:hAnsi="宋体" w:cs="宋体"/>
          <w:sz w:val="32"/>
          <w:szCs w:val="32"/>
          <w:lang w:val="en-US" w:eastAsia="zh-CN"/>
        </w:rPr>
        <w:t>0.09</w:t>
      </w:r>
      <w:r>
        <w:rPr>
          <w:rFonts w:hint="eastAsia" w:hAnsi="宋体" w:cs="宋体"/>
          <w:sz w:val="32"/>
          <w:szCs w:val="32"/>
        </w:rPr>
        <w:t>万元，</w:t>
      </w:r>
      <w:r>
        <w:rPr>
          <w:rFonts w:hint="eastAsia" w:hAnsi="宋体" w:cs="宋体"/>
          <w:sz w:val="32"/>
          <w:szCs w:val="32"/>
          <w:lang w:eastAsia="zh-CN"/>
        </w:rPr>
        <w:t>公务移动通讯费用补贴</w:t>
      </w:r>
      <w:r>
        <w:rPr>
          <w:rFonts w:hint="eastAsia" w:hAnsi="宋体" w:cs="宋体"/>
          <w:sz w:val="32"/>
          <w:szCs w:val="32"/>
          <w:lang w:val="en-US" w:eastAsia="zh-CN"/>
        </w:rPr>
        <w:t>1.50</w:t>
      </w:r>
      <w:r>
        <w:rPr>
          <w:rFonts w:hint="eastAsia" w:hAnsi="宋体" w:cs="宋体"/>
          <w:sz w:val="32"/>
          <w:szCs w:val="32"/>
        </w:rPr>
        <w:t>万元</w:t>
      </w:r>
      <w:r>
        <w:rPr>
          <w:rFonts w:hint="eastAsia" w:hAnsi="宋体" w:cs="宋体"/>
          <w:sz w:val="32"/>
          <w:szCs w:val="32"/>
          <w:lang w:eastAsia="zh-CN"/>
        </w:rPr>
        <w:t>，维修（护）费</w:t>
      </w:r>
      <w:r>
        <w:rPr>
          <w:rFonts w:hint="eastAsia" w:hAnsi="宋体" w:cs="宋体"/>
          <w:sz w:val="32"/>
          <w:szCs w:val="32"/>
          <w:lang w:val="en-US" w:eastAsia="zh-CN"/>
        </w:rPr>
        <w:t>0.06万元，工会经费1.16万元，福利费2.01万元</w:t>
      </w:r>
      <w:r>
        <w:rPr>
          <w:rFonts w:hint="eastAsia" w:hAnsi="宋体" w:cs="宋体"/>
          <w:sz w:val="32"/>
          <w:szCs w:val="32"/>
        </w:rPr>
        <w:t>。</w:t>
      </w:r>
    </w:p>
    <w:p>
      <w:pPr>
        <w:numPr>
          <w:ilvl w:val="0"/>
          <w:numId w:val="0"/>
        </w:numPr>
        <w:ind w:firstLine="643" w:firstLineChars="200"/>
        <w:rPr>
          <w:rFonts w:hint="eastAsia" w:ascii="宋体" w:hAnsi="宋体" w:eastAsia="宋体" w:cs="宋体"/>
          <w:b/>
          <w:bCs/>
          <w:sz w:val="32"/>
          <w:szCs w:val="32"/>
        </w:rPr>
      </w:pPr>
      <w:r>
        <w:rPr>
          <w:rFonts w:hint="eastAsia" w:ascii="宋体" w:hAnsi="宋体" w:eastAsia="宋体" w:cs="宋体"/>
          <w:b/>
          <w:bCs/>
          <w:kern w:val="0"/>
          <w:sz w:val="32"/>
          <w:szCs w:val="32"/>
          <w:lang w:eastAsia="zh-CN" w:bidi="ar"/>
        </w:rPr>
        <w:t>四、</w:t>
      </w:r>
      <w:r>
        <w:rPr>
          <w:rFonts w:hint="eastAsia" w:ascii="宋体" w:hAnsi="宋体" w:eastAsia="宋体" w:cs="宋体"/>
          <w:b/>
          <w:bCs/>
          <w:kern w:val="0"/>
          <w:sz w:val="32"/>
          <w:szCs w:val="32"/>
          <w:lang w:bidi="ar"/>
        </w:rPr>
        <w:t>财政拨款“三公”经费预算安排情况：</w:t>
      </w:r>
    </w:p>
    <w:p>
      <w:pPr>
        <w:ind w:firstLine="640"/>
        <w:rPr>
          <w:rFonts w:hint="eastAsia" w:ascii="宋体" w:hAnsi="宋体" w:eastAsia="宋体" w:cs="宋体"/>
          <w:sz w:val="32"/>
          <w:szCs w:val="32"/>
        </w:rPr>
      </w:pPr>
      <w:r>
        <w:rPr>
          <w:rFonts w:hint="eastAsia" w:ascii="宋体" w:hAnsi="宋体" w:eastAsia="宋体" w:cs="宋体"/>
          <w:sz w:val="32"/>
          <w:szCs w:val="32"/>
        </w:rPr>
        <w:t>我单位</w:t>
      </w:r>
      <w:r>
        <w:rPr>
          <w:rFonts w:hint="eastAsia" w:ascii="宋体" w:hAnsi="宋体" w:eastAsia="宋体" w:cs="宋体"/>
          <w:sz w:val="32"/>
          <w:szCs w:val="32"/>
          <w:lang w:val="en-US" w:eastAsia="zh-CN"/>
        </w:rPr>
        <w:t>2022</w:t>
      </w:r>
      <w:r>
        <w:rPr>
          <w:rFonts w:hint="eastAsia" w:ascii="宋体" w:hAnsi="宋体" w:eastAsia="宋体" w:cs="宋体"/>
          <w:sz w:val="32"/>
          <w:szCs w:val="32"/>
        </w:rPr>
        <w:t>年预算为贯彻落实中央八项规定，坚持勤俭节约，采取有效措施，严控“三公”经费预算规模，</w:t>
      </w:r>
      <w:r>
        <w:rPr>
          <w:rFonts w:hint="eastAsia" w:ascii="宋体" w:hAnsi="宋体" w:eastAsia="宋体" w:cs="宋体"/>
          <w:sz w:val="32"/>
          <w:szCs w:val="32"/>
          <w:lang w:val="en-US" w:eastAsia="zh-CN"/>
        </w:rPr>
        <w:t>2022</w:t>
      </w:r>
      <w:r>
        <w:rPr>
          <w:rFonts w:hint="eastAsia" w:ascii="宋体" w:hAnsi="宋体" w:eastAsia="宋体" w:cs="宋体"/>
          <w:sz w:val="32"/>
          <w:szCs w:val="32"/>
        </w:rPr>
        <w:t>年“三公”经费预算为</w:t>
      </w:r>
      <w:r>
        <w:rPr>
          <w:rFonts w:hint="eastAsia" w:ascii="宋体" w:hAnsi="宋体" w:eastAsia="宋体" w:cs="宋体"/>
          <w:sz w:val="32"/>
          <w:szCs w:val="32"/>
          <w:lang w:val="en-US" w:eastAsia="zh-CN"/>
        </w:rPr>
        <w:t>0</w:t>
      </w:r>
      <w:r>
        <w:rPr>
          <w:rFonts w:hint="eastAsia" w:ascii="宋体" w:hAnsi="宋体" w:eastAsia="宋体" w:cs="宋体"/>
          <w:sz w:val="32"/>
          <w:szCs w:val="32"/>
        </w:rPr>
        <w:t>万元</w:t>
      </w:r>
      <w:r>
        <w:rPr>
          <w:rFonts w:hint="eastAsia" w:ascii="宋体" w:hAnsi="宋体" w:eastAsia="宋体" w:cs="宋体"/>
          <w:sz w:val="32"/>
          <w:szCs w:val="32"/>
          <w:lang w:val="en-US" w:eastAsia="zh-CN"/>
        </w:rPr>
        <w:t>,与上年无变化</w:t>
      </w:r>
      <w:r>
        <w:rPr>
          <w:rFonts w:hint="eastAsia" w:ascii="宋体" w:hAnsi="宋体" w:eastAsia="宋体" w:cs="宋体"/>
          <w:sz w:val="32"/>
          <w:szCs w:val="32"/>
        </w:rPr>
        <w:t>。</w:t>
      </w:r>
    </w:p>
    <w:p>
      <w:pPr>
        <w:numPr>
          <w:ilvl w:val="0"/>
          <w:numId w:val="1"/>
        </w:numPr>
        <w:ind w:firstLine="640"/>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预算绩效信息</w:t>
      </w:r>
    </w:p>
    <w:p>
      <w:pPr>
        <w:spacing w:before="10" w:after="10" w:line="240" w:lineRule="auto"/>
        <w:ind w:firstLine="560"/>
        <w:jc w:val="left"/>
        <w:outlineLvl w:val="1"/>
        <w:rPr>
          <w:rFonts w:hint="eastAsia" w:ascii="宋体" w:hAnsi="宋体" w:eastAsia="宋体" w:cs="宋体"/>
          <w:sz w:val="32"/>
          <w:szCs w:val="32"/>
        </w:rPr>
      </w:pPr>
      <w:bookmarkStart w:id="0" w:name="_Toc_2_2_0000000001"/>
      <w:r>
        <w:rPr>
          <w:rFonts w:hint="eastAsia" w:ascii="宋体" w:hAnsi="宋体" w:eastAsia="宋体" w:cs="宋体"/>
          <w:color w:val="000000"/>
          <w:sz w:val="32"/>
          <w:szCs w:val="32"/>
          <w:lang w:val="en-US" w:eastAsia="zh-CN"/>
        </w:rPr>
        <w:t>1</w:t>
      </w:r>
      <w:r>
        <w:rPr>
          <w:rFonts w:hint="eastAsia" w:ascii="宋体" w:hAnsi="宋体" w:eastAsia="宋体" w:cs="宋体"/>
          <w:color w:val="000000"/>
          <w:sz w:val="32"/>
          <w:szCs w:val="32"/>
        </w:rPr>
        <w:t>、总体绩效目标</w:t>
      </w:r>
      <w:bookmarkEnd w:id="0"/>
    </w:p>
    <w:p>
      <w:pPr>
        <w:pStyle w:val="7"/>
        <w:spacing w:line="240" w:lineRule="auto"/>
        <w:rPr>
          <w:rFonts w:hint="eastAsia" w:ascii="宋体" w:hAnsi="宋体" w:eastAsia="宋体" w:cs="宋体"/>
          <w:b/>
          <w:bCs/>
          <w:sz w:val="32"/>
          <w:szCs w:val="32"/>
          <w:lang w:eastAsia="zh-CN"/>
        </w:rPr>
      </w:pPr>
      <w:r>
        <w:rPr>
          <w:rFonts w:hint="eastAsia" w:ascii="宋体" w:hAnsi="宋体" w:eastAsia="宋体" w:cs="宋体"/>
          <w:sz w:val="32"/>
          <w:szCs w:val="32"/>
        </w:rPr>
        <w:t>按照县委、县政府工作部署，深入学习贯彻党的十九大</w:t>
      </w:r>
      <w:bookmarkStart w:id="2" w:name="_GoBack"/>
      <w:bookmarkEnd w:id="2"/>
      <w:r>
        <w:rPr>
          <w:rFonts w:hint="eastAsia" w:ascii="宋体" w:hAnsi="宋体" w:eastAsia="宋体" w:cs="宋体"/>
          <w:sz w:val="32"/>
          <w:szCs w:val="32"/>
        </w:rPr>
        <w:t>精神，到2022年全部完成综合改革任务，按照县政府授权，对重要农业生产资料、烟花爆竹、和再生资源经营进行组织协调管理，负责管理食盐、防汛、救灾物资等重要物资储备工作。按照有关规定，负责全县流通领域盐业行政管理及食盐批发、零售的监督管理和许可管理，负责市场工业用盐管理。组建宁晋县农村产权流转交易中心，开展农村产权流转交易信息平台发布。</w:t>
      </w:r>
    </w:p>
    <w:p>
      <w:pPr>
        <w:widowControl/>
        <w:ind w:firstLine="640" w:firstLineChars="200"/>
        <w:jc w:val="left"/>
        <w:rPr>
          <w:rFonts w:ascii="宋体" w:hAnsi="宋体" w:cs="宋体"/>
          <w:b/>
          <w:kern w:val="0"/>
          <w:sz w:val="32"/>
          <w:szCs w:val="32"/>
          <w:lang w:bidi="ar"/>
        </w:rPr>
      </w:pPr>
      <w:r>
        <w:rPr>
          <w:rFonts w:hint="eastAsia" w:ascii="宋体" w:hAnsi="宋体" w:eastAsia="宋体" w:cs="宋体"/>
          <w:b w:val="0"/>
          <w:bCs/>
          <w:kern w:val="0"/>
          <w:sz w:val="32"/>
          <w:szCs w:val="32"/>
          <w:lang w:val="en-US" w:eastAsia="zh-CN" w:bidi="ar"/>
        </w:rPr>
        <w:t>2、</w:t>
      </w:r>
      <w:r>
        <w:rPr>
          <w:rFonts w:hint="eastAsia" w:ascii="宋体" w:hAnsi="宋体" w:eastAsia="宋体" w:cs="宋体"/>
          <w:b w:val="0"/>
          <w:bCs/>
          <w:kern w:val="0"/>
          <w:sz w:val="32"/>
          <w:szCs w:val="32"/>
          <w:lang w:bidi="ar"/>
        </w:rPr>
        <w:t>“</w:t>
      </w:r>
      <w:r>
        <w:rPr>
          <w:rFonts w:hint="eastAsia" w:ascii="宋体" w:hAnsi="宋体" w:cs="宋体"/>
          <w:b w:val="0"/>
          <w:bCs/>
          <w:kern w:val="0"/>
          <w:sz w:val="32"/>
          <w:szCs w:val="32"/>
          <w:lang w:eastAsia="zh-CN" w:bidi="ar"/>
        </w:rPr>
        <w:t>单位</w:t>
      </w:r>
      <w:r>
        <w:rPr>
          <w:rFonts w:hint="eastAsia" w:ascii="宋体" w:hAnsi="宋体" w:eastAsia="宋体" w:cs="宋体"/>
          <w:b w:val="0"/>
          <w:bCs/>
          <w:kern w:val="0"/>
          <w:sz w:val="32"/>
          <w:szCs w:val="32"/>
          <w:lang w:bidi="ar"/>
        </w:rPr>
        <w:t>职责-工作活动”绩效目标指标明细表详见下表</w:t>
      </w:r>
      <w:r>
        <w:rPr>
          <w:rFonts w:hint="eastAsia" w:ascii="仿宋_GB2312" w:hAnsi="宋体" w:eastAsia="仿宋_GB2312" w:cs="宋体"/>
          <w:b w:val="0"/>
          <w:bCs/>
          <w:kern w:val="0"/>
          <w:sz w:val="32"/>
          <w:szCs w:val="32"/>
          <w:lang w:bidi="ar"/>
        </w:rPr>
        <w:t>。</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64"/>
        <w:gridCol w:w="1235"/>
        <w:gridCol w:w="2878"/>
        <w:gridCol w:w="2877"/>
        <w:gridCol w:w="1371"/>
        <w:gridCol w:w="712"/>
        <w:gridCol w:w="713"/>
        <w:gridCol w:w="712"/>
        <w:gridCol w:w="714"/>
        <w:gridCol w:w="69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625" w:type="dxa"/>
            <w:gridSpan w:val="5"/>
            <w:tcBorders>
              <w:top w:val="single" w:color="FFFFFF" w:sz="6" w:space="0"/>
              <w:left w:val="single" w:color="FFFFFF" w:sz="6" w:space="0"/>
              <w:right w:val="single" w:color="FFFFFF" w:sz="6" w:space="0"/>
            </w:tcBorders>
            <w:noWrap w:val="0"/>
            <w:vAlign w:val="center"/>
          </w:tcPr>
          <w:p>
            <w:pPr>
              <w:spacing w:line="300" w:lineRule="exact"/>
              <w:jc w:val="left"/>
              <w:rPr>
                <w:rFonts w:hint="eastAsia" w:ascii="方正小标宋_GBK" w:eastAsia="方正小标宋_GBK"/>
                <w:sz w:val="24"/>
                <w:lang w:eastAsia="zh-CN"/>
              </w:rPr>
            </w:pPr>
            <w:r>
              <w:rPr>
                <w:rFonts w:ascii="方正小标宋_GBK" w:eastAsia="方正小标宋_GBK"/>
                <w:sz w:val="24"/>
              </w:rPr>
              <w:t>975</w:t>
            </w:r>
            <w:r>
              <w:rPr>
                <w:rFonts w:hint="eastAsia" w:ascii="方正小标宋_GBK" w:eastAsia="方正小标宋_GBK"/>
                <w:sz w:val="24"/>
                <w:lang w:val="en-US" w:eastAsia="zh-CN"/>
              </w:rPr>
              <w:t>001</w:t>
            </w:r>
            <w:r>
              <w:rPr>
                <w:rFonts w:hint="eastAsia" w:ascii="方正小标宋_GBK" w:eastAsia="方正小标宋_GBK"/>
                <w:sz w:val="24"/>
              </w:rPr>
              <w:t>宁晋县供销合作社</w:t>
            </w:r>
            <w:r>
              <w:rPr>
                <w:rFonts w:hint="eastAsia" w:ascii="方正小标宋_GBK" w:eastAsia="方正小标宋_GBK"/>
                <w:sz w:val="24"/>
                <w:lang w:eastAsia="zh-CN"/>
              </w:rPr>
              <w:t>本级</w:t>
            </w:r>
          </w:p>
        </w:tc>
        <w:tc>
          <w:tcPr>
            <w:tcW w:w="2851" w:type="dxa"/>
            <w:gridSpan w:val="4"/>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c>
          <w:tcPr>
            <w:tcW w:w="697" w:type="dxa"/>
            <w:tcBorders>
              <w:top w:val="single" w:color="FFFFFF" w:sz="6" w:space="0"/>
              <w:left w:val="single" w:color="FFFFFF" w:sz="6" w:space="0"/>
              <w:right w:val="single" w:color="FFFFFF" w:sz="6" w:space="0"/>
            </w:tcBorders>
            <w:noWrap w:val="0"/>
            <w:vAlign w:val="center"/>
          </w:tcPr>
          <w:p>
            <w:pPr>
              <w:spacing w:line="300" w:lineRule="exact"/>
              <w:jc w:val="right"/>
              <w:rPr>
                <w:rFonts w:hint="eastAsia" w:ascii="方正书宋_GBK" w:eastAsia="方正书宋_GBK"/>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26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35"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878"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877"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37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851" w:type="dxa"/>
            <w:gridSpan w:val="4"/>
            <w:noWrap w:val="0"/>
            <w:vAlign w:val="center"/>
          </w:tcPr>
          <w:p>
            <w:pPr>
              <w:spacing w:line="300" w:lineRule="exact"/>
              <w:jc w:val="center"/>
              <w:rPr>
                <w:rFonts w:ascii="方正书宋_GBK" w:eastAsia="方正书宋_GBK"/>
                <w:b/>
              </w:rPr>
            </w:pPr>
            <w:r>
              <w:rPr>
                <w:rFonts w:hint="eastAsia" w:ascii="方正书宋_GBK" w:eastAsia="方正书宋_GBK"/>
                <w:b/>
              </w:rPr>
              <w:t>评价标准</w:t>
            </w:r>
          </w:p>
        </w:tc>
        <w:tc>
          <w:tcPr>
            <w:tcW w:w="697" w:type="dxa"/>
            <w:noWrap w:val="0"/>
            <w:vAlign w:val="center"/>
          </w:tcPr>
          <w:p>
            <w:pPr>
              <w:spacing w:line="300" w:lineRule="exact"/>
              <w:jc w:val="center"/>
              <w:rPr>
                <w:rFonts w:hint="eastAsia"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264" w:type="dxa"/>
            <w:vMerge w:val="continue"/>
            <w:noWrap w:val="0"/>
            <w:vAlign w:val="center"/>
          </w:tcPr>
          <w:p>
            <w:pPr>
              <w:spacing w:line="300" w:lineRule="exact"/>
              <w:jc w:val="left"/>
              <w:outlineLvl w:val="0"/>
            </w:pPr>
          </w:p>
        </w:tc>
        <w:tc>
          <w:tcPr>
            <w:tcW w:w="1235" w:type="dxa"/>
            <w:vMerge w:val="continue"/>
            <w:noWrap w:val="0"/>
            <w:vAlign w:val="center"/>
          </w:tcPr>
          <w:p>
            <w:pPr>
              <w:spacing w:line="300" w:lineRule="exact"/>
              <w:jc w:val="left"/>
              <w:outlineLvl w:val="0"/>
            </w:pPr>
          </w:p>
        </w:tc>
        <w:tc>
          <w:tcPr>
            <w:tcW w:w="2878" w:type="dxa"/>
            <w:vMerge w:val="continue"/>
            <w:noWrap w:val="0"/>
            <w:vAlign w:val="center"/>
          </w:tcPr>
          <w:p>
            <w:pPr>
              <w:spacing w:line="300" w:lineRule="exact"/>
              <w:jc w:val="left"/>
              <w:outlineLvl w:val="0"/>
            </w:pPr>
          </w:p>
        </w:tc>
        <w:tc>
          <w:tcPr>
            <w:tcW w:w="2877" w:type="dxa"/>
            <w:vMerge w:val="continue"/>
            <w:noWrap w:val="0"/>
            <w:vAlign w:val="center"/>
          </w:tcPr>
          <w:p>
            <w:pPr>
              <w:spacing w:line="300" w:lineRule="exact"/>
              <w:jc w:val="left"/>
              <w:outlineLvl w:val="0"/>
            </w:pPr>
          </w:p>
        </w:tc>
        <w:tc>
          <w:tcPr>
            <w:tcW w:w="1371" w:type="dxa"/>
            <w:vMerge w:val="continue"/>
            <w:noWrap w:val="0"/>
            <w:vAlign w:val="center"/>
          </w:tcPr>
          <w:p>
            <w:pPr>
              <w:spacing w:line="300" w:lineRule="exact"/>
              <w:jc w:val="left"/>
              <w:outlineLvl w:val="0"/>
            </w:pPr>
          </w:p>
        </w:tc>
        <w:tc>
          <w:tcPr>
            <w:tcW w:w="712" w:type="dxa"/>
            <w:noWrap w:val="0"/>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13" w:type="dxa"/>
            <w:noWrap w:val="0"/>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12" w:type="dxa"/>
            <w:noWrap w:val="0"/>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14" w:type="dxa"/>
            <w:noWrap w:val="0"/>
            <w:vAlign w:val="center"/>
          </w:tcPr>
          <w:p>
            <w:pPr>
              <w:spacing w:line="300" w:lineRule="exact"/>
              <w:jc w:val="center"/>
              <w:rPr>
                <w:rFonts w:ascii="方正书宋_GBK" w:eastAsia="方正书宋_GBK"/>
                <w:b/>
              </w:rPr>
            </w:pPr>
            <w:r>
              <w:rPr>
                <w:rFonts w:hint="eastAsia" w:ascii="方正书宋_GBK" w:eastAsia="方正书宋_GBK"/>
                <w:b/>
              </w:rPr>
              <w:t>差</w:t>
            </w:r>
          </w:p>
        </w:tc>
        <w:tc>
          <w:tcPr>
            <w:tcW w:w="697" w:type="dxa"/>
            <w:noWrap w:val="0"/>
            <w:vAlign w:val="center"/>
          </w:tcPr>
          <w:p>
            <w:pPr>
              <w:spacing w:line="300" w:lineRule="exact"/>
              <w:jc w:val="center"/>
              <w:rPr>
                <w:rFonts w:hint="eastAsia"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noWrap w:val="0"/>
            <w:vAlign w:val="center"/>
          </w:tcPr>
          <w:p>
            <w:pPr>
              <w:spacing w:line="300" w:lineRule="exact"/>
              <w:jc w:val="left"/>
              <w:rPr>
                <w:rFonts w:ascii="方正书宋_GBK" w:eastAsia="方正书宋_GBK"/>
                <w:b/>
              </w:rPr>
            </w:pPr>
            <w:r>
              <w:rPr>
                <w:rFonts w:hint="eastAsia" w:ascii="方正书宋_GBK" w:eastAsia="方正书宋_GBK"/>
                <w:b/>
              </w:rPr>
              <w:t>供销流通管理</w:t>
            </w:r>
          </w:p>
        </w:tc>
        <w:tc>
          <w:tcPr>
            <w:tcW w:w="1235" w:type="dxa"/>
            <w:noWrap w:val="0"/>
            <w:vAlign w:val="center"/>
          </w:tcPr>
          <w:p>
            <w:pPr>
              <w:spacing w:line="300" w:lineRule="exact"/>
              <w:jc w:val="left"/>
              <w:rPr>
                <w:rFonts w:ascii="方正书宋_GBK" w:eastAsia="方正书宋_GBK"/>
              </w:rPr>
            </w:pPr>
          </w:p>
        </w:tc>
        <w:tc>
          <w:tcPr>
            <w:tcW w:w="2878" w:type="dxa"/>
            <w:noWrap w:val="0"/>
            <w:vAlign w:val="center"/>
          </w:tcPr>
          <w:p>
            <w:pPr>
              <w:spacing w:line="300" w:lineRule="exact"/>
              <w:jc w:val="left"/>
              <w:rPr>
                <w:rFonts w:ascii="方正书宋_GBK" w:eastAsia="方正书宋_GBK"/>
              </w:rPr>
            </w:pPr>
            <w:r>
              <w:rPr>
                <w:rFonts w:hint="eastAsia" w:ascii="方正书宋_GBK" w:eastAsia="方正书宋_GBK"/>
              </w:rPr>
              <w:t>贯彻落实党和政府商业流通有关方针政策，研究制定行业发展战略和规划，组织指导行业改革发展，负责行业管理，开展教育培训，维护合法权益</w:t>
            </w:r>
          </w:p>
        </w:tc>
        <w:tc>
          <w:tcPr>
            <w:tcW w:w="2877" w:type="dxa"/>
            <w:noWrap w:val="0"/>
            <w:vAlign w:val="center"/>
          </w:tcPr>
          <w:p>
            <w:pPr>
              <w:spacing w:line="300" w:lineRule="exact"/>
              <w:jc w:val="left"/>
              <w:rPr>
                <w:rFonts w:ascii="方正书宋_GBK" w:eastAsia="方正书宋_GBK"/>
              </w:rPr>
            </w:pPr>
            <w:r>
              <w:rPr>
                <w:rFonts w:hint="eastAsia" w:ascii="方正书宋_GBK" w:eastAsia="方正书宋_GBK"/>
              </w:rPr>
              <w:t>确保供销社事业改革、发展和壮大、发挥供销社在商业流通服务的作用</w:t>
            </w:r>
          </w:p>
        </w:tc>
        <w:tc>
          <w:tcPr>
            <w:tcW w:w="1371" w:type="dxa"/>
            <w:noWrap w:val="0"/>
            <w:vAlign w:val="center"/>
          </w:tcPr>
          <w:p>
            <w:pPr>
              <w:spacing w:line="300" w:lineRule="exact"/>
              <w:jc w:val="left"/>
              <w:rPr>
                <w:rFonts w:ascii="方正书宋_GBK" w:eastAsia="方正书宋_GBK"/>
              </w:rPr>
            </w:pPr>
          </w:p>
        </w:tc>
        <w:tc>
          <w:tcPr>
            <w:tcW w:w="712" w:type="dxa"/>
            <w:noWrap w:val="0"/>
            <w:vAlign w:val="center"/>
          </w:tcPr>
          <w:p>
            <w:pPr>
              <w:spacing w:line="300" w:lineRule="exact"/>
              <w:jc w:val="center"/>
              <w:rPr>
                <w:rFonts w:ascii="方正书宋_GBK" w:eastAsia="方正书宋_GBK"/>
              </w:rPr>
            </w:pPr>
          </w:p>
        </w:tc>
        <w:tc>
          <w:tcPr>
            <w:tcW w:w="713" w:type="dxa"/>
            <w:noWrap w:val="0"/>
            <w:vAlign w:val="center"/>
          </w:tcPr>
          <w:p>
            <w:pPr>
              <w:spacing w:line="300" w:lineRule="exact"/>
              <w:jc w:val="center"/>
              <w:rPr>
                <w:rFonts w:ascii="方正书宋_GBK" w:eastAsia="方正书宋_GBK"/>
              </w:rPr>
            </w:pPr>
          </w:p>
        </w:tc>
        <w:tc>
          <w:tcPr>
            <w:tcW w:w="712" w:type="dxa"/>
            <w:noWrap w:val="0"/>
            <w:vAlign w:val="center"/>
          </w:tcPr>
          <w:p>
            <w:pPr>
              <w:spacing w:line="300" w:lineRule="exact"/>
              <w:jc w:val="center"/>
              <w:rPr>
                <w:rFonts w:ascii="方正书宋_GBK" w:eastAsia="方正书宋_GBK"/>
              </w:rPr>
            </w:pPr>
          </w:p>
        </w:tc>
        <w:tc>
          <w:tcPr>
            <w:tcW w:w="714" w:type="dxa"/>
            <w:noWrap w:val="0"/>
            <w:vAlign w:val="center"/>
          </w:tcPr>
          <w:p>
            <w:pPr>
              <w:spacing w:line="300" w:lineRule="exact"/>
              <w:jc w:val="center"/>
              <w:rPr>
                <w:rFonts w:ascii="方正书宋_GBK" w:eastAsia="方正书宋_GBK"/>
              </w:rPr>
            </w:pPr>
          </w:p>
        </w:tc>
        <w:tc>
          <w:tcPr>
            <w:tcW w:w="697" w:type="dxa"/>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发展现代流通网络建设及管理</w:t>
            </w:r>
          </w:p>
        </w:tc>
        <w:tc>
          <w:tcPr>
            <w:tcW w:w="1235" w:type="dxa"/>
            <w:vMerge w:val="restart"/>
            <w:noWrap w:val="0"/>
            <w:vAlign w:val="center"/>
          </w:tcPr>
          <w:p>
            <w:pPr>
              <w:spacing w:line="300" w:lineRule="exact"/>
              <w:jc w:val="left"/>
              <w:rPr>
                <w:rFonts w:ascii="方正书宋_GBK" w:eastAsia="方正书宋_GBK"/>
              </w:rPr>
            </w:pPr>
          </w:p>
        </w:tc>
        <w:tc>
          <w:tcPr>
            <w:tcW w:w="2878"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落实供销社系统现代流通网络建设，加快服务创新、经营创新和业态创新，优化网络布局，完善网络体系，发挥一网多用、双向流通的作用，在农资供应、农产品流通、农村服务等重点领域和环节为农民提供便利实惠、安全优质的服务。</w:t>
            </w:r>
          </w:p>
        </w:tc>
        <w:tc>
          <w:tcPr>
            <w:tcW w:w="2877"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健全农资、农副产品、日用消费品、再生资源回收利用四大网络，加快形成连锁化、规模化、品牌化经营服务新格局；发展农村电子务，形成网上交易、仓储物流、终端配送一体化经营，推动线上线下融合发展。</w:t>
            </w:r>
          </w:p>
        </w:tc>
        <w:tc>
          <w:tcPr>
            <w:tcW w:w="1371" w:type="dxa"/>
            <w:noWrap w:val="0"/>
            <w:vAlign w:val="center"/>
          </w:tcPr>
          <w:p>
            <w:pPr>
              <w:spacing w:line="300" w:lineRule="exact"/>
              <w:jc w:val="left"/>
              <w:rPr>
                <w:rFonts w:ascii="方正书宋_GBK" w:eastAsia="方正书宋_GBK"/>
              </w:rPr>
            </w:pPr>
            <w:r>
              <w:rPr>
                <w:rFonts w:hint="eastAsia" w:ascii="方正书宋_GBK" w:eastAsia="方正书宋_GBK"/>
              </w:rPr>
              <w:t>农产品批发市场市场交易额增长率</w:t>
            </w:r>
          </w:p>
        </w:tc>
        <w:tc>
          <w:tcPr>
            <w:tcW w:w="712"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15%</w:t>
            </w:r>
          </w:p>
        </w:tc>
        <w:tc>
          <w:tcPr>
            <w:tcW w:w="713"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12%</w:t>
            </w:r>
          </w:p>
        </w:tc>
        <w:tc>
          <w:tcPr>
            <w:tcW w:w="712"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14"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w:t>
            </w:r>
          </w:p>
        </w:tc>
        <w:tc>
          <w:tcPr>
            <w:tcW w:w="697" w:type="dxa"/>
            <w:noWrap w:val="0"/>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vMerge w:val="continue"/>
            <w:noWrap w:val="0"/>
            <w:vAlign w:val="center"/>
          </w:tcPr>
          <w:p>
            <w:pPr>
              <w:spacing w:line="300" w:lineRule="exact"/>
              <w:jc w:val="left"/>
              <w:rPr>
                <w:rFonts w:hint="eastAsia" w:ascii="方正书宋_GBK" w:eastAsia="方正书宋_GBK"/>
                <w:b/>
              </w:rPr>
            </w:pPr>
          </w:p>
        </w:tc>
        <w:tc>
          <w:tcPr>
            <w:tcW w:w="1235" w:type="dxa"/>
            <w:vMerge w:val="continue"/>
            <w:noWrap w:val="0"/>
            <w:vAlign w:val="center"/>
          </w:tcPr>
          <w:p>
            <w:pPr>
              <w:spacing w:line="300" w:lineRule="exact"/>
              <w:jc w:val="left"/>
              <w:rPr>
                <w:rFonts w:ascii="方正书宋_GBK" w:eastAsia="方正书宋_GBK"/>
              </w:rPr>
            </w:pPr>
          </w:p>
        </w:tc>
        <w:tc>
          <w:tcPr>
            <w:tcW w:w="2878" w:type="dxa"/>
            <w:vMerge w:val="continue"/>
            <w:noWrap w:val="0"/>
            <w:vAlign w:val="center"/>
          </w:tcPr>
          <w:p>
            <w:pPr>
              <w:spacing w:line="300" w:lineRule="exact"/>
              <w:jc w:val="left"/>
              <w:rPr>
                <w:rFonts w:hint="eastAsia" w:ascii="方正书宋_GBK" w:eastAsia="方正书宋_GBK"/>
              </w:rPr>
            </w:pPr>
          </w:p>
        </w:tc>
        <w:tc>
          <w:tcPr>
            <w:tcW w:w="2877" w:type="dxa"/>
            <w:vMerge w:val="continue"/>
            <w:noWrap w:val="0"/>
            <w:vAlign w:val="center"/>
          </w:tcPr>
          <w:p>
            <w:pPr>
              <w:spacing w:line="300" w:lineRule="exact"/>
              <w:jc w:val="left"/>
              <w:rPr>
                <w:rFonts w:hint="eastAsia" w:ascii="方正书宋_GBK" w:eastAsia="方正书宋_GBK"/>
              </w:rPr>
            </w:pPr>
          </w:p>
        </w:tc>
        <w:tc>
          <w:tcPr>
            <w:tcW w:w="1371" w:type="dxa"/>
            <w:noWrap w:val="0"/>
            <w:vAlign w:val="center"/>
          </w:tcPr>
          <w:p>
            <w:pPr>
              <w:spacing w:line="300" w:lineRule="exact"/>
              <w:jc w:val="left"/>
              <w:rPr>
                <w:rFonts w:hint="eastAsia" w:ascii="方正书宋_GBK" w:eastAsia="方正书宋_GBK"/>
              </w:rPr>
            </w:pPr>
            <w:r>
              <w:rPr>
                <w:rFonts w:hint="eastAsia" w:ascii="方正书宋_GBK" w:eastAsia="方正书宋_GBK"/>
              </w:rPr>
              <w:t>供销社企业电子商务销售额增长倍数</w:t>
            </w:r>
          </w:p>
        </w:tc>
        <w:tc>
          <w:tcPr>
            <w:tcW w:w="712"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200%</w:t>
            </w:r>
          </w:p>
        </w:tc>
        <w:tc>
          <w:tcPr>
            <w:tcW w:w="713"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150%</w:t>
            </w:r>
          </w:p>
        </w:tc>
        <w:tc>
          <w:tcPr>
            <w:tcW w:w="712"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714"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697" w:type="dxa"/>
            <w:noWrap w:val="0"/>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vMerge w:val="continue"/>
            <w:noWrap w:val="0"/>
            <w:vAlign w:val="center"/>
          </w:tcPr>
          <w:p>
            <w:pPr>
              <w:spacing w:line="300" w:lineRule="exact"/>
              <w:jc w:val="left"/>
              <w:rPr>
                <w:rFonts w:hint="eastAsia" w:ascii="方正书宋_GBK" w:eastAsia="方正书宋_GBK"/>
                <w:b/>
              </w:rPr>
            </w:pPr>
          </w:p>
        </w:tc>
        <w:tc>
          <w:tcPr>
            <w:tcW w:w="1235" w:type="dxa"/>
            <w:vMerge w:val="continue"/>
            <w:noWrap w:val="0"/>
            <w:vAlign w:val="center"/>
          </w:tcPr>
          <w:p>
            <w:pPr>
              <w:spacing w:line="300" w:lineRule="exact"/>
              <w:jc w:val="left"/>
              <w:rPr>
                <w:rFonts w:ascii="方正书宋_GBK" w:eastAsia="方正书宋_GBK"/>
              </w:rPr>
            </w:pPr>
          </w:p>
        </w:tc>
        <w:tc>
          <w:tcPr>
            <w:tcW w:w="2878" w:type="dxa"/>
            <w:vMerge w:val="continue"/>
            <w:noWrap w:val="0"/>
            <w:vAlign w:val="center"/>
          </w:tcPr>
          <w:p>
            <w:pPr>
              <w:spacing w:line="300" w:lineRule="exact"/>
              <w:jc w:val="left"/>
              <w:rPr>
                <w:rFonts w:hint="eastAsia" w:ascii="方正书宋_GBK" w:eastAsia="方正书宋_GBK"/>
              </w:rPr>
            </w:pPr>
          </w:p>
        </w:tc>
        <w:tc>
          <w:tcPr>
            <w:tcW w:w="2877" w:type="dxa"/>
            <w:vMerge w:val="continue"/>
            <w:noWrap w:val="0"/>
            <w:vAlign w:val="center"/>
          </w:tcPr>
          <w:p>
            <w:pPr>
              <w:spacing w:line="300" w:lineRule="exact"/>
              <w:jc w:val="left"/>
              <w:rPr>
                <w:rFonts w:hint="eastAsia" w:ascii="方正书宋_GBK" w:eastAsia="方正书宋_GBK"/>
              </w:rPr>
            </w:pPr>
          </w:p>
        </w:tc>
        <w:tc>
          <w:tcPr>
            <w:tcW w:w="1371" w:type="dxa"/>
            <w:noWrap w:val="0"/>
            <w:vAlign w:val="center"/>
          </w:tcPr>
          <w:p>
            <w:pPr>
              <w:spacing w:line="300" w:lineRule="exact"/>
              <w:jc w:val="left"/>
              <w:rPr>
                <w:rFonts w:hint="eastAsia" w:ascii="方正书宋_GBK" w:eastAsia="方正书宋_GBK"/>
              </w:rPr>
            </w:pPr>
            <w:r>
              <w:rPr>
                <w:rFonts w:hint="eastAsia" w:ascii="方正书宋_GBK" w:eastAsia="方正书宋_GBK"/>
              </w:rPr>
              <w:t>全县供销社流通网络购销总额增长率</w:t>
            </w:r>
          </w:p>
        </w:tc>
        <w:tc>
          <w:tcPr>
            <w:tcW w:w="712"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713"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w:t>
            </w:r>
          </w:p>
        </w:tc>
        <w:tc>
          <w:tcPr>
            <w:tcW w:w="712"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w:t>
            </w:r>
          </w:p>
        </w:tc>
        <w:tc>
          <w:tcPr>
            <w:tcW w:w="714"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w:t>
            </w:r>
          </w:p>
        </w:tc>
        <w:tc>
          <w:tcPr>
            <w:tcW w:w="697" w:type="dxa"/>
            <w:noWrap w:val="0"/>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5" w:hRule="atLeast"/>
          <w:jc w:val="center"/>
        </w:trPr>
        <w:tc>
          <w:tcPr>
            <w:tcW w:w="2264" w:type="dxa"/>
            <w:vMerge w:val="continue"/>
            <w:noWrap w:val="0"/>
            <w:vAlign w:val="center"/>
          </w:tcPr>
          <w:p>
            <w:pPr>
              <w:spacing w:line="300" w:lineRule="exact"/>
              <w:jc w:val="left"/>
              <w:rPr>
                <w:rFonts w:hint="eastAsia" w:ascii="方正书宋_GBK" w:eastAsia="方正书宋_GBK"/>
                <w:b/>
              </w:rPr>
            </w:pPr>
          </w:p>
        </w:tc>
        <w:tc>
          <w:tcPr>
            <w:tcW w:w="1235" w:type="dxa"/>
            <w:vMerge w:val="continue"/>
            <w:noWrap w:val="0"/>
            <w:vAlign w:val="center"/>
          </w:tcPr>
          <w:p>
            <w:pPr>
              <w:spacing w:line="300" w:lineRule="exact"/>
              <w:jc w:val="left"/>
              <w:rPr>
                <w:rFonts w:ascii="方正书宋_GBK" w:eastAsia="方正书宋_GBK"/>
              </w:rPr>
            </w:pPr>
          </w:p>
        </w:tc>
        <w:tc>
          <w:tcPr>
            <w:tcW w:w="2878" w:type="dxa"/>
            <w:vMerge w:val="continue"/>
            <w:noWrap w:val="0"/>
            <w:vAlign w:val="center"/>
          </w:tcPr>
          <w:p>
            <w:pPr>
              <w:spacing w:line="300" w:lineRule="exact"/>
              <w:jc w:val="left"/>
              <w:rPr>
                <w:rFonts w:hint="eastAsia" w:ascii="方正书宋_GBK" w:eastAsia="方正书宋_GBK"/>
              </w:rPr>
            </w:pPr>
          </w:p>
        </w:tc>
        <w:tc>
          <w:tcPr>
            <w:tcW w:w="2877" w:type="dxa"/>
            <w:vMerge w:val="continue"/>
            <w:noWrap w:val="0"/>
            <w:vAlign w:val="center"/>
          </w:tcPr>
          <w:p>
            <w:pPr>
              <w:spacing w:line="300" w:lineRule="exact"/>
              <w:jc w:val="left"/>
              <w:rPr>
                <w:rFonts w:hint="eastAsia" w:ascii="方正书宋_GBK" w:eastAsia="方正书宋_GBK"/>
              </w:rPr>
            </w:pPr>
          </w:p>
        </w:tc>
        <w:tc>
          <w:tcPr>
            <w:tcW w:w="1371" w:type="dxa"/>
            <w:noWrap w:val="0"/>
            <w:vAlign w:val="center"/>
          </w:tcPr>
          <w:p>
            <w:pPr>
              <w:spacing w:line="300" w:lineRule="exact"/>
              <w:jc w:val="left"/>
              <w:rPr>
                <w:rFonts w:hint="eastAsia" w:ascii="方正书宋_GBK" w:eastAsia="方正书宋_GBK"/>
              </w:rPr>
            </w:pPr>
            <w:r>
              <w:rPr>
                <w:rFonts w:hint="eastAsia" w:ascii="方正书宋_GBK" w:eastAsia="方正书宋_GBK"/>
              </w:rPr>
              <w:t>连锁经营销售额占全县供销社销售额比重</w:t>
            </w:r>
          </w:p>
        </w:tc>
        <w:tc>
          <w:tcPr>
            <w:tcW w:w="712"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15%</w:t>
            </w:r>
          </w:p>
        </w:tc>
        <w:tc>
          <w:tcPr>
            <w:tcW w:w="713"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12%</w:t>
            </w:r>
          </w:p>
        </w:tc>
        <w:tc>
          <w:tcPr>
            <w:tcW w:w="712"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714"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0%</w:t>
            </w:r>
          </w:p>
        </w:tc>
        <w:tc>
          <w:tcPr>
            <w:tcW w:w="697" w:type="dxa"/>
            <w:noWrap w:val="0"/>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社属企业运营管理及建设</w:t>
            </w:r>
          </w:p>
        </w:tc>
        <w:tc>
          <w:tcPr>
            <w:tcW w:w="1235" w:type="dxa"/>
            <w:vMerge w:val="restart"/>
            <w:noWrap w:val="0"/>
            <w:vAlign w:val="center"/>
          </w:tcPr>
          <w:p>
            <w:pPr>
              <w:spacing w:line="300" w:lineRule="exact"/>
              <w:jc w:val="left"/>
              <w:rPr>
                <w:rFonts w:ascii="方正书宋_GBK" w:eastAsia="方正书宋_GBK"/>
              </w:rPr>
            </w:pPr>
          </w:p>
        </w:tc>
        <w:tc>
          <w:tcPr>
            <w:tcW w:w="2878"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指导社属企业经营管理，对社属企业进行监督检查，完善企业运营管理制度并监督执行，行使出资人职能、确保社有资产的安全和增值</w:t>
            </w:r>
          </w:p>
        </w:tc>
        <w:tc>
          <w:tcPr>
            <w:tcW w:w="2877"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社有企业实现跨越式发展，供销社体制机制明显优化，营业收入、利润总额和净资产均有不同程度增长。</w:t>
            </w:r>
          </w:p>
        </w:tc>
        <w:tc>
          <w:tcPr>
            <w:tcW w:w="1371" w:type="dxa"/>
            <w:noWrap w:val="0"/>
            <w:vAlign w:val="center"/>
          </w:tcPr>
          <w:p>
            <w:pPr>
              <w:spacing w:line="300" w:lineRule="exact"/>
              <w:jc w:val="left"/>
              <w:rPr>
                <w:rFonts w:hint="eastAsia" w:ascii="方正书宋_GBK" w:eastAsia="方正书宋_GBK"/>
              </w:rPr>
            </w:pPr>
            <w:r>
              <w:rPr>
                <w:rFonts w:hint="eastAsia" w:ascii="方正书宋_GBK" w:eastAsia="方正书宋_GBK"/>
              </w:rPr>
              <w:t>社有资产增值比率</w:t>
            </w:r>
          </w:p>
        </w:tc>
        <w:tc>
          <w:tcPr>
            <w:tcW w:w="712"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713"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4.5%</w:t>
            </w:r>
          </w:p>
        </w:tc>
        <w:tc>
          <w:tcPr>
            <w:tcW w:w="712"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w:t>
            </w:r>
          </w:p>
        </w:tc>
        <w:tc>
          <w:tcPr>
            <w:tcW w:w="714"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w:t>
            </w:r>
          </w:p>
        </w:tc>
        <w:tc>
          <w:tcPr>
            <w:tcW w:w="697" w:type="dxa"/>
            <w:noWrap w:val="0"/>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vMerge w:val="continue"/>
            <w:noWrap w:val="0"/>
            <w:vAlign w:val="center"/>
          </w:tcPr>
          <w:p>
            <w:pPr>
              <w:spacing w:line="300" w:lineRule="exact"/>
              <w:jc w:val="left"/>
              <w:rPr>
                <w:rFonts w:hint="eastAsia" w:ascii="方正书宋_GBK" w:eastAsia="方正书宋_GBK"/>
                <w:b/>
              </w:rPr>
            </w:pPr>
          </w:p>
        </w:tc>
        <w:tc>
          <w:tcPr>
            <w:tcW w:w="1235" w:type="dxa"/>
            <w:vMerge w:val="continue"/>
            <w:noWrap w:val="0"/>
            <w:vAlign w:val="center"/>
          </w:tcPr>
          <w:p>
            <w:pPr>
              <w:spacing w:line="300" w:lineRule="exact"/>
              <w:jc w:val="left"/>
              <w:rPr>
                <w:rFonts w:ascii="方正书宋_GBK" w:eastAsia="方正书宋_GBK"/>
              </w:rPr>
            </w:pPr>
          </w:p>
        </w:tc>
        <w:tc>
          <w:tcPr>
            <w:tcW w:w="2878" w:type="dxa"/>
            <w:vMerge w:val="continue"/>
            <w:noWrap w:val="0"/>
            <w:vAlign w:val="center"/>
          </w:tcPr>
          <w:p>
            <w:pPr>
              <w:spacing w:line="300" w:lineRule="exact"/>
              <w:jc w:val="left"/>
              <w:rPr>
                <w:rFonts w:hint="eastAsia" w:ascii="方正书宋_GBK" w:eastAsia="方正书宋_GBK"/>
              </w:rPr>
            </w:pPr>
          </w:p>
        </w:tc>
        <w:tc>
          <w:tcPr>
            <w:tcW w:w="2877" w:type="dxa"/>
            <w:vMerge w:val="continue"/>
            <w:noWrap w:val="0"/>
            <w:vAlign w:val="center"/>
          </w:tcPr>
          <w:p>
            <w:pPr>
              <w:spacing w:line="300" w:lineRule="exact"/>
              <w:jc w:val="left"/>
              <w:rPr>
                <w:rFonts w:hint="eastAsia" w:ascii="方正书宋_GBK" w:eastAsia="方正书宋_GBK"/>
              </w:rPr>
            </w:pPr>
          </w:p>
        </w:tc>
        <w:tc>
          <w:tcPr>
            <w:tcW w:w="1371" w:type="dxa"/>
            <w:noWrap w:val="0"/>
            <w:vAlign w:val="center"/>
          </w:tcPr>
          <w:p>
            <w:pPr>
              <w:spacing w:line="300" w:lineRule="exact"/>
              <w:jc w:val="left"/>
              <w:rPr>
                <w:rFonts w:hint="eastAsia" w:ascii="方正书宋_GBK" w:eastAsia="方正书宋_GBK"/>
              </w:rPr>
            </w:pPr>
            <w:r>
              <w:rPr>
                <w:rFonts w:hint="eastAsia" w:ascii="方正书宋_GBK" w:eastAsia="方正书宋_GBK"/>
              </w:rPr>
              <w:t>利润总额增长率</w:t>
            </w:r>
          </w:p>
        </w:tc>
        <w:tc>
          <w:tcPr>
            <w:tcW w:w="712"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713"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4.5%</w:t>
            </w:r>
          </w:p>
        </w:tc>
        <w:tc>
          <w:tcPr>
            <w:tcW w:w="712"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w:t>
            </w:r>
          </w:p>
        </w:tc>
        <w:tc>
          <w:tcPr>
            <w:tcW w:w="714"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w:t>
            </w:r>
          </w:p>
        </w:tc>
        <w:tc>
          <w:tcPr>
            <w:tcW w:w="697" w:type="dxa"/>
            <w:noWrap w:val="0"/>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vMerge w:val="continue"/>
            <w:noWrap w:val="0"/>
            <w:vAlign w:val="center"/>
          </w:tcPr>
          <w:p>
            <w:pPr>
              <w:spacing w:line="300" w:lineRule="exact"/>
              <w:jc w:val="left"/>
              <w:rPr>
                <w:rFonts w:hint="eastAsia" w:ascii="方正书宋_GBK" w:eastAsia="方正书宋_GBK"/>
                <w:b/>
              </w:rPr>
            </w:pPr>
          </w:p>
        </w:tc>
        <w:tc>
          <w:tcPr>
            <w:tcW w:w="1235" w:type="dxa"/>
            <w:vMerge w:val="continue"/>
            <w:noWrap w:val="0"/>
            <w:vAlign w:val="center"/>
          </w:tcPr>
          <w:p>
            <w:pPr>
              <w:spacing w:line="300" w:lineRule="exact"/>
              <w:jc w:val="left"/>
              <w:rPr>
                <w:rFonts w:ascii="方正书宋_GBK" w:eastAsia="方正书宋_GBK"/>
              </w:rPr>
            </w:pPr>
          </w:p>
        </w:tc>
        <w:tc>
          <w:tcPr>
            <w:tcW w:w="2878" w:type="dxa"/>
            <w:vMerge w:val="continue"/>
            <w:noWrap w:val="0"/>
            <w:vAlign w:val="center"/>
          </w:tcPr>
          <w:p>
            <w:pPr>
              <w:spacing w:line="300" w:lineRule="exact"/>
              <w:jc w:val="left"/>
              <w:rPr>
                <w:rFonts w:hint="eastAsia" w:ascii="方正书宋_GBK" w:eastAsia="方正书宋_GBK"/>
              </w:rPr>
            </w:pPr>
          </w:p>
        </w:tc>
        <w:tc>
          <w:tcPr>
            <w:tcW w:w="2877" w:type="dxa"/>
            <w:vMerge w:val="continue"/>
            <w:noWrap w:val="0"/>
            <w:vAlign w:val="center"/>
          </w:tcPr>
          <w:p>
            <w:pPr>
              <w:spacing w:line="300" w:lineRule="exact"/>
              <w:jc w:val="left"/>
              <w:rPr>
                <w:rFonts w:hint="eastAsia" w:ascii="方正书宋_GBK" w:eastAsia="方正书宋_GBK"/>
              </w:rPr>
            </w:pPr>
          </w:p>
        </w:tc>
        <w:tc>
          <w:tcPr>
            <w:tcW w:w="1371" w:type="dxa"/>
            <w:noWrap w:val="0"/>
            <w:vAlign w:val="center"/>
          </w:tcPr>
          <w:p>
            <w:pPr>
              <w:spacing w:line="300" w:lineRule="exact"/>
              <w:jc w:val="left"/>
              <w:rPr>
                <w:rFonts w:hint="eastAsia" w:ascii="方正书宋_GBK" w:eastAsia="方正书宋_GBK"/>
              </w:rPr>
            </w:pPr>
            <w:r>
              <w:rPr>
                <w:rFonts w:hint="eastAsia" w:ascii="方正书宋_GBK" w:eastAsia="方正书宋_GBK"/>
              </w:rPr>
              <w:t>营业收入增长率</w:t>
            </w:r>
          </w:p>
        </w:tc>
        <w:tc>
          <w:tcPr>
            <w:tcW w:w="712"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713"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4.5%</w:t>
            </w:r>
          </w:p>
        </w:tc>
        <w:tc>
          <w:tcPr>
            <w:tcW w:w="712"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w:t>
            </w:r>
          </w:p>
        </w:tc>
        <w:tc>
          <w:tcPr>
            <w:tcW w:w="714"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w:t>
            </w:r>
          </w:p>
        </w:tc>
        <w:tc>
          <w:tcPr>
            <w:tcW w:w="697" w:type="dxa"/>
            <w:noWrap w:val="0"/>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服务三农事务管理</w:t>
            </w:r>
          </w:p>
        </w:tc>
        <w:tc>
          <w:tcPr>
            <w:tcW w:w="1235" w:type="dxa"/>
            <w:noWrap w:val="0"/>
            <w:vAlign w:val="center"/>
          </w:tcPr>
          <w:p>
            <w:pPr>
              <w:spacing w:line="300" w:lineRule="exact"/>
              <w:jc w:val="left"/>
              <w:rPr>
                <w:rFonts w:ascii="方正书宋_GBK" w:eastAsia="方正书宋_GBK"/>
              </w:rPr>
            </w:pPr>
          </w:p>
        </w:tc>
        <w:tc>
          <w:tcPr>
            <w:tcW w:w="2878" w:type="dxa"/>
            <w:noWrap w:val="0"/>
            <w:vAlign w:val="center"/>
          </w:tcPr>
          <w:p>
            <w:pPr>
              <w:spacing w:line="300" w:lineRule="exact"/>
              <w:jc w:val="left"/>
              <w:rPr>
                <w:rFonts w:hint="eastAsia" w:ascii="方正书宋_GBK" w:eastAsia="方正书宋_GBK"/>
              </w:rPr>
            </w:pPr>
            <w:r>
              <w:rPr>
                <w:rFonts w:hint="eastAsia" w:ascii="方正书宋_GBK" w:eastAsia="方正书宋_GBK"/>
              </w:rPr>
              <w:t>贯彻落实党和政府有关</w:t>
            </w:r>
            <w:r>
              <w:rPr>
                <w:rFonts w:ascii="方正书宋_GBK" w:eastAsia="方正书宋_GBK"/>
              </w:rPr>
              <w:t xml:space="preserve"> </w:t>
            </w:r>
            <w:r>
              <w:rPr>
                <w:rFonts w:hint="eastAsia" w:ascii="方正书宋_GBK" w:eastAsia="方正书宋_GBK"/>
              </w:rPr>
              <w:t>服务</w:t>
            </w:r>
            <w:r>
              <w:rPr>
                <w:rFonts w:hint="cs" w:ascii="方正书宋_GBK" w:eastAsia="方正书宋_GBK"/>
                <w:cs/>
              </w:rPr>
              <w:t>“</w:t>
            </w:r>
            <w:r>
              <w:rPr>
                <w:rFonts w:hint="eastAsia" w:ascii="方正书宋_GBK" w:eastAsia="方正书宋_GBK"/>
              </w:rPr>
              <w:t>三农</w:t>
            </w:r>
            <w:r>
              <w:rPr>
                <w:rFonts w:hint="cs" w:ascii="方正书宋_GBK" w:eastAsia="方正书宋_GBK"/>
                <w:cs/>
              </w:rPr>
              <w:t>”</w:t>
            </w:r>
            <w:r>
              <w:rPr>
                <w:rFonts w:hint="eastAsia" w:ascii="方正书宋_GBK" w:eastAsia="方正书宋_GBK"/>
              </w:rPr>
              <w:t>方针政策，以供销合作社体系为依托，自下而上组建农民合作社联合社、创新组织体系、服务体系和农村金融体系</w:t>
            </w:r>
          </w:p>
        </w:tc>
        <w:tc>
          <w:tcPr>
            <w:tcW w:w="2877" w:type="dxa"/>
            <w:noWrap w:val="0"/>
            <w:vAlign w:val="center"/>
          </w:tcPr>
          <w:p>
            <w:pPr>
              <w:spacing w:line="300" w:lineRule="exact"/>
              <w:jc w:val="left"/>
              <w:rPr>
                <w:rFonts w:hint="eastAsia" w:ascii="方正书宋_GBK" w:eastAsia="方正书宋_GBK"/>
              </w:rPr>
            </w:pPr>
            <w:r>
              <w:rPr>
                <w:rFonts w:hint="eastAsia" w:ascii="方正书宋_GBK" w:eastAsia="方正书宋_GBK"/>
              </w:rPr>
              <w:t>紧紧围绕</w:t>
            </w:r>
            <w:r>
              <w:rPr>
                <w:rFonts w:hint="cs" w:ascii="方正书宋_GBK" w:eastAsia="方正书宋_GBK"/>
                <w:cs/>
              </w:rPr>
              <w:t>“</w:t>
            </w:r>
            <w:r>
              <w:rPr>
                <w:rFonts w:hint="eastAsia" w:ascii="方正书宋_GBK" w:eastAsia="方正书宋_GBK"/>
              </w:rPr>
              <w:t>三农</w:t>
            </w:r>
            <w:r>
              <w:rPr>
                <w:rFonts w:hint="cs" w:ascii="方正书宋_GBK" w:eastAsia="方正书宋_GBK"/>
                <w:cs/>
              </w:rPr>
              <w:t>”</w:t>
            </w:r>
            <w:r>
              <w:rPr>
                <w:rFonts w:hint="eastAsia" w:ascii="方正书宋_GBK" w:eastAsia="方正书宋_GBK"/>
              </w:rPr>
              <w:t>工作大局，以密切与农民利益联结为核心，以提升为农服务能力为根本，以强化基</w:t>
            </w:r>
            <w:r>
              <w:rPr>
                <w:rFonts w:ascii="方正书宋_GBK" w:eastAsia="方正书宋_GBK"/>
              </w:rPr>
              <w:t xml:space="preserve"> </w:t>
            </w:r>
            <w:r>
              <w:rPr>
                <w:rFonts w:hint="eastAsia" w:ascii="方正书宋_GBK" w:eastAsia="方正书宋_GBK"/>
              </w:rPr>
              <w:t>层社和创新联合社治理机制为重点，按照政事分开、社企分开的方向，推进体制改革和机制创新，加快建成适应社会主义市场经济需要、适应城乡发展一体化需要、适应中国特色农业现代化需要的组织体系和服务机制。</w:t>
            </w:r>
          </w:p>
        </w:tc>
        <w:tc>
          <w:tcPr>
            <w:tcW w:w="1371" w:type="dxa"/>
            <w:noWrap w:val="0"/>
            <w:vAlign w:val="center"/>
          </w:tcPr>
          <w:p>
            <w:pPr>
              <w:spacing w:line="300" w:lineRule="exact"/>
              <w:jc w:val="left"/>
              <w:rPr>
                <w:rFonts w:hint="eastAsia" w:ascii="方正书宋_GBK" w:eastAsia="方正书宋_GBK"/>
              </w:rPr>
            </w:pPr>
          </w:p>
        </w:tc>
        <w:tc>
          <w:tcPr>
            <w:tcW w:w="712" w:type="dxa"/>
            <w:noWrap w:val="0"/>
            <w:vAlign w:val="center"/>
          </w:tcPr>
          <w:p>
            <w:pPr>
              <w:spacing w:line="300" w:lineRule="exact"/>
              <w:jc w:val="center"/>
              <w:rPr>
                <w:rFonts w:hint="eastAsia" w:ascii="方正书宋_GBK" w:eastAsia="方正书宋_GBK"/>
              </w:rPr>
            </w:pPr>
          </w:p>
        </w:tc>
        <w:tc>
          <w:tcPr>
            <w:tcW w:w="713" w:type="dxa"/>
            <w:noWrap w:val="0"/>
            <w:vAlign w:val="center"/>
          </w:tcPr>
          <w:p>
            <w:pPr>
              <w:spacing w:line="300" w:lineRule="exact"/>
              <w:jc w:val="center"/>
              <w:rPr>
                <w:rFonts w:hint="eastAsia" w:ascii="方正书宋_GBK" w:eastAsia="方正书宋_GBK"/>
              </w:rPr>
            </w:pPr>
          </w:p>
        </w:tc>
        <w:tc>
          <w:tcPr>
            <w:tcW w:w="712" w:type="dxa"/>
            <w:noWrap w:val="0"/>
            <w:vAlign w:val="center"/>
          </w:tcPr>
          <w:p>
            <w:pPr>
              <w:spacing w:line="300" w:lineRule="exact"/>
              <w:jc w:val="center"/>
              <w:rPr>
                <w:rFonts w:hint="eastAsia" w:ascii="方正书宋_GBK" w:eastAsia="方正书宋_GBK"/>
              </w:rPr>
            </w:pPr>
          </w:p>
        </w:tc>
        <w:tc>
          <w:tcPr>
            <w:tcW w:w="714" w:type="dxa"/>
            <w:noWrap w:val="0"/>
            <w:vAlign w:val="center"/>
          </w:tcPr>
          <w:p>
            <w:pPr>
              <w:spacing w:line="300" w:lineRule="exact"/>
              <w:jc w:val="center"/>
              <w:rPr>
                <w:rFonts w:hint="eastAsia" w:ascii="方正书宋_GBK" w:eastAsia="方正书宋_GBK"/>
              </w:rPr>
            </w:pPr>
          </w:p>
        </w:tc>
        <w:tc>
          <w:tcPr>
            <w:tcW w:w="697" w:type="dxa"/>
            <w:noWrap w:val="0"/>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组织体系建设</w:t>
            </w:r>
          </w:p>
        </w:tc>
        <w:tc>
          <w:tcPr>
            <w:tcW w:w="1235" w:type="dxa"/>
            <w:vMerge w:val="restart"/>
            <w:noWrap w:val="0"/>
            <w:vAlign w:val="center"/>
          </w:tcPr>
          <w:p>
            <w:pPr>
              <w:spacing w:line="300" w:lineRule="exact"/>
              <w:jc w:val="left"/>
              <w:rPr>
                <w:rFonts w:ascii="方正书宋_GBK" w:eastAsia="方正书宋_GBK"/>
              </w:rPr>
            </w:pPr>
          </w:p>
        </w:tc>
        <w:tc>
          <w:tcPr>
            <w:tcW w:w="2878"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以供销合作社体系为依托，自下而上组建农民合作社联合社</w:t>
            </w:r>
          </w:p>
        </w:tc>
        <w:tc>
          <w:tcPr>
            <w:tcW w:w="2877"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组建农民合作社联合社</w:t>
            </w:r>
          </w:p>
        </w:tc>
        <w:tc>
          <w:tcPr>
            <w:tcW w:w="1371" w:type="dxa"/>
            <w:noWrap w:val="0"/>
            <w:vAlign w:val="center"/>
          </w:tcPr>
          <w:p>
            <w:pPr>
              <w:spacing w:line="300" w:lineRule="exact"/>
              <w:jc w:val="left"/>
              <w:rPr>
                <w:rFonts w:hint="eastAsia" w:ascii="方正书宋_GBK" w:eastAsia="方正书宋_GBK"/>
              </w:rPr>
            </w:pPr>
            <w:r>
              <w:rPr>
                <w:rFonts w:hint="eastAsia" w:ascii="方正书宋_GBK" w:eastAsia="方正书宋_GBK"/>
              </w:rPr>
              <w:t>联合农民专业合作社个数</w:t>
            </w:r>
          </w:p>
        </w:tc>
        <w:tc>
          <w:tcPr>
            <w:tcW w:w="712" w:type="dxa"/>
            <w:noWrap w:val="0"/>
            <w:vAlign w:val="center"/>
          </w:tcPr>
          <w:p>
            <w:pPr>
              <w:spacing w:line="300" w:lineRule="exact"/>
              <w:jc w:val="center"/>
              <w:rPr>
                <w:rFonts w:hint="eastAsia" w:ascii="方正书宋_GBK" w:eastAsia="方正书宋_GBK"/>
              </w:rPr>
            </w:pPr>
            <w:r>
              <w:rPr>
                <w:rFonts w:ascii="方正书宋_GBK" w:eastAsia="方正书宋_GBK"/>
              </w:rPr>
              <w:t>10</w:t>
            </w:r>
          </w:p>
        </w:tc>
        <w:tc>
          <w:tcPr>
            <w:tcW w:w="713" w:type="dxa"/>
            <w:noWrap w:val="0"/>
            <w:vAlign w:val="center"/>
          </w:tcPr>
          <w:p>
            <w:pPr>
              <w:spacing w:line="300" w:lineRule="exact"/>
              <w:jc w:val="center"/>
              <w:rPr>
                <w:rFonts w:hint="eastAsia" w:ascii="方正书宋_GBK" w:eastAsia="方正书宋_GBK"/>
              </w:rPr>
            </w:pPr>
            <w:r>
              <w:rPr>
                <w:rFonts w:ascii="方正书宋_GBK" w:eastAsia="方正书宋_GBK"/>
              </w:rPr>
              <w:t>7</w:t>
            </w:r>
          </w:p>
        </w:tc>
        <w:tc>
          <w:tcPr>
            <w:tcW w:w="712" w:type="dxa"/>
            <w:noWrap w:val="0"/>
            <w:vAlign w:val="center"/>
          </w:tcPr>
          <w:p>
            <w:pPr>
              <w:spacing w:line="300" w:lineRule="exact"/>
              <w:jc w:val="center"/>
              <w:rPr>
                <w:rFonts w:hint="eastAsia" w:ascii="方正书宋_GBK" w:eastAsia="方正书宋_GBK"/>
              </w:rPr>
            </w:pPr>
            <w:r>
              <w:rPr>
                <w:rFonts w:ascii="方正书宋_GBK" w:eastAsia="方正书宋_GBK"/>
              </w:rPr>
              <w:t>5</w:t>
            </w:r>
          </w:p>
        </w:tc>
        <w:tc>
          <w:tcPr>
            <w:tcW w:w="714" w:type="dxa"/>
            <w:noWrap w:val="0"/>
            <w:vAlign w:val="center"/>
          </w:tcPr>
          <w:p>
            <w:pPr>
              <w:spacing w:line="300" w:lineRule="exact"/>
              <w:jc w:val="center"/>
              <w:rPr>
                <w:rFonts w:hint="eastAsia" w:ascii="方正书宋_GBK" w:eastAsia="方正书宋_GBK"/>
              </w:rPr>
            </w:pPr>
            <w:r>
              <w:rPr>
                <w:rFonts w:ascii="方正书宋_GBK" w:eastAsia="方正书宋_GBK"/>
              </w:rPr>
              <w:t>3</w:t>
            </w:r>
          </w:p>
        </w:tc>
        <w:tc>
          <w:tcPr>
            <w:tcW w:w="697" w:type="dxa"/>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vMerge w:val="continue"/>
            <w:noWrap w:val="0"/>
            <w:vAlign w:val="center"/>
          </w:tcPr>
          <w:p>
            <w:pPr>
              <w:spacing w:line="300" w:lineRule="exact"/>
              <w:jc w:val="left"/>
              <w:rPr>
                <w:rFonts w:hint="eastAsia" w:ascii="方正书宋_GBK" w:eastAsia="方正书宋_GBK"/>
                <w:b/>
              </w:rPr>
            </w:pPr>
          </w:p>
        </w:tc>
        <w:tc>
          <w:tcPr>
            <w:tcW w:w="1235" w:type="dxa"/>
            <w:vMerge w:val="continue"/>
            <w:noWrap w:val="0"/>
            <w:vAlign w:val="center"/>
          </w:tcPr>
          <w:p>
            <w:pPr>
              <w:spacing w:line="300" w:lineRule="exact"/>
              <w:jc w:val="left"/>
              <w:rPr>
                <w:rFonts w:ascii="方正书宋_GBK" w:eastAsia="方正书宋_GBK"/>
              </w:rPr>
            </w:pPr>
          </w:p>
        </w:tc>
        <w:tc>
          <w:tcPr>
            <w:tcW w:w="2878" w:type="dxa"/>
            <w:vMerge w:val="continue"/>
            <w:noWrap w:val="0"/>
            <w:vAlign w:val="center"/>
          </w:tcPr>
          <w:p>
            <w:pPr>
              <w:spacing w:line="300" w:lineRule="exact"/>
              <w:jc w:val="left"/>
              <w:rPr>
                <w:rFonts w:hint="eastAsia" w:ascii="方正书宋_GBK" w:eastAsia="方正书宋_GBK"/>
              </w:rPr>
            </w:pPr>
          </w:p>
        </w:tc>
        <w:tc>
          <w:tcPr>
            <w:tcW w:w="2877" w:type="dxa"/>
            <w:vMerge w:val="continue"/>
            <w:noWrap w:val="0"/>
            <w:vAlign w:val="center"/>
          </w:tcPr>
          <w:p>
            <w:pPr>
              <w:spacing w:line="300" w:lineRule="exact"/>
              <w:jc w:val="left"/>
              <w:rPr>
                <w:rFonts w:hint="eastAsia" w:ascii="方正书宋_GBK" w:eastAsia="方正书宋_GBK"/>
              </w:rPr>
            </w:pPr>
          </w:p>
        </w:tc>
        <w:tc>
          <w:tcPr>
            <w:tcW w:w="1371" w:type="dxa"/>
            <w:noWrap w:val="0"/>
            <w:vAlign w:val="center"/>
          </w:tcPr>
          <w:p>
            <w:pPr>
              <w:spacing w:line="300" w:lineRule="exact"/>
              <w:jc w:val="left"/>
              <w:rPr>
                <w:rFonts w:hint="eastAsia" w:ascii="方正书宋_GBK" w:eastAsia="方正书宋_GBK"/>
              </w:rPr>
            </w:pPr>
            <w:r>
              <w:rPr>
                <w:rFonts w:hint="eastAsia" w:ascii="方正书宋_GBK" w:eastAsia="方正书宋_GBK"/>
              </w:rPr>
              <w:t>带动区域内产业发展个数</w:t>
            </w:r>
          </w:p>
        </w:tc>
        <w:tc>
          <w:tcPr>
            <w:tcW w:w="712" w:type="dxa"/>
            <w:noWrap w:val="0"/>
            <w:vAlign w:val="center"/>
          </w:tcPr>
          <w:p>
            <w:pPr>
              <w:spacing w:line="300" w:lineRule="exact"/>
              <w:jc w:val="center"/>
              <w:rPr>
                <w:rFonts w:ascii="方正书宋_GBK" w:eastAsia="方正书宋_GBK"/>
              </w:rPr>
            </w:pPr>
            <w:r>
              <w:rPr>
                <w:rFonts w:ascii="方正书宋_GBK" w:eastAsia="方正书宋_GBK"/>
              </w:rPr>
              <w:t>2</w:t>
            </w:r>
          </w:p>
        </w:tc>
        <w:tc>
          <w:tcPr>
            <w:tcW w:w="713" w:type="dxa"/>
            <w:noWrap w:val="0"/>
            <w:vAlign w:val="center"/>
          </w:tcPr>
          <w:p>
            <w:pPr>
              <w:spacing w:line="300" w:lineRule="exact"/>
              <w:jc w:val="center"/>
              <w:rPr>
                <w:rFonts w:ascii="方正书宋_GBK" w:eastAsia="方正书宋_GBK"/>
              </w:rPr>
            </w:pPr>
            <w:r>
              <w:rPr>
                <w:rFonts w:ascii="方正书宋_GBK" w:eastAsia="方正书宋_GBK"/>
              </w:rPr>
              <w:t>1</w:t>
            </w:r>
          </w:p>
        </w:tc>
        <w:tc>
          <w:tcPr>
            <w:tcW w:w="712" w:type="dxa"/>
            <w:noWrap w:val="0"/>
            <w:vAlign w:val="center"/>
          </w:tcPr>
          <w:p>
            <w:pPr>
              <w:spacing w:line="300" w:lineRule="exact"/>
              <w:jc w:val="center"/>
              <w:rPr>
                <w:rFonts w:ascii="方正书宋_GBK" w:eastAsia="方正书宋_GBK"/>
              </w:rPr>
            </w:pPr>
          </w:p>
        </w:tc>
        <w:tc>
          <w:tcPr>
            <w:tcW w:w="714" w:type="dxa"/>
            <w:noWrap w:val="0"/>
            <w:vAlign w:val="center"/>
          </w:tcPr>
          <w:p>
            <w:pPr>
              <w:spacing w:line="300" w:lineRule="exact"/>
              <w:jc w:val="center"/>
              <w:rPr>
                <w:rFonts w:ascii="方正书宋_GBK" w:eastAsia="方正书宋_GBK"/>
              </w:rPr>
            </w:pPr>
            <w:r>
              <w:rPr>
                <w:rFonts w:ascii="方正书宋_GBK" w:eastAsia="方正书宋_GBK"/>
              </w:rPr>
              <w:t>0</w:t>
            </w:r>
          </w:p>
        </w:tc>
        <w:tc>
          <w:tcPr>
            <w:tcW w:w="697" w:type="dxa"/>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服务体系建设</w:t>
            </w:r>
          </w:p>
        </w:tc>
        <w:tc>
          <w:tcPr>
            <w:tcW w:w="1235" w:type="dxa"/>
            <w:vMerge w:val="restart"/>
            <w:noWrap w:val="0"/>
            <w:vAlign w:val="center"/>
          </w:tcPr>
          <w:p>
            <w:pPr>
              <w:spacing w:line="300" w:lineRule="exact"/>
              <w:jc w:val="left"/>
              <w:rPr>
                <w:rFonts w:ascii="方正书宋_GBK" w:eastAsia="方正书宋_GBK"/>
              </w:rPr>
            </w:pPr>
          </w:p>
        </w:tc>
        <w:tc>
          <w:tcPr>
            <w:tcW w:w="2878"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供销合作社要把为农服务放在首位。面向农业现代化、面向农民生产生活，推动供销合作社由流通服务向全程农业社会化服务延伸、向全方位城乡社区服务拓展，</w:t>
            </w:r>
            <w:r>
              <w:rPr>
                <w:rFonts w:ascii="方正书宋_GBK" w:eastAsia="方正书宋_GBK"/>
              </w:rPr>
              <w:t xml:space="preserve"> </w:t>
            </w:r>
            <w:r>
              <w:rPr>
                <w:rFonts w:hint="eastAsia" w:ascii="方正书宋_GBK" w:eastAsia="方正书宋_GBK"/>
              </w:rPr>
              <w:t>加快形成综合性、规模化、可持续的为农服务体系，在农资供应、农产品流通、农民技能培训等重点领域和环节为农民提供便利实惠、安全优质的服务</w:t>
            </w:r>
          </w:p>
        </w:tc>
        <w:tc>
          <w:tcPr>
            <w:tcW w:w="2877"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把供销合作社系统打造成为与农民联结更紧密、为农服务功能更完备、市场化运行更高效的合作经济组织体系，成为服务农民生产生活的生力军和综合平台，成为党和政府密切联系农民群众的桥梁纽带，切实在农业现代化建设中更好地发挥作用。</w:t>
            </w:r>
          </w:p>
        </w:tc>
        <w:tc>
          <w:tcPr>
            <w:tcW w:w="1371" w:type="dxa"/>
            <w:noWrap w:val="0"/>
            <w:vAlign w:val="center"/>
          </w:tcPr>
          <w:p>
            <w:pPr>
              <w:spacing w:line="300" w:lineRule="exact"/>
              <w:jc w:val="left"/>
              <w:rPr>
                <w:rFonts w:hint="eastAsia" w:ascii="方正书宋_GBK" w:eastAsia="方正书宋_GBK"/>
              </w:rPr>
            </w:pPr>
            <w:r>
              <w:rPr>
                <w:rFonts w:hint="eastAsia" w:ascii="方正书宋_GBK" w:eastAsia="方正书宋_GBK"/>
              </w:rPr>
              <w:t>示范性培训新型农民和农村实用技能人才人次</w:t>
            </w:r>
          </w:p>
        </w:tc>
        <w:tc>
          <w:tcPr>
            <w:tcW w:w="712" w:type="dxa"/>
            <w:noWrap w:val="0"/>
            <w:vAlign w:val="center"/>
          </w:tcPr>
          <w:p>
            <w:pPr>
              <w:spacing w:line="300" w:lineRule="exact"/>
              <w:jc w:val="center"/>
              <w:rPr>
                <w:rFonts w:ascii="方正书宋_GBK" w:eastAsia="方正书宋_GBK"/>
              </w:rPr>
            </w:pPr>
            <w:r>
              <w:rPr>
                <w:rFonts w:ascii="方正书宋_GBK" w:eastAsia="方正书宋_GBK"/>
              </w:rPr>
              <w:t>200</w:t>
            </w:r>
            <w:r>
              <w:rPr>
                <w:rFonts w:hint="eastAsia" w:ascii="方正书宋_GBK" w:eastAsia="方正书宋_GBK"/>
              </w:rPr>
              <w:t>以上</w:t>
            </w:r>
          </w:p>
        </w:tc>
        <w:tc>
          <w:tcPr>
            <w:tcW w:w="713" w:type="dxa"/>
            <w:noWrap w:val="0"/>
            <w:vAlign w:val="center"/>
          </w:tcPr>
          <w:p>
            <w:pPr>
              <w:spacing w:line="300" w:lineRule="exact"/>
              <w:jc w:val="center"/>
              <w:rPr>
                <w:rFonts w:ascii="方正书宋_GBK" w:eastAsia="方正书宋_GBK"/>
              </w:rPr>
            </w:pPr>
          </w:p>
        </w:tc>
        <w:tc>
          <w:tcPr>
            <w:tcW w:w="712" w:type="dxa"/>
            <w:noWrap w:val="0"/>
            <w:vAlign w:val="center"/>
          </w:tcPr>
          <w:p>
            <w:pPr>
              <w:spacing w:line="300" w:lineRule="exact"/>
              <w:jc w:val="center"/>
              <w:rPr>
                <w:rFonts w:ascii="方正书宋_GBK" w:eastAsia="方正书宋_GBK"/>
              </w:rPr>
            </w:pPr>
          </w:p>
        </w:tc>
        <w:tc>
          <w:tcPr>
            <w:tcW w:w="714" w:type="dxa"/>
            <w:noWrap w:val="0"/>
            <w:vAlign w:val="center"/>
          </w:tcPr>
          <w:p>
            <w:pPr>
              <w:spacing w:line="300" w:lineRule="exact"/>
              <w:jc w:val="center"/>
              <w:rPr>
                <w:rFonts w:ascii="方正书宋_GBK" w:eastAsia="方正书宋_GBK"/>
              </w:rPr>
            </w:pPr>
            <w:r>
              <w:rPr>
                <w:rFonts w:ascii="方正书宋_GBK" w:eastAsia="方正书宋_GBK"/>
              </w:rPr>
              <w:t>200</w:t>
            </w:r>
            <w:r>
              <w:rPr>
                <w:rFonts w:hint="eastAsia" w:ascii="方正书宋_GBK" w:eastAsia="方正书宋_GBK"/>
              </w:rPr>
              <w:t>以下</w:t>
            </w:r>
          </w:p>
        </w:tc>
        <w:tc>
          <w:tcPr>
            <w:tcW w:w="697" w:type="dxa"/>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vMerge w:val="continue"/>
            <w:noWrap w:val="0"/>
            <w:vAlign w:val="center"/>
          </w:tcPr>
          <w:p>
            <w:pPr>
              <w:spacing w:line="300" w:lineRule="exact"/>
              <w:jc w:val="left"/>
              <w:rPr>
                <w:rFonts w:hint="eastAsia" w:ascii="方正书宋_GBK" w:eastAsia="方正书宋_GBK"/>
                <w:b/>
              </w:rPr>
            </w:pPr>
          </w:p>
        </w:tc>
        <w:tc>
          <w:tcPr>
            <w:tcW w:w="1235" w:type="dxa"/>
            <w:vMerge w:val="continue"/>
            <w:noWrap w:val="0"/>
            <w:vAlign w:val="center"/>
          </w:tcPr>
          <w:p>
            <w:pPr>
              <w:spacing w:line="300" w:lineRule="exact"/>
              <w:jc w:val="left"/>
              <w:rPr>
                <w:rFonts w:ascii="方正书宋_GBK" w:eastAsia="方正书宋_GBK"/>
              </w:rPr>
            </w:pPr>
          </w:p>
        </w:tc>
        <w:tc>
          <w:tcPr>
            <w:tcW w:w="2878" w:type="dxa"/>
            <w:vMerge w:val="continue"/>
            <w:noWrap w:val="0"/>
            <w:vAlign w:val="center"/>
          </w:tcPr>
          <w:p>
            <w:pPr>
              <w:spacing w:line="300" w:lineRule="exact"/>
              <w:jc w:val="left"/>
              <w:rPr>
                <w:rFonts w:hint="eastAsia" w:ascii="方正书宋_GBK" w:eastAsia="方正书宋_GBK"/>
              </w:rPr>
            </w:pPr>
          </w:p>
        </w:tc>
        <w:tc>
          <w:tcPr>
            <w:tcW w:w="2877" w:type="dxa"/>
            <w:vMerge w:val="continue"/>
            <w:noWrap w:val="0"/>
            <w:vAlign w:val="center"/>
          </w:tcPr>
          <w:p>
            <w:pPr>
              <w:spacing w:line="300" w:lineRule="exact"/>
              <w:jc w:val="left"/>
              <w:rPr>
                <w:rFonts w:hint="eastAsia" w:ascii="方正书宋_GBK" w:eastAsia="方正书宋_GBK"/>
              </w:rPr>
            </w:pPr>
          </w:p>
        </w:tc>
        <w:tc>
          <w:tcPr>
            <w:tcW w:w="1371"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服务体系覆盖率</w:t>
            </w:r>
          </w:p>
        </w:tc>
        <w:tc>
          <w:tcPr>
            <w:tcW w:w="712"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13"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12"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14"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697" w:type="dxa"/>
            <w:noWrap w:val="0"/>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vMerge w:val="continue"/>
            <w:noWrap w:val="0"/>
            <w:vAlign w:val="center"/>
          </w:tcPr>
          <w:p>
            <w:pPr>
              <w:spacing w:line="300" w:lineRule="exact"/>
              <w:jc w:val="left"/>
              <w:rPr>
                <w:rFonts w:hint="eastAsia" w:ascii="方正书宋_GBK" w:eastAsia="方正书宋_GBK"/>
                <w:b/>
              </w:rPr>
            </w:pPr>
          </w:p>
        </w:tc>
        <w:tc>
          <w:tcPr>
            <w:tcW w:w="1235" w:type="dxa"/>
            <w:vMerge w:val="continue"/>
            <w:noWrap w:val="0"/>
            <w:vAlign w:val="center"/>
          </w:tcPr>
          <w:p>
            <w:pPr>
              <w:spacing w:line="300" w:lineRule="exact"/>
              <w:jc w:val="left"/>
              <w:rPr>
                <w:rFonts w:ascii="方正书宋_GBK" w:eastAsia="方正书宋_GBK"/>
              </w:rPr>
            </w:pPr>
          </w:p>
        </w:tc>
        <w:tc>
          <w:tcPr>
            <w:tcW w:w="2878" w:type="dxa"/>
            <w:vMerge w:val="continue"/>
            <w:noWrap w:val="0"/>
            <w:vAlign w:val="center"/>
          </w:tcPr>
          <w:p>
            <w:pPr>
              <w:spacing w:line="300" w:lineRule="exact"/>
              <w:jc w:val="left"/>
              <w:rPr>
                <w:rFonts w:hint="eastAsia" w:ascii="方正书宋_GBK" w:eastAsia="方正书宋_GBK"/>
              </w:rPr>
            </w:pPr>
          </w:p>
        </w:tc>
        <w:tc>
          <w:tcPr>
            <w:tcW w:w="2877" w:type="dxa"/>
            <w:vMerge w:val="continue"/>
            <w:noWrap w:val="0"/>
            <w:vAlign w:val="center"/>
          </w:tcPr>
          <w:p>
            <w:pPr>
              <w:spacing w:line="300" w:lineRule="exact"/>
              <w:jc w:val="left"/>
              <w:rPr>
                <w:rFonts w:hint="eastAsia" w:ascii="方正书宋_GBK" w:eastAsia="方正书宋_GBK"/>
              </w:rPr>
            </w:pPr>
          </w:p>
        </w:tc>
        <w:tc>
          <w:tcPr>
            <w:tcW w:w="1371" w:type="dxa"/>
            <w:noWrap w:val="0"/>
            <w:vAlign w:val="center"/>
          </w:tcPr>
          <w:p>
            <w:pPr>
              <w:spacing w:line="300" w:lineRule="exact"/>
              <w:jc w:val="left"/>
              <w:rPr>
                <w:rFonts w:hint="eastAsia" w:ascii="方正书宋_GBK" w:eastAsia="方正书宋_GBK"/>
              </w:rPr>
            </w:pPr>
            <w:r>
              <w:rPr>
                <w:rFonts w:hint="eastAsia" w:ascii="方正书宋_GBK" w:eastAsia="方正书宋_GBK"/>
              </w:rPr>
              <w:t>冀农村社区综合服务中心（社、站）数量</w:t>
            </w:r>
          </w:p>
        </w:tc>
        <w:tc>
          <w:tcPr>
            <w:tcW w:w="712"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130</w:t>
            </w:r>
          </w:p>
        </w:tc>
        <w:tc>
          <w:tcPr>
            <w:tcW w:w="713"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104</w:t>
            </w:r>
          </w:p>
        </w:tc>
        <w:tc>
          <w:tcPr>
            <w:tcW w:w="712"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65</w:t>
            </w:r>
          </w:p>
        </w:tc>
        <w:tc>
          <w:tcPr>
            <w:tcW w:w="714"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65</w:t>
            </w:r>
          </w:p>
        </w:tc>
        <w:tc>
          <w:tcPr>
            <w:tcW w:w="697" w:type="dxa"/>
            <w:noWrap w:val="0"/>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创新农村金融体系建设</w:t>
            </w:r>
          </w:p>
        </w:tc>
        <w:tc>
          <w:tcPr>
            <w:tcW w:w="1235" w:type="dxa"/>
            <w:vMerge w:val="restart"/>
            <w:noWrap w:val="0"/>
            <w:vAlign w:val="center"/>
          </w:tcPr>
          <w:p>
            <w:pPr>
              <w:spacing w:line="300" w:lineRule="exact"/>
              <w:jc w:val="left"/>
              <w:rPr>
                <w:rFonts w:ascii="方正书宋_GBK" w:eastAsia="方正书宋_GBK"/>
              </w:rPr>
            </w:pPr>
          </w:p>
        </w:tc>
        <w:tc>
          <w:tcPr>
            <w:tcW w:w="2878"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创新金融服务方式和手段，创建农村合作金融服务体系，以企业为主体，以市场为导向，通过组织上积极引导、利益上不断凝聚、服务上广泛吸引，整合投资管理、农村产权交易、农村资金互助、小额贷款、村镇银行、互联网金融、融资担保、合作保险、金融租赁和农产品电商等业态，稳步开展农村合作金融服务，实现服务三农、普惠金融目标，真正将供销社打造成上下贯通、利益链接、一体化运营的为农服务的生力军和综合平台</w:t>
            </w:r>
          </w:p>
        </w:tc>
        <w:tc>
          <w:tcPr>
            <w:tcW w:w="2877"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创建农村合作金融体系</w:t>
            </w:r>
            <w:r>
              <w:rPr>
                <w:rFonts w:ascii="方正书宋_GBK" w:eastAsia="方正书宋_GBK"/>
              </w:rPr>
              <w:t>,</w:t>
            </w:r>
            <w:r>
              <w:rPr>
                <w:rFonts w:hint="eastAsia" w:ascii="方正书宋_GBK" w:eastAsia="方正书宋_GBK"/>
              </w:rPr>
              <w:t>拓宽</w:t>
            </w:r>
            <w:r>
              <w:rPr>
                <w:rFonts w:hint="cs" w:ascii="方正书宋_GBK" w:eastAsia="方正书宋_GBK"/>
                <w:cs/>
              </w:rPr>
              <w:t>“</w:t>
            </w:r>
            <w:r>
              <w:rPr>
                <w:rFonts w:hint="eastAsia" w:ascii="方正书宋_GBK" w:eastAsia="方正书宋_GBK"/>
              </w:rPr>
              <w:t>三农</w:t>
            </w:r>
            <w:r>
              <w:rPr>
                <w:rFonts w:hint="cs" w:ascii="方正书宋_GBK" w:eastAsia="方正书宋_GBK"/>
                <w:cs/>
              </w:rPr>
              <w:t>”</w:t>
            </w:r>
            <w:r>
              <w:rPr>
                <w:rFonts w:hint="eastAsia" w:ascii="方正书宋_GBK" w:eastAsia="方正书宋_GBK"/>
              </w:rPr>
              <w:t>融资的渠道，按照统一要求、标准、计划，完成各项工作的建设任务，实现供销社合作金融体系上下贯通、利益链接、一体化运营。初步实现供销金融超市全县基层全覆盖</w:t>
            </w:r>
          </w:p>
        </w:tc>
        <w:tc>
          <w:tcPr>
            <w:tcW w:w="1371" w:type="dxa"/>
            <w:noWrap w:val="0"/>
            <w:vAlign w:val="center"/>
          </w:tcPr>
          <w:p>
            <w:pPr>
              <w:spacing w:line="300" w:lineRule="exact"/>
              <w:jc w:val="left"/>
              <w:rPr>
                <w:rFonts w:hint="eastAsia" w:ascii="方正书宋_GBK" w:eastAsia="方正书宋_GBK"/>
              </w:rPr>
            </w:pPr>
            <w:r>
              <w:rPr>
                <w:rFonts w:hint="eastAsia" w:ascii="方正书宋_GBK" w:eastAsia="方正书宋_GBK"/>
              </w:rPr>
              <w:t>建设金融超市和村级助农服务网点数量（家）</w:t>
            </w:r>
          </w:p>
        </w:tc>
        <w:tc>
          <w:tcPr>
            <w:tcW w:w="712"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713" w:type="dxa"/>
            <w:noWrap w:val="0"/>
            <w:vAlign w:val="center"/>
          </w:tcPr>
          <w:p>
            <w:pPr>
              <w:spacing w:line="300" w:lineRule="exact"/>
              <w:jc w:val="center"/>
              <w:rPr>
                <w:rFonts w:hint="eastAsia" w:ascii="方正书宋_GBK" w:eastAsia="方正书宋_GBK"/>
              </w:rPr>
            </w:pPr>
          </w:p>
        </w:tc>
        <w:tc>
          <w:tcPr>
            <w:tcW w:w="712" w:type="dxa"/>
            <w:noWrap w:val="0"/>
            <w:vAlign w:val="center"/>
          </w:tcPr>
          <w:p>
            <w:pPr>
              <w:spacing w:line="300" w:lineRule="exact"/>
              <w:jc w:val="center"/>
              <w:rPr>
                <w:rFonts w:hint="eastAsia" w:ascii="方正书宋_GBK" w:eastAsia="方正书宋_GBK"/>
              </w:rPr>
            </w:pPr>
          </w:p>
        </w:tc>
        <w:tc>
          <w:tcPr>
            <w:tcW w:w="714" w:type="dxa"/>
            <w:noWrap w:val="0"/>
            <w:vAlign w:val="center"/>
          </w:tcPr>
          <w:p>
            <w:pPr>
              <w:spacing w:line="300" w:lineRule="exact"/>
              <w:jc w:val="center"/>
              <w:rPr>
                <w:rFonts w:hint="eastAsia" w:ascii="方正书宋_GBK" w:eastAsia="方正书宋_GBK"/>
              </w:rPr>
            </w:pPr>
            <w:r>
              <w:rPr>
                <w:rFonts w:ascii="方正书宋_GBK" w:eastAsia="方正书宋_GBK"/>
              </w:rPr>
              <w:t>&lt;5</w:t>
            </w:r>
          </w:p>
        </w:tc>
        <w:tc>
          <w:tcPr>
            <w:tcW w:w="697" w:type="dxa"/>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vMerge w:val="continue"/>
            <w:noWrap w:val="0"/>
            <w:vAlign w:val="center"/>
          </w:tcPr>
          <w:p>
            <w:pPr>
              <w:spacing w:line="300" w:lineRule="exact"/>
              <w:jc w:val="left"/>
              <w:rPr>
                <w:rFonts w:hint="eastAsia" w:ascii="方正书宋_GBK" w:eastAsia="方正书宋_GBK"/>
                <w:b/>
              </w:rPr>
            </w:pPr>
          </w:p>
        </w:tc>
        <w:tc>
          <w:tcPr>
            <w:tcW w:w="1235" w:type="dxa"/>
            <w:vMerge w:val="continue"/>
            <w:noWrap w:val="0"/>
            <w:vAlign w:val="center"/>
          </w:tcPr>
          <w:p>
            <w:pPr>
              <w:spacing w:line="300" w:lineRule="exact"/>
              <w:jc w:val="left"/>
              <w:rPr>
                <w:rFonts w:ascii="方正书宋_GBK" w:eastAsia="方正书宋_GBK"/>
              </w:rPr>
            </w:pPr>
          </w:p>
        </w:tc>
        <w:tc>
          <w:tcPr>
            <w:tcW w:w="2878" w:type="dxa"/>
            <w:vMerge w:val="continue"/>
            <w:noWrap w:val="0"/>
            <w:vAlign w:val="center"/>
          </w:tcPr>
          <w:p>
            <w:pPr>
              <w:spacing w:line="300" w:lineRule="exact"/>
              <w:jc w:val="left"/>
              <w:rPr>
                <w:rFonts w:hint="eastAsia" w:ascii="方正书宋_GBK" w:eastAsia="方正书宋_GBK"/>
              </w:rPr>
            </w:pPr>
          </w:p>
        </w:tc>
        <w:tc>
          <w:tcPr>
            <w:tcW w:w="2877" w:type="dxa"/>
            <w:vMerge w:val="continue"/>
            <w:noWrap w:val="0"/>
            <w:vAlign w:val="center"/>
          </w:tcPr>
          <w:p>
            <w:pPr>
              <w:spacing w:line="300" w:lineRule="exact"/>
              <w:jc w:val="left"/>
              <w:rPr>
                <w:rFonts w:hint="eastAsia" w:ascii="方正书宋_GBK" w:eastAsia="方正书宋_GBK"/>
              </w:rPr>
            </w:pPr>
          </w:p>
        </w:tc>
        <w:tc>
          <w:tcPr>
            <w:tcW w:w="1371" w:type="dxa"/>
            <w:noWrap w:val="0"/>
            <w:vAlign w:val="center"/>
          </w:tcPr>
          <w:p>
            <w:pPr>
              <w:spacing w:line="300" w:lineRule="exact"/>
              <w:jc w:val="left"/>
              <w:rPr>
                <w:rFonts w:hint="eastAsia" w:ascii="方正书宋_GBK" w:eastAsia="方正书宋_GBK"/>
              </w:rPr>
            </w:pPr>
            <w:r>
              <w:rPr>
                <w:rFonts w:hint="eastAsia" w:ascii="方正书宋_GBK" w:eastAsia="方正书宋_GBK"/>
              </w:rPr>
              <w:t>金融超市和村级助农服务网点数量（家）</w:t>
            </w:r>
          </w:p>
        </w:tc>
        <w:tc>
          <w:tcPr>
            <w:tcW w:w="712"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713" w:type="dxa"/>
            <w:noWrap w:val="0"/>
            <w:vAlign w:val="center"/>
          </w:tcPr>
          <w:p>
            <w:pPr>
              <w:spacing w:line="300" w:lineRule="exact"/>
              <w:jc w:val="center"/>
              <w:rPr>
                <w:rFonts w:hint="eastAsia" w:ascii="方正书宋_GBK" w:eastAsia="方正书宋_GBK"/>
              </w:rPr>
            </w:pPr>
          </w:p>
        </w:tc>
        <w:tc>
          <w:tcPr>
            <w:tcW w:w="712" w:type="dxa"/>
            <w:noWrap w:val="0"/>
            <w:vAlign w:val="center"/>
          </w:tcPr>
          <w:p>
            <w:pPr>
              <w:spacing w:line="300" w:lineRule="exact"/>
              <w:jc w:val="center"/>
              <w:rPr>
                <w:rFonts w:hint="eastAsia" w:ascii="方正书宋_GBK" w:eastAsia="方正书宋_GBK"/>
              </w:rPr>
            </w:pPr>
          </w:p>
        </w:tc>
        <w:tc>
          <w:tcPr>
            <w:tcW w:w="714" w:type="dxa"/>
            <w:noWrap w:val="0"/>
            <w:vAlign w:val="center"/>
          </w:tcPr>
          <w:p>
            <w:pPr>
              <w:spacing w:line="300" w:lineRule="exact"/>
              <w:jc w:val="center"/>
              <w:rPr>
                <w:rFonts w:ascii="方正书宋_GBK" w:eastAsia="方正书宋_GBK"/>
              </w:rPr>
            </w:pPr>
            <w:r>
              <w:rPr>
                <w:rFonts w:ascii="方正书宋_GBK" w:eastAsia="方正书宋_GBK"/>
              </w:rPr>
              <w:t>&lt;50</w:t>
            </w:r>
          </w:p>
        </w:tc>
        <w:tc>
          <w:tcPr>
            <w:tcW w:w="697" w:type="dxa"/>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物资储备管理</w:t>
            </w:r>
          </w:p>
        </w:tc>
        <w:tc>
          <w:tcPr>
            <w:tcW w:w="1235" w:type="dxa"/>
            <w:noWrap w:val="0"/>
            <w:vAlign w:val="center"/>
          </w:tcPr>
          <w:p>
            <w:pPr>
              <w:spacing w:line="300" w:lineRule="exact"/>
              <w:jc w:val="left"/>
              <w:rPr>
                <w:rFonts w:ascii="方正书宋_GBK" w:eastAsia="方正书宋_GBK"/>
              </w:rPr>
            </w:pPr>
          </w:p>
        </w:tc>
        <w:tc>
          <w:tcPr>
            <w:tcW w:w="2878" w:type="dxa"/>
            <w:noWrap w:val="0"/>
            <w:vAlign w:val="center"/>
          </w:tcPr>
          <w:p>
            <w:pPr>
              <w:spacing w:line="300" w:lineRule="exact"/>
              <w:jc w:val="left"/>
              <w:rPr>
                <w:rFonts w:hint="eastAsia" w:ascii="方正书宋_GBK" w:eastAsia="方正书宋_GBK"/>
              </w:rPr>
            </w:pPr>
            <w:r>
              <w:rPr>
                <w:rFonts w:hint="eastAsia" w:ascii="方正书宋_GBK" w:eastAsia="方正书宋_GBK"/>
              </w:rPr>
              <w:t>按照政府授权，承担管理棉花、化肥、农药、羊毛、食盐及救灾物资等重要物资的储备任务</w:t>
            </w:r>
          </w:p>
        </w:tc>
        <w:tc>
          <w:tcPr>
            <w:tcW w:w="2877" w:type="dxa"/>
            <w:noWrap w:val="0"/>
            <w:vAlign w:val="center"/>
          </w:tcPr>
          <w:p>
            <w:pPr>
              <w:spacing w:line="300" w:lineRule="exact"/>
              <w:jc w:val="left"/>
              <w:rPr>
                <w:rFonts w:hint="eastAsia" w:ascii="方正书宋_GBK" w:eastAsia="方正书宋_GBK"/>
              </w:rPr>
            </w:pPr>
            <w:r>
              <w:rPr>
                <w:rFonts w:hint="eastAsia" w:ascii="方正书宋_GBK" w:eastAsia="方正书宋_GBK"/>
              </w:rPr>
              <w:t>充分发挥供销社在流通领域的应急调控作用</w:t>
            </w:r>
          </w:p>
        </w:tc>
        <w:tc>
          <w:tcPr>
            <w:tcW w:w="1371" w:type="dxa"/>
            <w:noWrap w:val="0"/>
            <w:vAlign w:val="center"/>
          </w:tcPr>
          <w:p>
            <w:pPr>
              <w:spacing w:line="300" w:lineRule="exact"/>
              <w:jc w:val="left"/>
              <w:rPr>
                <w:rFonts w:hint="eastAsia" w:ascii="方正书宋_GBK" w:eastAsia="方正书宋_GBK"/>
              </w:rPr>
            </w:pPr>
          </w:p>
        </w:tc>
        <w:tc>
          <w:tcPr>
            <w:tcW w:w="712" w:type="dxa"/>
            <w:noWrap w:val="0"/>
            <w:vAlign w:val="center"/>
          </w:tcPr>
          <w:p>
            <w:pPr>
              <w:spacing w:line="300" w:lineRule="exact"/>
              <w:jc w:val="center"/>
              <w:rPr>
                <w:rFonts w:hint="eastAsia" w:ascii="方正书宋_GBK" w:eastAsia="方正书宋_GBK"/>
              </w:rPr>
            </w:pPr>
          </w:p>
        </w:tc>
        <w:tc>
          <w:tcPr>
            <w:tcW w:w="713" w:type="dxa"/>
            <w:noWrap w:val="0"/>
            <w:vAlign w:val="center"/>
          </w:tcPr>
          <w:p>
            <w:pPr>
              <w:spacing w:line="300" w:lineRule="exact"/>
              <w:jc w:val="center"/>
              <w:rPr>
                <w:rFonts w:hint="eastAsia" w:ascii="方正书宋_GBK" w:eastAsia="方正书宋_GBK"/>
              </w:rPr>
            </w:pPr>
          </w:p>
        </w:tc>
        <w:tc>
          <w:tcPr>
            <w:tcW w:w="712" w:type="dxa"/>
            <w:noWrap w:val="0"/>
            <w:vAlign w:val="center"/>
          </w:tcPr>
          <w:p>
            <w:pPr>
              <w:spacing w:line="300" w:lineRule="exact"/>
              <w:jc w:val="center"/>
              <w:rPr>
                <w:rFonts w:hint="eastAsia" w:ascii="方正书宋_GBK" w:eastAsia="方正书宋_GBK"/>
              </w:rPr>
            </w:pPr>
          </w:p>
        </w:tc>
        <w:tc>
          <w:tcPr>
            <w:tcW w:w="714" w:type="dxa"/>
            <w:noWrap w:val="0"/>
            <w:vAlign w:val="center"/>
          </w:tcPr>
          <w:p>
            <w:pPr>
              <w:spacing w:line="300" w:lineRule="exact"/>
              <w:jc w:val="center"/>
              <w:rPr>
                <w:rFonts w:ascii="方正书宋_GBK" w:eastAsia="方正书宋_GBK"/>
              </w:rPr>
            </w:pPr>
          </w:p>
        </w:tc>
        <w:tc>
          <w:tcPr>
            <w:tcW w:w="697" w:type="dxa"/>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重要商品物资储备及监管</w:t>
            </w:r>
          </w:p>
        </w:tc>
        <w:tc>
          <w:tcPr>
            <w:tcW w:w="1235" w:type="dxa"/>
            <w:vMerge w:val="restart"/>
            <w:noWrap w:val="0"/>
            <w:vAlign w:val="center"/>
          </w:tcPr>
          <w:p>
            <w:pPr>
              <w:spacing w:line="300" w:lineRule="exact"/>
              <w:jc w:val="left"/>
              <w:rPr>
                <w:rFonts w:ascii="方正书宋_GBK" w:eastAsia="方正书宋_GBK"/>
              </w:rPr>
            </w:pPr>
          </w:p>
        </w:tc>
        <w:tc>
          <w:tcPr>
            <w:tcW w:w="2878"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调节商品供求关系，稳定物价、保障市场供应、保证防汛救灾的需要、增强政府对市场的宏观调控能力和应急保障</w:t>
            </w:r>
          </w:p>
        </w:tc>
        <w:tc>
          <w:tcPr>
            <w:tcW w:w="2877"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安排、组织代储企业依据储备计划及时足额、保质保量做好储备商品的收储、轮换等工作</w:t>
            </w:r>
          </w:p>
        </w:tc>
        <w:tc>
          <w:tcPr>
            <w:tcW w:w="1371" w:type="dxa"/>
            <w:noWrap w:val="0"/>
            <w:vAlign w:val="center"/>
          </w:tcPr>
          <w:p>
            <w:pPr>
              <w:spacing w:line="300" w:lineRule="exact"/>
              <w:jc w:val="left"/>
              <w:rPr>
                <w:rFonts w:hint="eastAsia" w:ascii="方正书宋_GBK" w:eastAsia="方正书宋_GBK"/>
              </w:rPr>
            </w:pPr>
            <w:r>
              <w:rPr>
                <w:rFonts w:hint="eastAsia" w:ascii="方正书宋_GBK" w:eastAsia="方正书宋_GBK"/>
              </w:rPr>
              <w:t>储备计划完成率</w:t>
            </w:r>
          </w:p>
        </w:tc>
        <w:tc>
          <w:tcPr>
            <w:tcW w:w="712" w:type="dxa"/>
            <w:noWrap w:val="0"/>
            <w:vAlign w:val="center"/>
          </w:tcPr>
          <w:p>
            <w:pPr>
              <w:spacing w:line="300" w:lineRule="exact"/>
              <w:jc w:val="center"/>
              <w:rPr>
                <w:rFonts w:hint="eastAsia" w:ascii="方正书宋_GBK" w:eastAsia="方正书宋_GBK"/>
              </w:rPr>
            </w:pPr>
            <w:r>
              <w:rPr>
                <w:rFonts w:ascii="方正书宋_GBK" w:eastAsia="方正书宋_GBK"/>
              </w:rPr>
              <w:t>100%</w:t>
            </w:r>
          </w:p>
        </w:tc>
        <w:tc>
          <w:tcPr>
            <w:tcW w:w="713"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12"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14"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697" w:type="dxa"/>
            <w:noWrap w:val="0"/>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vMerge w:val="continue"/>
            <w:noWrap w:val="0"/>
            <w:vAlign w:val="center"/>
          </w:tcPr>
          <w:p>
            <w:pPr>
              <w:spacing w:line="300" w:lineRule="exact"/>
              <w:jc w:val="left"/>
              <w:rPr>
                <w:rFonts w:hint="eastAsia" w:ascii="方正书宋_GBK" w:eastAsia="方正书宋_GBK"/>
                <w:b/>
              </w:rPr>
            </w:pPr>
          </w:p>
        </w:tc>
        <w:tc>
          <w:tcPr>
            <w:tcW w:w="1235" w:type="dxa"/>
            <w:vMerge w:val="continue"/>
            <w:noWrap w:val="0"/>
            <w:vAlign w:val="center"/>
          </w:tcPr>
          <w:p>
            <w:pPr>
              <w:spacing w:line="300" w:lineRule="exact"/>
              <w:jc w:val="left"/>
              <w:rPr>
                <w:rFonts w:ascii="方正书宋_GBK" w:eastAsia="方正书宋_GBK"/>
              </w:rPr>
            </w:pPr>
          </w:p>
        </w:tc>
        <w:tc>
          <w:tcPr>
            <w:tcW w:w="2878" w:type="dxa"/>
            <w:vMerge w:val="continue"/>
            <w:noWrap w:val="0"/>
            <w:vAlign w:val="center"/>
          </w:tcPr>
          <w:p>
            <w:pPr>
              <w:spacing w:line="300" w:lineRule="exact"/>
              <w:jc w:val="left"/>
              <w:rPr>
                <w:rFonts w:hint="eastAsia" w:ascii="方正书宋_GBK" w:eastAsia="方正书宋_GBK"/>
              </w:rPr>
            </w:pPr>
          </w:p>
        </w:tc>
        <w:tc>
          <w:tcPr>
            <w:tcW w:w="2877" w:type="dxa"/>
            <w:vMerge w:val="continue"/>
            <w:noWrap w:val="0"/>
            <w:vAlign w:val="center"/>
          </w:tcPr>
          <w:p>
            <w:pPr>
              <w:spacing w:line="300" w:lineRule="exact"/>
              <w:jc w:val="left"/>
              <w:rPr>
                <w:rFonts w:hint="eastAsia" w:ascii="方正书宋_GBK" w:eastAsia="方正书宋_GBK"/>
              </w:rPr>
            </w:pPr>
          </w:p>
        </w:tc>
        <w:tc>
          <w:tcPr>
            <w:tcW w:w="1371"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质量良好率</w:t>
            </w:r>
          </w:p>
        </w:tc>
        <w:tc>
          <w:tcPr>
            <w:tcW w:w="712"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13"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12"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14"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697" w:type="dxa"/>
            <w:noWrap w:val="0"/>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盐务管理</w:t>
            </w:r>
          </w:p>
        </w:tc>
        <w:tc>
          <w:tcPr>
            <w:tcW w:w="1235" w:type="dxa"/>
            <w:noWrap w:val="0"/>
            <w:vAlign w:val="center"/>
          </w:tcPr>
          <w:p>
            <w:pPr>
              <w:spacing w:line="300" w:lineRule="exact"/>
              <w:jc w:val="left"/>
              <w:rPr>
                <w:rFonts w:ascii="方正书宋_GBK" w:eastAsia="方正书宋_GBK"/>
              </w:rPr>
            </w:pPr>
          </w:p>
        </w:tc>
        <w:tc>
          <w:tcPr>
            <w:tcW w:w="2878" w:type="dxa"/>
            <w:noWrap w:val="0"/>
            <w:vAlign w:val="center"/>
          </w:tcPr>
          <w:p>
            <w:pPr>
              <w:spacing w:line="300" w:lineRule="exact"/>
              <w:jc w:val="left"/>
              <w:rPr>
                <w:rFonts w:hint="eastAsia" w:ascii="方正书宋_GBK" w:eastAsia="方正书宋_GBK"/>
              </w:rPr>
            </w:pPr>
            <w:r>
              <w:rPr>
                <w:rFonts w:hint="eastAsia" w:ascii="方正书宋_GBK" w:eastAsia="方正书宋_GBK"/>
              </w:rPr>
              <w:t>组织开展全县盐业行政执法活动，打击盐业违法行为、对直属企业进行改革和管理</w:t>
            </w:r>
          </w:p>
        </w:tc>
        <w:tc>
          <w:tcPr>
            <w:tcW w:w="2877" w:type="dxa"/>
            <w:noWrap w:val="0"/>
            <w:vAlign w:val="center"/>
          </w:tcPr>
          <w:p>
            <w:pPr>
              <w:spacing w:line="300" w:lineRule="exact"/>
              <w:jc w:val="left"/>
              <w:rPr>
                <w:rFonts w:hint="eastAsia" w:ascii="方正书宋_GBK" w:eastAsia="方正书宋_GBK"/>
              </w:rPr>
            </w:pPr>
            <w:r>
              <w:rPr>
                <w:rFonts w:hint="eastAsia" w:ascii="方正书宋_GBK" w:eastAsia="方正书宋_GBK"/>
              </w:rPr>
              <w:t>保障食盐在生产、流通环节的安全</w:t>
            </w:r>
          </w:p>
        </w:tc>
        <w:tc>
          <w:tcPr>
            <w:tcW w:w="1371" w:type="dxa"/>
            <w:noWrap w:val="0"/>
            <w:vAlign w:val="center"/>
          </w:tcPr>
          <w:p>
            <w:pPr>
              <w:spacing w:line="300" w:lineRule="exact"/>
              <w:jc w:val="left"/>
              <w:rPr>
                <w:rFonts w:hint="eastAsia" w:ascii="方正书宋_GBK" w:eastAsia="方正书宋_GBK"/>
              </w:rPr>
            </w:pPr>
          </w:p>
        </w:tc>
        <w:tc>
          <w:tcPr>
            <w:tcW w:w="712" w:type="dxa"/>
            <w:noWrap w:val="0"/>
            <w:vAlign w:val="center"/>
          </w:tcPr>
          <w:p>
            <w:pPr>
              <w:spacing w:line="300" w:lineRule="exact"/>
              <w:jc w:val="center"/>
              <w:rPr>
                <w:rFonts w:ascii="方正书宋_GBK" w:eastAsia="方正书宋_GBK"/>
              </w:rPr>
            </w:pPr>
          </w:p>
        </w:tc>
        <w:tc>
          <w:tcPr>
            <w:tcW w:w="713" w:type="dxa"/>
            <w:noWrap w:val="0"/>
            <w:vAlign w:val="center"/>
          </w:tcPr>
          <w:p>
            <w:pPr>
              <w:spacing w:line="300" w:lineRule="exact"/>
              <w:jc w:val="center"/>
              <w:rPr>
                <w:rFonts w:hint="eastAsia" w:ascii="方正书宋_GBK" w:eastAsia="方正书宋_GBK"/>
              </w:rPr>
            </w:pPr>
          </w:p>
        </w:tc>
        <w:tc>
          <w:tcPr>
            <w:tcW w:w="712" w:type="dxa"/>
            <w:noWrap w:val="0"/>
            <w:vAlign w:val="center"/>
          </w:tcPr>
          <w:p>
            <w:pPr>
              <w:spacing w:line="300" w:lineRule="exact"/>
              <w:jc w:val="center"/>
              <w:rPr>
                <w:rFonts w:hint="eastAsia" w:ascii="方正书宋_GBK" w:eastAsia="方正书宋_GBK"/>
              </w:rPr>
            </w:pPr>
          </w:p>
        </w:tc>
        <w:tc>
          <w:tcPr>
            <w:tcW w:w="714" w:type="dxa"/>
            <w:noWrap w:val="0"/>
            <w:vAlign w:val="center"/>
          </w:tcPr>
          <w:p>
            <w:pPr>
              <w:spacing w:line="300" w:lineRule="exact"/>
              <w:jc w:val="center"/>
              <w:rPr>
                <w:rFonts w:hint="eastAsia" w:ascii="方正书宋_GBK" w:eastAsia="方正书宋_GBK"/>
              </w:rPr>
            </w:pPr>
          </w:p>
        </w:tc>
        <w:tc>
          <w:tcPr>
            <w:tcW w:w="697" w:type="dxa"/>
            <w:noWrap w:val="0"/>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组织实施盐政执法</w:t>
            </w:r>
          </w:p>
        </w:tc>
        <w:tc>
          <w:tcPr>
            <w:tcW w:w="1235" w:type="dxa"/>
            <w:vMerge w:val="restart"/>
            <w:noWrap w:val="0"/>
            <w:vAlign w:val="center"/>
          </w:tcPr>
          <w:p>
            <w:pPr>
              <w:spacing w:line="300" w:lineRule="exact"/>
              <w:jc w:val="left"/>
              <w:rPr>
                <w:rFonts w:ascii="方正书宋_GBK" w:eastAsia="方正书宋_GBK"/>
              </w:rPr>
            </w:pPr>
          </w:p>
        </w:tc>
        <w:tc>
          <w:tcPr>
            <w:tcW w:w="2878"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组织开展全县盐业行政执法活动，打击盐业违法行为，查处重大盐业违法案件。规范盐业行政执法案件程序和执法案卷；追究执法过错责任，纠正违法执法行为</w:t>
            </w:r>
          </w:p>
        </w:tc>
        <w:tc>
          <w:tcPr>
            <w:tcW w:w="2877"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全县盐业违法行为得到有效打击和遏制，实现食盐安全生产和流通</w:t>
            </w:r>
          </w:p>
        </w:tc>
        <w:tc>
          <w:tcPr>
            <w:tcW w:w="1371" w:type="dxa"/>
            <w:noWrap w:val="0"/>
            <w:vAlign w:val="center"/>
          </w:tcPr>
          <w:p>
            <w:pPr>
              <w:spacing w:line="300" w:lineRule="exact"/>
              <w:jc w:val="left"/>
              <w:rPr>
                <w:rFonts w:hint="eastAsia" w:ascii="方正书宋_GBK" w:eastAsia="方正书宋_GBK"/>
              </w:rPr>
            </w:pPr>
            <w:r>
              <w:rPr>
                <w:rFonts w:hint="eastAsia" w:ascii="方正书宋_GBK" w:eastAsia="方正书宋_GBK"/>
              </w:rPr>
              <w:t>食盐产品合格率</w:t>
            </w:r>
          </w:p>
        </w:tc>
        <w:tc>
          <w:tcPr>
            <w:tcW w:w="712"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13"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712"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96%</w:t>
            </w:r>
          </w:p>
        </w:tc>
        <w:tc>
          <w:tcPr>
            <w:tcW w:w="714"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96%</w:t>
            </w:r>
          </w:p>
        </w:tc>
        <w:tc>
          <w:tcPr>
            <w:tcW w:w="697" w:type="dxa"/>
            <w:noWrap w:val="0"/>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vMerge w:val="continue"/>
            <w:noWrap w:val="0"/>
            <w:vAlign w:val="center"/>
          </w:tcPr>
          <w:p>
            <w:pPr>
              <w:spacing w:line="300" w:lineRule="exact"/>
              <w:jc w:val="left"/>
              <w:rPr>
                <w:rFonts w:hint="eastAsia" w:ascii="方正书宋_GBK" w:eastAsia="方正书宋_GBK"/>
                <w:b/>
              </w:rPr>
            </w:pPr>
          </w:p>
        </w:tc>
        <w:tc>
          <w:tcPr>
            <w:tcW w:w="1235" w:type="dxa"/>
            <w:vMerge w:val="continue"/>
            <w:noWrap w:val="0"/>
            <w:vAlign w:val="center"/>
          </w:tcPr>
          <w:p>
            <w:pPr>
              <w:spacing w:line="300" w:lineRule="exact"/>
              <w:jc w:val="left"/>
              <w:rPr>
                <w:rFonts w:ascii="方正书宋_GBK" w:eastAsia="方正书宋_GBK"/>
              </w:rPr>
            </w:pPr>
          </w:p>
        </w:tc>
        <w:tc>
          <w:tcPr>
            <w:tcW w:w="2878" w:type="dxa"/>
            <w:vMerge w:val="continue"/>
            <w:noWrap w:val="0"/>
            <w:vAlign w:val="center"/>
          </w:tcPr>
          <w:p>
            <w:pPr>
              <w:spacing w:line="300" w:lineRule="exact"/>
              <w:jc w:val="left"/>
              <w:rPr>
                <w:rFonts w:hint="eastAsia" w:ascii="方正书宋_GBK" w:eastAsia="方正书宋_GBK"/>
              </w:rPr>
            </w:pPr>
          </w:p>
        </w:tc>
        <w:tc>
          <w:tcPr>
            <w:tcW w:w="2877" w:type="dxa"/>
            <w:vMerge w:val="continue"/>
            <w:noWrap w:val="0"/>
            <w:vAlign w:val="center"/>
          </w:tcPr>
          <w:p>
            <w:pPr>
              <w:spacing w:line="300" w:lineRule="exact"/>
              <w:jc w:val="left"/>
              <w:rPr>
                <w:rFonts w:hint="eastAsia" w:ascii="方正书宋_GBK" w:eastAsia="方正书宋_GBK"/>
              </w:rPr>
            </w:pPr>
          </w:p>
        </w:tc>
        <w:tc>
          <w:tcPr>
            <w:tcW w:w="1371" w:type="dxa"/>
            <w:noWrap w:val="0"/>
            <w:vAlign w:val="center"/>
          </w:tcPr>
          <w:p>
            <w:pPr>
              <w:spacing w:line="300" w:lineRule="exact"/>
              <w:jc w:val="left"/>
              <w:rPr>
                <w:rFonts w:hint="eastAsia" w:ascii="方正书宋_GBK" w:eastAsia="方正书宋_GBK"/>
              </w:rPr>
            </w:pPr>
            <w:r>
              <w:rPr>
                <w:rFonts w:hint="eastAsia" w:ascii="方正书宋_GBK" w:eastAsia="方正书宋_GBK"/>
              </w:rPr>
              <w:t>盐业执法人员培训考核通过率</w:t>
            </w:r>
          </w:p>
        </w:tc>
        <w:tc>
          <w:tcPr>
            <w:tcW w:w="712"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13"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712"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96%</w:t>
            </w:r>
          </w:p>
        </w:tc>
        <w:tc>
          <w:tcPr>
            <w:tcW w:w="714"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96%</w:t>
            </w:r>
          </w:p>
        </w:tc>
        <w:tc>
          <w:tcPr>
            <w:tcW w:w="697" w:type="dxa"/>
            <w:noWrap w:val="0"/>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vMerge w:val="continue"/>
            <w:noWrap w:val="0"/>
            <w:vAlign w:val="center"/>
          </w:tcPr>
          <w:p>
            <w:pPr>
              <w:spacing w:line="300" w:lineRule="exact"/>
              <w:jc w:val="left"/>
              <w:rPr>
                <w:rFonts w:hint="eastAsia" w:ascii="方正书宋_GBK" w:eastAsia="方正书宋_GBK"/>
                <w:b/>
              </w:rPr>
            </w:pPr>
          </w:p>
        </w:tc>
        <w:tc>
          <w:tcPr>
            <w:tcW w:w="1235" w:type="dxa"/>
            <w:vMerge w:val="continue"/>
            <w:noWrap w:val="0"/>
            <w:vAlign w:val="center"/>
          </w:tcPr>
          <w:p>
            <w:pPr>
              <w:spacing w:line="300" w:lineRule="exact"/>
              <w:jc w:val="left"/>
              <w:rPr>
                <w:rFonts w:ascii="方正书宋_GBK" w:eastAsia="方正书宋_GBK"/>
              </w:rPr>
            </w:pPr>
          </w:p>
        </w:tc>
        <w:tc>
          <w:tcPr>
            <w:tcW w:w="2878" w:type="dxa"/>
            <w:vMerge w:val="continue"/>
            <w:noWrap w:val="0"/>
            <w:vAlign w:val="center"/>
          </w:tcPr>
          <w:p>
            <w:pPr>
              <w:spacing w:line="300" w:lineRule="exact"/>
              <w:jc w:val="left"/>
              <w:rPr>
                <w:rFonts w:hint="eastAsia" w:ascii="方正书宋_GBK" w:eastAsia="方正书宋_GBK"/>
              </w:rPr>
            </w:pPr>
          </w:p>
        </w:tc>
        <w:tc>
          <w:tcPr>
            <w:tcW w:w="2877" w:type="dxa"/>
            <w:vMerge w:val="continue"/>
            <w:noWrap w:val="0"/>
            <w:vAlign w:val="center"/>
          </w:tcPr>
          <w:p>
            <w:pPr>
              <w:spacing w:line="300" w:lineRule="exact"/>
              <w:jc w:val="left"/>
              <w:rPr>
                <w:rFonts w:hint="eastAsia" w:ascii="方正书宋_GBK" w:eastAsia="方正书宋_GBK"/>
              </w:rPr>
            </w:pPr>
          </w:p>
        </w:tc>
        <w:tc>
          <w:tcPr>
            <w:tcW w:w="1371" w:type="dxa"/>
            <w:noWrap w:val="0"/>
            <w:vAlign w:val="center"/>
          </w:tcPr>
          <w:p>
            <w:pPr>
              <w:spacing w:line="300" w:lineRule="exact"/>
              <w:jc w:val="left"/>
              <w:rPr>
                <w:rFonts w:hint="eastAsia" w:ascii="方正书宋_GBK" w:eastAsia="方正书宋_GBK"/>
              </w:rPr>
            </w:pPr>
            <w:r>
              <w:rPr>
                <w:rFonts w:hint="eastAsia" w:ascii="方正书宋_GBK" w:eastAsia="方正书宋_GBK"/>
              </w:rPr>
              <w:t>重大盐业违法行为、案件处理率</w:t>
            </w:r>
          </w:p>
        </w:tc>
        <w:tc>
          <w:tcPr>
            <w:tcW w:w="712"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13"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712"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96%</w:t>
            </w:r>
          </w:p>
        </w:tc>
        <w:tc>
          <w:tcPr>
            <w:tcW w:w="714"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96%</w:t>
            </w:r>
          </w:p>
        </w:tc>
        <w:tc>
          <w:tcPr>
            <w:tcW w:w="697" w:type="dxa"/>
            <w:noWrap w:val="0"/>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盐业体制改革</w:t>
            </w:r>
          </w:p>
        </w:tc>
        <w:tc>
          <w:tcPr>
            <w:tcW w:w="1235" w:type="dxa"/>
            <w:vMerge w:val="restart"/>
            <w:noWrap w:val="0"/>
            <w:vAlign w:val="center"/>
          </w:tcPr>
          <w:p>
            <w:pPr>
              <w:spacing w:line="300" w:lineRule="exact"/>
              <w:jc w:val="left"/>
              <w:rPr>
                <w:rFonts w:ascii="方正书宋_GBK" w:eastAsia="方正书宋_GBK"/>
              </w:rPr>
            </w:pPr>
          </w:p>
        </w:tc>
        <w:tc>
          <w:tcPr>
            <w:tcW w:w="2878"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按照县政府安排推动盐业体制改革工作</w:t>
            </w:r>
          </w:p>
        </w:tc>
        <w:tc>
          <w:tcPr>
            <w:tcW w:w="2877"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完成县政府交办的改革任务</w:t>
            </w:r>
          </w:p>
        </w:tc>
        <w:tc>
          <w:tcPr>
            <w:tcW w:w="1371" w:type="dxa"/>
            <w:noWrap w:val="0"/>
            <w:vAlign w:val="center"/>
          </w:tcPr>
          <w:p>
            <w:pPr>
              <w:spacing w:line="300" w:lineRule="exact"/>
              <w:jc w:val="left"/>
              <w:rPr>
                <w:rFonts w:hint="eastAsia" w:ascii="方正书宋_GBK" w:eastAsia="方正书宋_GBK"/>
              </w:rPr>
            </w:pPr>
            <w:r>
              <w:rPr>
                <w:rFonts w:hint="eastAsia" w:ascii="方正书宋_GBK" w:eastAsia="方正书宋_GBK"/>
              </w:rPr>
              <w:t>企业人员安置分流工作完成率</w:t>
            </w:r>
          </w:p>
        </w:tc>
        <w:tc>
          <w:tcPr>
            <w:tcW w:w="712"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13"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12"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14"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697" w:type="dxa"/>
            <w:noWrap w:val="0"/>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vMerge w:val="continue"/>
            <w:noWrap w:val="0"/>
            <w:vAlign w:val="center"/>
          </w:tcPr>
          <w:p>
            <w:pPr>
              <w:spacing w:line="300" w:lineRule="exact"/>
              <w:jc w:val="left"/>
              <w:rPr>
                <w:rFonts w:hint="eastAsia" w:ascii="方正书宋_GBK" w:eastAsia="方正书宋_GBK"/>
                <w:b/>
              </w:rPr>
            </w:pPr>
          </w:p>
        </w:tc>
        <w:tc>
          <w:tcPr>
            <w:tcW w:w="1235" w:type="dxa"/>
            <w:vMerge w:val="continue"/>
            <w:noWrap w:val="0"/>
            <w:vAlign w:val="center"/>
          </w:tcPr>
          <w:p>
            <w:pPr>
              <w:spacing w:line="300" w:lineRule="exact"/>
              <w:jc w:val="left"/>
              <w:rPr>
                <w:rFonts w:ascii="方正书宋_GBK" w:eastAsia="方正书宋_GBK"/>
              </w:rPr>
            </w:pPr>
          </w:p>
        </w:tc>
        <w:tc>
          <w:tcPr>
            <w:tcW w:w="2878" w:type="dxa"/>
            <w:vMerge w:val="continue"/>
            <w:noWrap w:val="0"/>
            <w:vAlign w:val="center"/>
          </w:tcPr>
          <w:p>
            <w:pPr>
              <w:spacing w:line="300" w:lineRule="exact"/>
              <w:jc w:val="left"/>
              <w:rPr>
                <w:rFonts w:hint="eastAsia" w:ascii="方正书宋_GBK" w:eastAsia="方正书宋_GBK"/>
              </w:rPr>
            </w:pPr>
          </w:p>
        </w:tc>
        <w:tc>
          <w:tcPr>
            <w:tcW w:w="2877" w:type="dxa"/>
            <w:vMerge w:val="continue"/>
            <w:noWrap w:val="0"/>
            <w:vAlign w:val="center"/>
          </w:tcPr>
          <w:p>
            <w:pPr>
              <w:spacing w:line="300" w:lineRule="exact"/>
              <w:jc w:val="left"/>
              <w:rPr>
                <w:rFonts w:hint="eastAsia" w:ascii="方正书宋_GBK" w:eastAsia="方正书宋_GBK"/>
              </w:rPr>
            </w:pPr>
          </w:p>
        </w:tc>
        <w:tc>
          <w:tcPr>
            <w:tcW w:w="1371" w:type="dxa"/>
            <w:noWrap w:val="0"/>
            <w:vAlign w:val="center"/>
          </w:tcPr>
          <w:p>
            <w:pPr>
              <w:spacing w:line="300" w:lineRule="exact"/>
              <w:jc w:val="left"/>
              <w:rPr>
                <w:rFonts w:hint="eastAsia" w:ascii="方正书宋_GBK" w:eastAsia="方正书宋_GBK"/>
              </w:rPr>
            </w:pPr>
            <w:r>
              <w:rPr>
                <w:rFonts w:hint="eastAsia" w:ascii="方正书宋_GBK" w:eastAsia="方正书宋_GBK"/>
              </w:rPr>
              <w:t>县政府改革任务完成率</w:t>
            </w:r>
          </w:p>
        </w:tc>
        <w:tc>
          <w:tcPr>
            <w:tcW w:w="712"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13"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12"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14"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697" w:type="dxa"/>
            <w:noWrap w:val="0"/>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供销合作政务管理</w:t>
            </w:r>
          </w:p>
        </w:tc>
        <w:tc>
          <w:tcPr>
            <w:tcW w:w="1235" w:type="dxa"/>
            <w:noWrap w:val="0"/>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572.85</w:t>
            </w:r>
          </w:p>
        </w:tc>
        <w:tc>
          <w:tcPr>
            <w:tcW w:w="2878" w:type="dxa"/>
            <w:noWrap w:val="0"/>
            <w:vAlign w:val="center"/>
          </w:tcPr>
          <w:p>
            <w:pPr>
              <w:spacing w:line="300" w:lineRule="exact"/>
              <w:jc w:val="left"/>
              <w:rPr>
                <w:rFonts w:hint="eastAsia" w:ascii="方正书宋_GBK" w:eastAsia="方正书宋_GBK"/>
              </w:rPr>
            </w:pPr>
            <w:r>
              <w:rPr>
                <w:rFonts w:hint="eastAsia" w:ascii="方正书宋_GBK" w:eastAsia="方正书宋_GBK"/>
              </w:rPr>
              <w:t>负责供销合作社系统综合业务管理和机关综合事务管理</w:t>
            </w:r>
          </w:p>
        </w:tc>
        <w:tc>
          <w:tcPr>
            <w:tcW w:w="2877" w:type="dxa"/>
            <w:noWrap w:val="0"/>
            <w:vAlign w:val="center"/>
          </w:tcPr>
          <w:p>
            <w:pPr>
              <w:spacing w:line="300" w:lineRule="exact"/>
              <w:jc w:val="left"/>
              <w:rPr>
                <w:rFonts w:hint="eastAsia" w:ascii="方正书宋_GBK" w:eastAsia="方正书宋_GBK"/>
              </w:rPr>
            </w:pPr>
            <w:r>
              <w:rPr>
                <w:rFonts w:hint="eastAsia" w:ascii="方正书宋_GBK" w:eastAsia="方正书宋_GBK"/>
              </w:rPr>
              <w:t>确保各项业务工作谋划到位、顺利开展</w:t>
            </w:r>
            <w:r>
              <w:rPr>
                <w:rFonts w:ascii="方正书宋_GBK" w:eastAsia="方正书宋_GBK"/>
              </w:rPr>
              <w:t>,</w:t>
            </w:r>
            <w:r>
              <w:rPr>
                <w:rFonts w:hint="eastAsia" w:ascii="方正书宋_GBK" w:eastAsia="方正书宋_GBK"/>
              </w:rPr>
              <w:t>保障机关工作正常高效运转</w:t>
            </w:r>
          </w:p>
        </w:tc>
        <w:tc>
          <w:tcPr>
            <w:tcW w:w="1371" w:type="dxa"/>
            <w:noWrap w:val="0"/>
            <w:vAlign w:val="center"/>
          </w:tcPr>
          <w:p>
            <w:pPr>
              <w:spacing w:line="300" w:lineRule="exact"/>
              <w:jc w:val="left"/>
              <w:rPr>
                <w:rFonts w:hint="eastAsia" w:ascii="方正书宋_GBK" w:eastAsia="方正书宋_GBK"/>
              </w:rPr>
            </w:pPr>
          </w:p>
        </w:tc>
        <w:tc>
          <w:tcPr>
            <w:tcW w:w="712" w:type="dxa"/>
            <w:noWrap w:val="0"/>
            <w:vAlign w:val="center"/>
          </w:tcPr>
          <w:p>
            <w:pPr>
              <w:spacing w:line="300" w:lineRule="exact"/>
              <w:jc w:val="center"/>
              <w:rPr>
                <w:rFonts w:ascii="方正书宋_GBK" w:eastAsia="方正书宋_GBK"/>
              </w:rPr>
            </w:pPr>
          </w:p>
        </w:tc>
        <w:tc>
          <w:tcPr>
            <w:tcW w:w="713" w:type="dxa"/>
            <w:noWrap w:val="0"/>
            <w:vAlign w:val="center"/>
          </w:tcPr>
          <w:p>
            <w:pPr>
              <w:spacing w:line="300" w:lineRule="exact"/>
              <w:jc w:val="center"/>
              <w:rPr>
                <w:rFonts w:hint="eastAsia" w:ascii="方正书宋_GBK" w:eastAsia="方正书宋_GBK"/>
              </w:rPr>
            </w:pPr>
          </w:p>
        </w:tc>
        <w:tc>
          <w:tcPr>
            <w:tcW w:w="712" w:type="dxa"/>
            <w:noWrap w:val="0"/>
            <w:vAlign w:val="center"/>
          </w:tcPr>
          <w:p>
            <w:pPr>
              <w:spacing w:line="300" w:lineRule="exact"/>
              <w:jc w:val="center"/>
              <w:rPr>
                <w:rFonts w:hint="eastAsia" w:ascii="方正书宋_GBK" w:eastAsia="方正书宋_GBK"/>
              </w:rPr>
            </w:pPr>
          </w:p>
        </w:tc>
        <w:tc>
          <w:tcPr>
            <w:tcW w:w="714" w:type="dxa"/>
            <w:noWrap w:val="0"/>
            <w:vAlign w:val="center"/>
          </w:tcPr>
          <w:p>
            <w:pPr>
              <w:spacing w:line="300" w:lineRule="exact"/>
              <w:jc w:val="center"/>
              <w:rPr>
                <w:rFonts w:hint="eastAsia" w:ascii="方正书宋_GBK" w:eastAsia="方正书宋_GBK"/>
              </w:rPr>
            </w:pPr>
          </w:p>
        </w:tc>
        <w:tc>
          <w:tcPr>
            <w:tcW w:w="697" w:type="dxa"/>
            <w:noWrap w:val="0"/>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　　综合业务管理</w:t>
            </w:r>
          </w:p>
        </w:tc>
        <w:tc>
          <w:tcPr>
            <w:tcW w:w="1235" w:type="dxa"/>
            <w:noWrap w:val="0"/>
            <w:vAlign w:val="center"/>
          </w:tcPr>
          <w:p>
            <w:pPr>
              <w:spacing w:line="300" w:lineRule="exact"/>
              <w:jc w:val="left"/>
              <w:rPr>
                <w:rFonts w:ascii="方正书宋_GBK" w:eastAsia="方正书宋_GBK"/>
              </w:rPr>
            </w:pPr>
          </w:p>
        </w:tc>
        <w:tc>
          <w:tcPr>
            <w:tcW w:w="2878" w:type="dxa"/>
            <w:noWrap w:val="0"/>
            <w:vAlign w:val="center"/>
          </w:tcPr>
          <w:p>
            <w:pPr>
              <w:spacing w:line="300" w:lineRule="exact"/>
              <w:jc w:val="left"/>
              <w:rPr>
                <w:rFonts w:hint="eastAsia" w:ascii="方正书宋_GBK" w:eastAsia="方正书宋_GBK"/>
              </w:rPr>
            </w:pPr>
            <w:r>
              <w:rPr>
                <w:rFonts w:hint="eastAsia" w:ascii="方正书宋_GBK" w:eastAsia="方正书宋_GBK"/>
              </w:rPr>
              <w:t>制订系统发展战略和规划、指导系统业务活动和综合改革试点及事业发展；开展行业调查研究，制定相关行业政策、法规规章制度；信访接待、业务宣传、政务信息公开等工作。</w:t>
            </w:r>
          </w:p>
        </w:tc>
        <w:tc>
          <w:tcPr>
            <w:tcW w:w="2877" w:type="dxa"/>
            <w:noWrap w:val="0"/>
            <w:vAlign w:val="center"/>
          </w:tcPr>
          <w:p>
            <w:pPr>
              <w:spacing w:line="300" w:lineRule="exact"/>
              <w:jc w:val="left"/>
              <w:rPr>
                <w:rFonts w:hint="eastAsia" w:ascii="方正书宋_GBK" w:eastAsia="方正书宋_GBK"/>
              </w:rPr>
            </w:pPr>
            <w:r>
              <w:rPr>
                <w:rFonts w:hint="eastAsia" w:ascii="方正书宋_GBK" w:eastAsia="方正书宋_GBK"/>
              </w:rPr>
              <w:t>确保各项业务工作谋划到位、顺利开展</w:t>
            </w:r>
          </w:p>
        </w:tc>
        <w:tc>
          <w:tcPr>
            <w:tcW w:w="1371" w:type="dxa"/>
            <w:noWrap w:val="0"/>
            <w:vAlign w:val="center"/>
          </w:tcPr>
          <w:p>
            <w:pPr>
              <w:spacing w:line="300" w:lineRule="exact"/>
              <w:jc w:val="left"/>
              <w:rPr>
                <w:rFonts w:hint="eastAsia" w:ascii="方正书宋_GBK" w:eastAsia="方正书宋_GBK"/>
              </w:rPr>
            </w:pPr>
            <w:r>
              <w:rPr>
                <w:rFonts w:hint="eastAsia" w:ascii="方正书宋_GBK" w:eastAsia="方正书宋_GBK"/>
              </w:rPr>
              <w:t>系统业务活动完成率</w:t>
            </w:r>
          </w:p>
        </w:tc>
        <w:tc>
          <w:tcPr>
            <w:tcW w:w="712"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13"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12"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14"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697" w:type="dxa"/>
            <w:noWrap w:val="0"/>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264"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　　综合事务管理</w:t>
            </w:r>
          </w:p>
        </w:tc>
        <w:tc>
          <w:tcPr>
            <w:tcW w:w="1235" w:type="dxa"/>
            <w:noWrap w:val="0"/>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7.91</w:t>
            </w:r>
          </w:p>
          <w:p>
            <w:pPr>
              <w:spacing w:line="300" w:lineRule="exact"/>
              <w:jc w:val="left"/>
              <w:rPr>
                <w:rFonts w:hint="default" w:ascii="方正书宋_GBK" w:eastAsia="方正书宋_GBK"/>
                <w:lang w:val="en-US" w:eastAsia="zh-CN"/>
              </w:rPr>
            </w:pPr>
          </w:p>
        </w:tc>
        <w:tc>
          <w:tcPr>
            <w:tcW w:w="2878" w:type="dxa"/>
            <w:noWrap w:val="0"/>
            <w:vAlign w:val="center"/>
          </w:tcPr>
          <w:p>
            <w:pPr>
              <w:spacing w:line="300" w:lineRule="exact"/>
              <w:jc w:val="left"/>
              <w:rPr>
                <w:rFonts w:hint="eastAsia" w:ascii="方正书宋_GBK" w:eastAsia="方正书宋_GBK"/>
              </w:rPr>
            </w:pPr>
            <w:r>
              <w:rPr>
                <w:rFonts w:hint="eastAsia" w:ascii="方正书宋_GBK" w:eastAsia="方正书宋_GBK"/>
              </w:rPr>
              <w:t>会议组织管理、信息化建设与维护、机关财务和资产管理、标准化建设、基建及维修、设备购置、人事管理、机关党工委工作、老干部工作等。</w:t>
            </w:r>
          </w:p>
        </w:tc>
        <w:tc>
          <w:tcPr>
            <w:tcW w:w="2877" w:type="dxa"/>
            <w:noWrap w:val="0"/>
            <w:vAlign w:val="center"/>
          </w:tcPr>
          <w:p>
            <w:pPr>
              <w:spacing w:line="300" w:lineRule="exact"/>
              <w:jc w:val="left"/>
              <w:rPr>
                <w:rFonts w:hint="eastAsia" w:ascii="方正书宋_GBK" w:eastAsia="方正书宋_GBK"/>
              </w:rPr>
            </w:pPr>
            <w:r>
              <w:rPr>
                <w:rFonts w:hint="eastAsia" w:ascii="方正书宋_GBK" w:eastAsia="方正书宋_GBK"/>
              </w:rPr>
              <w:t>保障机关工作正常高效运转</w:t>
            </w:r>
          </w:p>
        </w:tc>
        <w:tc>
          <w:tcPr>
            <w:tcW w:w="1371" w:type="dxa"/>
            <w:noWrap w:val="0"/>
            <w:vAlign w:val="center"/>
          </w:tcPr>
          <w:p>
            <w:pPr>
              <w:spacing w:line="300" w:lineRule="exact"/>
              <w:jc w:val="left"/>
              <w:rPr>
                <w:rFonts w:hint="eastAsia" w:ascii="方正书宋_GBK" w:eastAsia="方正书宋_GBK"/>
              </w:rPr>
            </w:pPr>
            <w:r>
              <w:rPr>
                <w:rFonts w:hint="eastAsia" w:ascii="方正书宋_GBK" w:eastAsia="方正书宋_GBK"/>
              </w:rPr>
              <w:t>综合行政事务办结率</w:t>
            </w:r>
          </w:p>
        </w:tc>
        <w:tc>
          <w:tcPr>
            <w:tcW w:w="712"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13"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12"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14"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697" w:type="dxa"/>
            <w:noWrap w:val="0"/>
            <w:vAlign w:val="center"/>
          </w:tcPr>
          <w:p>
            <w:pPr>
              <w:spacing w:line="300" w:lineRule="exact"/>
              <w:jc w:val="center"/>
              <w:rPr>
                <w:rFonts w:hint="eastAsia" w:ascii="方正书宋_GBK" w:eastAsia="方正书宋_GBK"/>
              </w:rPr>
            </w:pPr>
          </w:p>
        </w:tc>
      </w:tr>
    </w:tbl>
    <w:p>
      <w:pPr>
        <w:widowControl/>
        <w:jc w:val="left"/>
        <w:rPr>
          <w:rFonts w:ascii="宋体" w:hAnsi="宋体" w:cs="宋体"/>
          <w:b/>
          <w:kern w:val="0"/>
          <w:sz w:val="32"/>
          <w:szCs w:val="32"/>
          <w:lang w:bidi="ar"/>
        </w:rPr>
      </w:pPr>
    </w:p>
    <w:p>
      <w:pPr>
        <w:spacing w:line="240" w:lineRule="auto"/>
        <w:ind w:firstLine="643" w:firstLineChars="200"/>
        <w:rPr>
          <w:rFonts w:ascii="宋体" w:hAnsi="宋体" w:eastAsia="宋体" w:cs="FZFSK--GBK1-0"/>
          <w:b/>
          <w:kern w:val="0"/>
          <w:sz w:val="32"/>
          <w:szCs w:val="32"/>
        </w:rPr>
      </w:pPr>
      <w:r>
        <w:rPr>
          <w:rFonts w:hint="eastAsia" w:ascii="宋体" w:hAnsi="宋体" w:eastAsia="宋体" w:cs="FZFSK--GBK1-0"/>
          <w:b/>
          <w:kern w:val="0"/>
          <w:sz w:val="32"/>
          <w:szCs w:val="32"/>
          <w:lang w:eastAsia="zh-CN"/>
        </w:rPr>
        <w:t>六</w:t>
      </w:r>
      <w:r>
        <w:rPr>
          <w:rFonts w:hint="eastAsia" w:ascii="宋体" w:hAnsi="宋体" w:eastAsia="宋体" w:cs="FZFSK--GBK1-0"/>
          <w:b/>
          <w:kern w:val="0"/>
          <w:sz w:val="32"/>
          <w:szCs w:val="32"/>
        </w:rPr>
        <w:t>、政府采购预算情况</w:t>
      </w:r>
    </w:p>
    <w:p>
      <w:pPr>
        <w:widowControl/>
        <w:spacing w:line="240" w:lineRule="auto"/>
        <w:ind w:firstLine="640" w:firstLineChars="200"/>
        <w:jc w:val="left"/>
        <w:rPr>
          <w:rFonts w:hint="eastAsia" w:ascii="仿宋" w:hAnsi="仿宋" w:eastAsia="仿宋" w:cs="仿宋"/>
          <w:b w:val="0"/>
          <w:bCs w:val="0"/>
          <w:spacing w:val="0"/>
          <w:kern w:val="2"/>
          <w:sz w:val="32"/>
          <w:szCs w:val="32"/>
          <w:lang w:val="en-US" w:eastAsia="zh-CN" w:bidi="ar-SA"/>
        </w:rPr>
      </w:pPr>
      <w:r>
        <w:rPr>
          <w:rFonts w:hint="eastAsia" w:ascii="仿宋" w:hAnsi="仿宋" w:eastAsia="仿宋" w:cs="仿宋"/>
          <w:b w:val="0"/>
          <w:bCs w:val="0"/>
          <w:spacing w:val="0"/>
          <w:kern w:val="2"/>
          <w:sz w:val="32"/>
          <w:szCs w:val="32"/>
          <w:lang w:val="en-US" w:eastAsia="zh-CN" w:bidi="ar-SA"/>
        </w:rPr>
        <w:t>我单位2022年无政府采购预算。</w:t>
      </w:r>
    </w:p>
    <w:p>
      <w:pPr>
        <w:spacing w:line="240" w:lineRule="auto"/>
        <w:ind w:firstLine="643" w:firstLineChars="200"/>
        <w:rPr>
          <w:rFonts w:hint="eastAsia" w:ascii="仿宋" w:hAnsi="仿宋" w:eastAsia="仿宋" w:cs="仿宋"/>
          <w:b/>
          <w:bCs/>
          <w:sz w:val="32"/>
          <w:szCs w:val="32"/>
        </w:rPr>
      </w:pPr>
      <w:r>
        <w:rPr>
          <w:rFonts w:hint="eastAsia" w:ascii="宋体" w:hAnsi="宋体" w:eastAsia="宋体" w:cs="FZFSK--GBK1-0"/>
          <w:b/>
          <w:kern w:val="0"/>
          <w:sz w:val="32"/>
          <w:szCs w:val="32"/>
          <w:lang w:eastAsia="zh-CN"/>
        </w:rPr>
        <w:t>七、国有资产信息</w:t>
      </w:r>
    </w:p>
    <w:p>
      <w:pPr>
        <w:widowControl/>
        <w:spacing w:line="240" w:lineRule="auto"/>
        <w:ind w:firstLine="640" w:firstLineChars="200"/>
        <w:jc w:val="left"/>
        <w:rPr>
          <w:rFonts w:hint="eastAsia" w:ascii="仿宋" w:hAnsi="仿宋" w:eastAsia="仿宋" w:cs="仿宋"/>
          <w:b w:val="0"/>
          <w:bCs w:val="0"/>
          <w:spacing w:val="0"/>
          <w:kern w:val="2"/>
          <w:sz w:val="32"/>
          <w:szCs w:val="32"/>
          <w:lang w:val="en-US" w:eastAsia="zh-CN" w:bidi="ar-SA"/>
        </w:rPr>
      </w:pPr>
      <w:r>
        <w:rPr>
          <w:rFonts w:hint="eastAsia" w:ascii="仿宋" w:hAnsi="仿宋" w:eastAsia="仿宋" w:cs="仿宋"/>
          <w:b w:val="0"/>
          <w:bCs w:val="0"/>
          <w:spacing w:val="0"/>
          <w:kern w:val="2"/>
          <w:sz w:val="32"/>
          <w:szCs w:val="32"/>
          <w:lang w:val="en-US" w:eastAsia="zh-CN" w:bidi="ar-SA"/>
        </w:rPr>
        <w:t>我单位2022年无国有资产信息。</w:t>
      </w:r>
    </w:p>
    <w:p>
      <w:pPr>
        <w:numPr>
          <w:ilvl w:val="0"/>
          <w:numId w:val="0"/>
        </w:numPr>
        <w:spacing w:line="240" w:lineRule="auto"/>
        <w:ind w:firstLine="643" w:firstLineChars="200"/>
        <w:rPr>
          <w:rFonts w:hint="eastAsia" w:ascii="宋体" w:hAnsi="宋体" w:eastAsia="宋体" w:cs="FZFSK--GBK1-0"/>
          <w:b/>
          <w:kern w:val="0"/>
          <w:sz w:val="32"/>
          <w:szCs w:val="32"/>
        </w:rPr>
      </w:pPr>
      <w:r>
        <w:rPr>
          <w:rFonts w:hint="eastAsia" w:ascii="宋体" w:hAnsi="宋体" w:eastAsia="宋体" w:cs="FZFSK--GBK1-0"/>
          <w:b/>
          <w:kern w:val="0"/>
          <w:sz w:val="32"/>
          <w:szCs w:val="32"/>
          <w:lang w:eastAsia="zh-CN"/>
        </w:rPr>
        <w:t>八、</w:t>
      </w:r>
      <w:r>
        <w:rPr>
          <w:rFonts w:hint="eastAsia" w:ascii="宋体" w:hAnsi="宋体" w:eastAsia="宋体" w:cs="FZFSK--GBK1-0"/>
          <w:b/>
          <w:kern w:val="0"/>
          <w:sz w:val="32"/>
          <w:szCs w:val="32"/>
        </w:rPr>
        <w:t>名词解释</w:t>
      </w:r>
    </w:p>
    <w:p>
      <w:pPr>
        <w:spacing w:before="0" w:after="0" w:line="240" w:lineRule="auto"/>
        <w:ind w:firstLine="560"/>
        <w:jc w:val="left"/>
        <w:outlineLvl w:val="9"/>
        <w:rPr>
          <w:rFonts w:hint="eastAsia" w:ascii="宋体" w:hAnsi="宋体" w:eastAsia="宋体" w:cs="宋体"/>
          <w:sz w:val="32"/>
          <w:szCs w:val="32"/>
        </w:rPr>
      </w:pPr>
      <w:r>
        <w:rPr>
          <w:rFonts w:hint="eastAsia" w:ascii="宋体" w:hAnsi="宋体" w:eastAsia="宋体" w:cs="宋体"/>
          <w:b w:val="0"/>
          <w:color w:val="000000"/>
          <w:sz w:val="32"/>
          <w:szCs w:val="32"/>
        </w:rPr>
        <w:t>1、</w:t>
      </w:r>
      <w:r>
        <w:rPr>
          <w:rFonts w:hint="eastAsia" w:ascii="宋体" w:hAnsi="宋体" w:eastAsia="宋体" w:cs="宋体"/>
          <w:b/>
          <w:color w:val="000000"/>
          <w:sz w:val="32"/>
          <w:szCs w:val="32"/>
        </w:rPr>
        <w:t>一般公共预算拨款收入：</w:t>
      </w:r>
      <w:r>
        <w:rPr>
          <w:rFonts w:hint="eastAsia" w:ascii="宋体" w:hAnsi="宋体" w:eastAsia="宋体" w:cs="宋体"/>
          <w:b w:val="0"/>
          <w:color w:val="000000"/>
          <w:sz w:val="32"/>
          <w:szCs w:val="32"/>
        </w:rPr>
        <w:t>指省级财政当年拨付的资金。</w:t>
      </w:r>
    </w:p>
    <w:p>
      <w:pPr>
        <w:spacing w:before="0" w:after="0" w:line="240" w:lineRule="auto"/>
        <w:ind w:firstLine="560"/>
        <w:jc w:val="left"/>
        <w:outlineLvl w:val="9"/>
        <w:rPr>
          <w:rFonts w:hint="eastAsia" w:ascii="宋体" w:hAnsi="宋体" w:eastAsia="宋体" w:cs="宋体"/>
          <w:sz w:val="32"/>
          <w:szCs w:val="32"/>
        </w:rPr>
      </w:pPr>
      <w:r>
        <w:rPr>
          <w:rFonts w:hint="eastAsia" w:ascii="宋体" w:hAnsi="宋体" w:eastAsia="宋体" w:cs="宋体"/>
          <w:b w:val="0"/>
          <w:color w:val="000000"/>
          <w:sz w:val="32"/>
          <w:szCs w:val="32"/>
        </w:rPr>
        <w:t>2、</w:t>
      </w:r>
      <w:r>
        <w:rPr>
          <w:rFonts w:hint="eastAsia" w:ascii="宋体" w:hAnsi="宋体" w:eastAsia="宋体" w:cs="宋体"/>
          <w:b/>
          <w:color w:val="000000"/>
          <w:sz w:val="32"/>
          <w:szCs w:val="32"/>
        </w:rPr>
        <w:t>事业收入：</w:t>
      </w:r>
      <w:r>
        <w:rPr>
          <w:rFonts w:hint="eastAsia" w:ascii="宋体" w:hAnsi="宋体" w:eastAsia="宋体" w:cs="宋体"/>
          <w:b w:val="0"/>
          <w:color w:val="000000"/>
          <w:sz w:val="32"/>
          <w:szCs w:val="32"/>
        </w:rPr>
        <w:t>指事业单位开展专业业务活动及辅助活动所取得的收入。</w:t>
      </w:r>
    </w:p>
    <w:p>
      <w:pPr>
        <w:spacing w:before="0" w:after="0" w:line="240" w:lineRule="auto"/>
        <w:ind w:firstLine="560"/>
        <w:jc w:val="left"/>
        <w:outlineLvl w:val="9"/>
        <w:rPr>
          <w:rFonts w:hint="eastAsia" w:ascii="宋体" w:hAnsi="宋体" w:eastAsia="宋体" w:cs="宋体"/>
          <w:sz w:val="32"/>
          <w:szCs w:val="32"/>
        </w:rPr>
      </w:pPr>
      <w:r>
        <w:rPr>
          <w:rFonts w:hint="eastAsia" w:ascii="宋体" w:hAnsi="宋体" w:eastAsia="宋体" w:cs="宋体"/>
          <w:b w:val="0"/>
          <w:color w:val="000000"/>
          <w:sz w:val="32"/>
          <w:szCs w:val="32"/>
        </w:rPr>
        <w:t>3、</w:t>
      </w:r>
      <w:r>
        <w:rPr>
          <w:rFonts w:hint="eastAsia" w:ascii="宋体" w:hAnsi="宋体" w:eastAsia="宋体" w:cs="宋体"/>
          <w:b/>
          <w:color w:val="000000"/>
          <w:sz w:val="32"/>
          <w:szCs w:val="32"/>
        </w:rPr>
        <w:t>其他收入：</w:t>
      </w:r>
      <w:r>
        <w:rPr>
          <w:rFonts w:hint="eastAsia" w:ascii="宋体" w:hAnsi="宋体" w:eastAsia="宋体" w:cs="宋体"/>
          <w:b w:val="0"/>
          <w:color w:val="000000"/>
          <w:sz w:val="32"/>
          <w:szCs w:val="32"/>
        </w:rPr>
        <w:t>指除“一般公共预算拨款收入”、“事业收入”等以外的收入。主要是按规定动用的租房收入、存款利息收入等。</w:t>
      </w:r>
    </w:p>
    <w:p>
      <w:pPr>
        <w:spacing w:before="0" w:after="0" w:line="240" w:lineRule="auto"/>
        <w:ind w:firstLine="560"/>
        <w:jc w:val="left"/>
        <w:outlineLvl w:val="9"/>
        <w:rPr>
          <w:rFonts w:hint="eastAsia" w:ascii="宋体" w:hAnsi="宋体" w:eastAsia="宋体" w:cs="宋体"/>
          <w:sz w:val="32"/>
          <w:szCs w:val="32"/>
        </w:rPr>
      </w:pPr>
      <w:r>
        <w:rPr>
          <w:rFonts w:hint="eastAsia" w:ascii="宋体" w:hAnsi="宋体" w:eastAsia="宋体" w:cs="宋体"/>
          <w:b w:val="0"/>
          <w:color w:val="000000"/>
          <w:sz w:val="32"/>
          <w:szCs w:val="32"/>
        </w:rPr>
        <w:t>4、</w:t>
      </w:r>
      <w:r>
        <w:rPr>
          <w:rFonts w:hint="eastAsia" w:ascii="宋体" w:hAnsi="宋体" w:eastAsia="宋体" w:cs="宋体"/>
          <w:b/>
          <w:color w:val="000000"/>
          <w:sz w:val="32"/>
          <w:szCs w:val="32"/>
        </w:rPr>
        <w:t>基本支出：</w:t>
      </w:r>
      <w:r>
        <w:rPr>
          <w:rFonts w:hint="eastAsia" w:ascii="宋体" w:hAnsi="宋体" w:eastAsia="宋体" w:cs="宋体"/>
          <w:b w:val="0"/>
          <w:color w:val="000000"/>
          <w:sz w:val="32"/>
          <w:szCs w:val="32"/>
        </w:rPr>
        <w:t>指为保障机构正常运转、完成日常工作任务而发生的人员支出和公用支出。</w:t>
      </w:r>
    </w:p>
    <w:p>
      <w:pPr>
        <w:spacing w:before="0" w:after="0" w:line="240" w:lineRule="auto"/>
        <w:ind w:firstLine="560"/>
        <w:jc w:val="left"/>
        <w:outlineLvl w:val="9"/>
        <w:rPr>
          <w:rFonts w:hint="eastAsia" w:ascii="宋体" w:hAnsi="宋体" w:eastAsia="宋体" w:cs="宋体"/>
          <w:sz w:val="32"/>
          <w:szCs w:val="32"/>
        </w:rPr>
      </w:pPr>
      <w:r>
        <w:rPr>
          <w:rFonts w:hint="eastAsia" w:ascii="宋体" w:hAnsi="宋体" w:eastAsia="宋体" w:cs="宋体"/>
          <w:b w:val="0"/>
          <w:color w:val="000000"/>
          <w:sz w:val="32"/>
          <w:szCs w:val="32"/>
        </w:rPr>
        <w:t>5、</w:t>
      </w:r>
      <w:r>
        <w:rPr>
          <w:rFonts w:hint="eastAsia" w:ascii="宋体" w:hAnsi="宋体" w:eastAsia="宋体" w:cs="宋体"/>
          <w:b/>
          <w:color w:val="000000"/>
          <w:sz w:val="32"/>
          <w:szCs w:val="32"/>
        </w:rPr>
        <w:t>项目支出：</w:t>
      </w:r>
      <w:r>
        <w:rPr>
          <w:rFonts w:hint="eastAsia" w:ascii="宋体" w:hAnsi="宋体" w:eastAsia="宋体" w:cs="宋体"/>
          <w:b w:val="0"/>
          <w:color w:val="000000"/>
          <w:sz w:val="32"/>
          <w:szCs w:val="32"/>
        </w:rPr>
        <w:t>指在基本支出之外为完成特定行政任务和事业发展目标所发生的支出。</w:t>
      </w:r>
    </w:p>
    <w:p>
      <w:pPr>
        <w:spacing w:before="0" w:after="0" w:line="240" w:lineRule="auto"/>
        <w:ind w:firstLine="560"/>
        <w:jc w:val="left"/>
        <w:outlineLvl w:val="9"/>
        <w:rPr>
          <w:rFonts w:hint="eastAsia" w:ascii="宋体" w:hAnsi="宋体" w:eastAsia="宋体" w:cs="宋体"/>
          <w:sz w:val="32"/>
          <w:szCs w:val="32"/>
        </w:rPr>
      </w:pPr>
      <w:r>
        <w:rPr>
          <w:rFonts w:hint="eastAsia" w:ascii="宋体" w:hAnsi="宋体" w:eastAsia="宋体" w:cs="宋体"/>
          <w:b w:val="0"/>
          <w:color w:val="000000"/>
          <w:sz w:val="32"/>
          <w:szCs w:val="32"/>
        </w:rPr>
        <w:t>6、</w:t>
      </w:r>
      <w:r>
        <w:rPr>
          <w:rFonts w:hint="eastAsia" w:ascii="宋体" w:hAnsi="宋体" w:eastAsia="宋体" w:cs="宋体"/>
          <w:b/>
          <w:color w:val="000000"/>
          <w:sz w:val="32"/>
          <w:szCs w:val="32"/>
        </w:rPr>
        <w:t>上缴上级支出：</w:t>
      </w:r>
      <w:r>
        <w:rPr>
          <w:rFonts w:hint="eastAsia" w:ascii="宋体" w:hAnsi="宋体" w:eastAsia="宋体" w:cs="宋体"/>
          <w:b w:val="0"/>
          <w:color w:val="000000"/>
          <w:sz w:val="32"/>
          <w:szCs w:val="32"/>
        </w:rPr>
        <w:t>指下级单位上缴上级的支出。</w:t>
      </w:r>
    </w:p>
    <w:p>
      <w:pPr>
        <w:spacing w:before="0" w:after="0" w:line="240" w:lineRule="auto"/>
        <w:ind w:firstLine="560"/>
        <w:jc w:val="left"/>
        <w:outlineLvl w:val="9"/>
        <w:rPr>
          <w:rFonts w:hint="eastAsia" w:ascii="宋体" w:hAnsi="宋体" w:eastAsia="宋体" w:cs="宋体"/>
          <w:sz w:val="32"/>
          <w:szCs w:val="32"/>
        </w:rPr>
      </w:pPr>
      <w:r>
        <w:rPr>
          <w:rFonts w:hint="eastAsia" w:ascii="宋体" w:hAnsi="宋体" w:eastAsia="宋体" w:cs="宋体"/>
          <w:b w:val="0"/>
          <w:color w:val="000000"/>
          <w:sz w:val="32"/>
          <w:szCs w:val="32"/>
        </w:rPr>
        <w:t>7、</w:t>
      </w:r>
      <w:r>
        <w:rPr>
          <w:rFonts w:hint="eastAsia" w:ascii="宋体" w:hAnsi="宋体" w:eastAsia="宋体" w:cs="宋体"/>
          <w:b/>
          <w:color w:val="000000"/>
          <w:sz w:val="32"/>
          <w:szCs w:val="32"/>
        </w:rPr>
        <w:t>“三公”经费：</w:t>
      </w:r>
      <w:r>
        <w:rPr>
          <w:rFonts w:hint="eastAsia" w:ascii="宋体" w:hAnsi="宋体" w:eastAsia="宋体" w:cs="宋体"/>
          <w:b w:val="0"/>
          <w:color w:val="000000"/>
          <w:sz w:val="32"/>
          <w:szCs w:val="32"/>
        </w:rPr>
        <w:t>纳入省级财政预算管理的“三公”经费，是指省级</w:t>
      </w:r>
      <w:r>
        <w:rPr>
          <w:rFonts w:hint="eastAsia" w:ascii="宋体" w:hAnsi="宋体" w:cs="宋体"/>
          <w:b w:val="0"/>
          <w:color w:val="000000"/>
          <w:sz w:val="32"/>
          <w:szCs w:val="32"/>
          <w:lang w:eastAsia="zh-CN"/>
        </w:rPr>
        <w:t>单位</w:t>
      </w:r>
      <w:r>
        <w:rPr>
          <w:rFonts w:hint="eastAsia" w:ascii="宋体" w:hAnsi="宋体" w:eastAsia="宋体" w:cs="宋体"/>
          <w:b w:val="0"/>
          <w:color w:val="000000"/>
          <w:sz w:val="32"/>
          <w:szCs w:val="32"/>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240" w:lineRule="auto"/>
        <w:ind w:firstLine="560"/>
        <w:jc w:val="left"/>
        <w:outlineLvl w:val="9"/>
        <w:rPr>
          <w:rFonts w:hint="eastAsia" w:ascii="宋体" w:hAnsi="宋体" w:eastAsia="宋体" w:cs="宋体"/>
          <w:sz w:val="32"/>
          <w:szCs w:val="32"/>
        </w:rPr>
      </w:pPr>
      <w:r>
        <w:rPr>
          <w:rFonts w:hint="eastAsia" w:ascii="宋体" w:hAnsi="宋体" w:eastAsia="宋体" w:cs="宋体"/>
          <w:b w:val="0"/>
          <w:color w:val="000000"/>
          <w:sz w:val="32"/>
          <w:szCs w:val="32"/>
        </w:rPr>
        <w:t>8、</w:t>
      </w:r>
      <w:r>
        <w:rPr>
          <w:rFonts w:hint="eastAsia" w:ascii="宋体" w:hAnsi="宋体" w:eastAsia="宋体" w:cs="宋体"/>
          <w:b/>
          <w:color w:val="000000"/>
          <w:sz w:val="32"/>
          <w:szCs w:val="32"/>
        </w:rPr>
        <w:t>机关运行费：</w:t>
      </w:r>
      <w:r>
        <w:rPr>
          <w:rFonts w:hint="eastAsia" w:ascii="宋体" w:hAnsi="宋体" w:eastAsia="宋体" w:cs="宋体"/>
          <w:b w:val="0"/>
          <w:color w:val="000000"/>
          <w:sz w:val="32"/>
          <w:szCs w:val="32"/>
        </w:rPr>
        <w:t>是指各</w:t>
      </w:r>
      <w:r>
        <w:rPr>
          <w:rFonts w:hint="eastAsia" w:ascii="宋体" w:hAnsi="宋体" w:cs="宋体"/>
          <w:b w:val="0"/>
          <w:color w:val="000000"/>
          <w:sz w:val="32"/>
          <w:szCs w:val="32"/>
          <w:lang w:eastAsia="zh-CN"/>
        </w:rPr>
        <w:t>单位</w:t>
      </w:r>
      <w:r>
        <w:rPr>
          <w:rFonts w:hint="eastAsia" w:ascii="宋体" w:hAnsi="宋体" w:eastAsia="宋体" w:cs="宋体"/>
          <w:b w:val="0"/>
          <w:color w:val="000000"/>
          <w:sz w:val="32"/>
          <w:szCs w:val="32"/>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240" w:lineRule="auto"/>
        <w:ind w:firstLine="560"/>
        <w:jc w:val="left"/>
        <w:outlineLvl w:val="9"/>
        <w:rPr>
          <w:rFonts w:hint="eastAsia" w:ascii="宋体" w:hAnsi="宋体" w:eastAsia="宋体" w:cs="宋体"/>
          <w:sz w:val="32"/>
          <w:szCs w:val="32"/>
        </w:rPr>
      </w:pPr>
      <w:r>
        <w:rPr>
          <w:rFonts w:hint="eastAsia" w:ascii="宋体" w:hAnsi="宋体" w:eastAsia="宋体" w:cs="宋体"/>
          <w:b w:val="0"/>
          <w:color w:val="000000"/>
          <w:sz w:val="32"/>
          <w:szCs w:val="32"/>
        </w:rPr>
        <w:t>9、</w:t>
      </w:r>
      <w:r>
        <w:rPr>
          <w:rFonts w:hint="eastAsia" w:ascii="宋体" w:hAnsi="宋体" w:eastAsia="宋体" w:cs="宋体"/>
          <w:b/>
          <w:color w:val="000000"/>
          <w:sz w:val="32"/>
          <w:szCs w:val="32"/>
        </w:rPr>
        <w:t>上年结转：</w:t>
      </w:r>
      <w:r>
        <w:rPr>
          <w:rFonts w:hint="eastAsia" w:ascii="宋体" w:hAnsi="宋体" w:eastAsia="宋体" w:cs="宋体"/>
          <w:b w:val="0"/>
          <w:color w:val="000000"/>
          <w:sz w:val="32"/>
          <w:szCs w:val="32"/>
        </w:rPr>
        <w:t>指以前年度尚未完成、结转到本年仍按原规定用途继续使用的资金。</w:t>
      </w:r>
    </w:p>
    <w:p>
      <w:pPr>
        <w:spacing w:before="0" w:after="0" w:line="240" w:lineRule="auto"/>
        <w:ind w:firstLine="560"/>
        <w:jc w:val="left"/>
        <w:outlineLvl w:val="9"/>
        <w:rPr>
          <w:rFonts w:hint="eastAsia" w:ascii="宋体" w:hAnsi="宋体" w:eastAsia="宋体" w:cs="宋体"/>
          <w:color w:val="000000"/>
          <w:sz w:val="32"/>
          <w:szCs w:val="32"/>
        </w:rPr>
      </w:pPr>
      <w:r>
        <w:rPr>
          <w:rFonts w:hint="eastAsia" w:ascii="宋体" w:hAnsi="宋体" w:eastAsia="宋体" w:cs="宋体"/>
          <w:b w:val="0"/>
          <w:color w:val="000000"/>
          <w:sz w:val="32"/>
          <w:szCs w:val="32"/>
        </w:rPr>
        <w:t>10、</w:t>
      </w:r>
      <w:r>
        <w:rPr>
          <w:rFonts w:hint="eastAsia" w:ascii="宋体" w:hAnsi="宋体" w:eastAsia="宋体" w:cs="宋体"/>
          <w:b/>
          <w:color w:val="000000"/>
          <w:sz w:val="32"/>
          <w:szCs w:val="32"/>
        </w:rPr>
        <w:t>事业单位经营支出：</w:t>
      </w:r>
      <w:r>
        <w:rPr>
          <w:rFonts w:hint="eastAsia" w:ascii="宋体" w:hAnsi="宋体" w:eastAsia="宋体" w:cs="宋体"/>
          <w:b w:val="0"/>
          <w:color w:val="000000"/>
          <w:sz w:val="32"/>
          <w:szCs w:val="32"/>
        </w:rPr>
        <w:t>指事业单位在专业业务活动及其辅助活动之外开展非独立核算经营活动发生的支出。</w:t>
      </w:r>
      <w:bookmarkStart w:id="1" w:name="_Toc_3_3_0000000018"/>
    </w:p>
    <w:p>
      <w:pPr>
        <w:spacing w:before="10" w:after="10" w:line="240" w:lineRule="auto"/>
        <w:ind w:firstLine="640"/>
        <w:jc w:val="left"/>
        <w:outlineLvl w:val="2"/>
        <w:rPr>
          <w:rFonts w:hint="eastAsia" w:ascii="宋体" w:hAnsi="宋体" w:eastAsia="宋体" w:cs="宋体"/>
          <w:sz w:val="32"/>
          <w:szCs w:val="32"/>
        </w:rPr>
      </w:pPr>
      <w:r>
        <w:rPr>
          <w:rFonts w:hint="eastAsia" w:ascii="宋体" w:hAnsi="宋体" w:eastAsia="宋体" w:cs="宋体"/>
          <w:color w:val="000000"/>
          <w:sz w:val="32"/>
          <w:szCs w:val="32"/>
        </w:rPr>
        <w:t>九、其他需要说明的事项</w:t>
      </w:r>
      <w:bookmarkEnd w:id="1"/>
    </w:p>
    <w:p>
      <w:pPr>
        <w:spacing w:before="0" w:after="0" w:line="240" w:lineRule="auto"/>
        <w:ind w:firstLine="560"/>
        <w:jc w:val="left"/>
        <w:outlineLvl w:val="9"/>
      </w:pPr>
      <w:r>
        <w:rPr>
          <w:rFonts w:hint="eastAsia" w:ascii="宋体" w:hAnsi="宋体" w:eastAsia="宋体" w:cs="宋体"/>
          <w:b w:val="0"/>
          <w:color w:val="000000"/>
          <w:sz w:val="32"/>
          <w:szCs w:val="32"/>
        </w:rPr>
        <w:t>我</w:t>
      </w:r>
      <w:r>
        <w:rPr>
          <w:rFonts w:hint="eastAsia" w:ascii="宋体" w:hAnsi="宋体" w:cs="宋体"/>
          <w:b w:val="0"/>
          <w:color w:val="000000"/>
          <w:sz w:val="32"/>
          <w:szCs w:val="32"/>
          <w:lang w:eastAsia="zh-CN"/>
        </w:rPr>
        <w:t>单位</w:t>
      </w:r>
      <w:r>
        <w:rPr>
          <w:rFonts w:hint="eastAsia" w:ascii="宋体" w:hAnsi="宋体" w:eastAsia="宋体" w:cs="宋体"/>
          <w:b w:val="0"/>
          <w:color w:val="000000"/>
          <w:sz w:val="32"/>
          <w:szCs w:val="32"/>
        </w:rPr>
        <w:t>无其他需要说明的事项</w:t>
      </w:r>
      <w:r>
        <w:rPr>
          <w:rFonts w:hint="eastAsia" w:eastAsia="方正仿宋_GBK" w:cs="Times New Roman"/>
          <w:b w:val="0"/>
          <w:color w:val="000000"/>
          <w:sz w:val="28"/>
          <w:lang w:eastAsia="zh-CN"/>
        </w:rPr>
        <w:t>。</w:t>
      </w:r>
    </w:p>
    <w:p>
      <w:pPr>
        <w:pStyle w:val="2"/>
        <w:rPr>
          <w:rFonts w:hint="eastAsia"/>
        </w:rPr>
      </w:pPr>
    </w:p>
    <w:p>
      <w:pPr>
        <w:numPr>
          <w:ilvl w:val="0"/>
          <w:numId w:val="0"/>
        </w:numPr>
        <w:autoSpaceDE w:val="0"/>
        <w:autoSpaceDN w:val="0"/>
        <w:adjustRightInd w:val="0"/>
        <w:jc w:val="both"/>
        <w:rPr>
          <w:rFonts w:hint="eastAsia" w:ascii="黑体" w:hAnsi="黑体" w:eastAsia="黑体" w:cs="黑体"/>
          <w:sz w:val="32"/>
          <w:szCs w:val="32"/>
          <w:lang w:val="en-US" w:eastAsia="zh-CN"/>
        </w:rPr>
      </w:pPr>
    </w:p>
    <w:p>
      <w:pPr>
        <w:pStyle w:val="2"/>
        <w:rPr>
          <w:rFonts w:hint="eastAsia" w:ascii="黑体" w:hAnsi="黑体" w:eastAsia="黑体" w:cs="黑体"/>
          <w:sz w:val="32"/>
          <w:szCs w:val="32"/>
          <w:lang w:val="en-US" w:eastAsia="zh-CN"/>
        </w:rPr>
      </w:pPr>
    </w:p>
    <w:p>
      <w:pPr>
        <w:rPr>
          <w:rFonts w:hint="eastAsia" w:ascii="黑体" w:hAnsi="黑体" w:eastAsia="黑体" w:cs="黑体"/>
          <w:sz w:val="32"/>
          <w:szCs w:val="32"/>
          <w:lang w:val="en-US" w:eastAsia="zh-CN"/>
        </w:rPr>
      </w:pPr>
    </w:p>
    <w:p>
      <w:pPr>
        <w:pStyle w:val="2"/>
        <w:rPr>
          <w:rFonts w:hint="eastAsia" w:ascii="黑体" w:hAnsi="黑体" w:eastAsia="黑体" w:cs="黑体"/>
          <w:sz w:val="32"/>
          <w:szCs w:val="32"/>
          <w:lang w:val="en-US" w:eastAsia="zh-CN"/>
        </w:rPr>
      </w:pPr>
    </w:p>
    <w:p>
      <w:pPr>
        <w:rPr>
          <w:rFonts w:hint="eastAsia" w:ascii="黑体" w:hAnsi="黑体" w:eastAsia="黑体" w:cs="黑体"/>
          <w:sz w:val="32"/>
          <w:szCs w:val="32"/>
          <w:lang w:val="en-US" w:eastAsia="zh-CN"/>
        </w:rPr>
      </w:pPr>
    </w:p>
    <w:p>
      <w:pPr>
        <w:pStyle w:val="2"/>
        <w:rPr>
          <w:rFonts w:hint="eastAsia" w:ascii="黑体" w:hAnsi="黑体" w:eastAsia="黑体" w:cs="黑体"/>
          <w:sz w:val="32"/>
          <w:szCs w:val="32"/>
          <w:lang w:val="en-US" w:eastAsia="zh-CN"/>
        </w:rPr>
      </w:pPr>
    </w:p>
    <w:p>
      <w:pPr>
        <w:rPr>
          <w:rFonts w:hint="eastAsia"/>
          <w:lang w:val="en-US" w:eastAsia="zh-CN"/>
        </w:rPr>
      </w:pPr>
    </w:p>
    <w:sectPr>
      <w:pgSz w:w="16838" w:h="11906" w:orient="landscape"/>
      <w:pgMar w:top="1440" w:right="1080" w:bottom="1440" w:left="10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22A7CD0F-74B7-4C75-AA0C-156486CABDD9}"/>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embedRegular r:id="rId2" w:fontKey="{83E30E8C-B493-470A-8072-7E74332ACA3B}"/>
  </w:font>
  <w:font w:name="方正仿宋_GBK">
    <w:altName w:val="微软雅黑"/>
    <w:panose1 w:val="00000000000000000000"/>
    <w:charset w:val="00"/>
    <w:family w:val="auto"/>
    <w:pitch w:val="default"/>
    <w:sig w:usb0="00000000" w:usb1="00000000" w:usb2="00000000" w:usb3="00000000" w:csb0="00040001" w:csb1="00000000"/>
    <w:embedRegular r:id="rId3" w:fontKey="{492A6EB4-E7B9-4F4B-87D4-A369A791779E}"/>
  </w:font>
  <w:font w:name="方正小标宋简体">
    <w:panose1 w:val="03000509000000000000"/>
    <w:charset w:val="86"/>
    <w:family w:val="script"/>
    <w:pitch w:val="default"/>
    <w:sig w:usb0="00000001" w:usb1="080E0000" w:usb2="00000000" w:usb3="00000000" w:csb0="00040000" w:csb1="00000000"/>
  </w:font>
  <w:font w:name="宋体-方正超大字符集">
    <w:altName w:val="微软雅黑"/>
    <w:panose1 w:val="03000509000000000000"/>
    <w:charset w:val="86"/>
    <w:family w:val="script"/>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embedRegular r:id="rId4" w:fontKey="{9687A88C-CFEE-477E-9568-57859D9C2D80}"/>
  </w:font>
  <w:font w:name="方正小标宋_GBK">
    <w:panose1 w:val="02000000000000000000"/>
    <w:charset w:val="86"/>
    <w:family w:val="roman"/>
    <w:pitch w:val="default"/>
    <w:sig w:usb0="A00002BF" w:usb1="38CF7CFA" w:usb2="00082016" w:usb3="00000000" w:csb0="00040001" w:csb1="00000000"/>
    <w:embedRegular r:id="rId5" w:fontKey="{E6CC417D-D558-41BA-8357-C9C2BDBF9E9F}"/>
  </w:font>
  <w:font w:name="方正书宋_GBK">
    <w:altName w:val="宋体"/>
    <w:panose1 w:val="00000000000000000000"/>
    <w:charset w:val="86"/>
    <w:family w:val="roman"/>
    <w:pitch w:val="default"/>
    <w:sig w:usb0="00000000" w:usb1="00000000" w:usb2="00000000" w:usb3="00000000" w:csb0="00040001" w:csb1="00000000"/>
    <w:embedRegular r:id="rId6" w:fontKey="{0E6D8005-704D-4CB6-8F31-C3C51F0599DB}"/>
  </w:font>
  <w:font w:name="FZFSK--GBK1-0">
    <w:altName w:val="黑体"/>
    <w:panose1 w:val="00000000000000000000"/>
    <w:charset w:val="86"/>
    <w:family w:val="auto"/>
    <w:pitch w:val="default"/>
    <w:sig w:usb0="00000000" w:usb1="00000000" w:usb2="00000010" w:usb3="00000000" w:csb0="00040000" w:csb1="00000000"/>
    <w:embedRegular r:id="rId7" w:fontKey="{ECB4DFDB-A5EA-417D-A562-D2EFF58D3E1B}"/>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5282C6B"/>
    <w:multiLevelType w:val="singleLevel"/>
    <w:tmpl w:val="25282C6B"/>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lkNTZjZGNiOTBiMzA4YjY4ZGNjMzMwZGFhYWVlZmYifQ=="/>
  </w:docVars>
  <w:rsids>
    <w:rsidRoot w:val="006C532B"/>
    <w:rsid w:val="00217EB6"/>
    <w:rsid w:val="003340A8"/>
    <w:rsid w:val="0035490B"/>
    <w:rsid w:val="006C532B"/>
    <w:rsid w:val="00AC4EED"/>
    <w:rsid w:val="00EE4836"/>
    <w:rsid w:val="1788553F"/>
    <w:rsid w:val="23852665"/>
    <w:rsid w:val="2BAA5E43"/>
    <w:rsid w:val="4D1B2DE3"/>
    <w:rsid w:val="565F1645"/>
    <w:rsid w:val="57460AC2"/>
    <w:rsid w:val="5C065541"/>
    <w:rsid w:val="5FA66A44"/>
    <w:rsid w:val="6B2077A4"/>
    <w:rsid w:val="740C28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Calibri"/>
      <w:kern w:val="2"/>
      <w:sz w:val="21"/>
      <w:szCs w:val="21"/>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1"/>
    <w:qFormat/>
    <w:uiPriority w:val="0"/>
    <w:pPr>
      <w:snapToGrid/>
      <w:spacing w:line="240" w:lineRule="auto"/>
      <w:ind w:left="420" w:leftChars="200" w:right="0" w:firstLine="420" w:firstLineChars="200"/>
    </w:pPr>
    <w:rPr>
      <w:rFonts w:ascii="Times New Roman" w:eastAsia="宋体"/>
      <w:spacing w:val="0"/>
      <w:sz w:val="21"/>
    </w:rPr>
  </w:style>
  <w:style w:type="paragraph" w:styleId="3">
    <w:name w:val="Body Text Indent"/>
    <w:basedOn w:val="1"/>
    <w:next w:val="1"/>
    <w:unhideWhenUsed/>
    <w:qFormat/>
    <w:uiPriority w:val="99"/>
    <w:pPr>
      <w:spacing w:after="120"/>
      <w:ind w:left="420" w:leftChars="200"/>
    </w:pPr>
  </w:style>
  <w:style w:type="paragraph" w:styleId="4">
    <w:name w:val="Plain Text"/>
    <w:basedOn w:val="1"/>
    <w:qFormat/>
    <w:uiPriority w:val="0"/>
    <w:rPr>
      <w:rFonts w:ascii="宋体" w:hAnsi="Courier New" w:cs="Courier New"/>
      <w:szCs w:val="21"/>
    </w:rPr>
  </w:style>
  <w:style w:type="paragraph" w:customStyle="1" w:styleId="7">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_rels/fontTable.xml.rels><?xml version="1.0" encoding="UTF-8" standalone="no"?><Relationships xmlns="http://schemas.openxmlformats.org/package/2006/relationships"><Relationship Id="rId1" Target="fonts/font1.odttf" Type="http://schemas.openxmlformats.org/officeDocument/2006/relationships/font"/><Relationship Id="rId2" Target="fonts/font2.odttf" Type="http://schemas.openxmlformats.org/officeDocument/2006/relationships/font"/><Relationship Id="rId3" Target="fonts/font3.odttf" Type="http://schemas.openxmlformats.org/officeDocument/2006/relationships/font"/><Relationship Id="rId4" Target="fonts/font4.odttf" Type="http://schemas.openxmlformats.org/officeDocument/2006/relationships/font"/><Relationship Id="rId5" Target="fonts/font5.odttf" Type="http://schemas.openxmlformats.org/officeDocument/2006/relationships/font"/><Relationship Id="rId6" Target="fonts/font6.odttf" Type="http://schemas.openxmlformats.org/officeDocument/2006/relationships/font"/><Relationship Id="rId7" Target="fonts/font7.odttf" Type="http://schemas.openxmlformats.org/officeDocument/2006/relationships/font"/></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25</Pages>
  <Words>7014</Words>
  <Characters>8587</Characters>
  <Lines>1</Lines>
  <Paragraphs>1</Paragraphs>
  <TotalTime>1</TotalTime>
  <ScaleCrop>false</ScaleCrop>
  <LinksUpToDate>false</LinksUpToDate>
  <CharactersWithSpaces>8613</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2021-05-20T00:52:00Z</dcterms:created>
  <dc:creator>user</dc:creator>
  <cp:lastModifiedBy>Hopefully</cp:lastModifiedBy>
  <dcterms:modified xsi:type="dcterms:W3CDTF">2023-04-14T06:29:16Z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36D82D0ABAB942CAA2024BE3C90D277D_12</vt:lpwstr>
  </property>
</Properties>
</file>