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textAlignment w:val="bottom"/>
        <w:rPr>
          <w:rFonts w:ascii="仿宋" w:hAnsi="仿宋" w:eastAsia="仿宋" w:cs="仿宋_GB2312"/>
          <w:color w:val="000000"/>
          <w:sz w:val="32"/>
          <w:szCs w:val="32"/>
        </w:rPr>
      </w:pPr>
      <w:r>
        <w:rPr>
          <w:rFonts w:hint="eastAsia" w:ascii="仿宋" w:hAnsi="仿宋" w:eastAsia="仿宋" w:cs="仿宋_GB2312"/>
          <w:color w:val="000000"/>
          <w:sz w:val="32"/>
          <w:szCs w:val="32"/>
        </w:rPr>
        <w:t>附件5：</w:t>
      </w:r>
    </w:p>
    <w:p>
      <w:pPr>
        <w:pStyle w:val="2"/>
        <w:ind w:firstLine="560"/>
      </w:pPr>
    </w:p>
    <w:p>
      <w:pPr>
        <w:spacing w:line="580" w:lineRule="exact"/>
        <w:jc w:val="center"/>
        <w:rPr>
          <w:rFonts w:hint="eastAsia" w:cs="仿宋_GB2312" w:asciiTheme="majorEastAsia" w:hAnsiTheme="majorEastAsia" w:eastAsiaTheme="majorEastAsia"/>
          <w:b/>
          <w:kern w:val="0"/>
          <w:sz w:val="44"/>
          <w:szCs w:val="44"/>
          <w:lang w:eastAsia="zh-CN"/>
        </w:rPr>
      </w:pPr>
      <w:r>
        <w:rPr>
          <w:rFonts w:hint="eastAsia" w:cs="仿宋_GB2312" w:asciiTheme="majorEastAsia" w:hAnsiTheme="majorEastAsia" w:eastAsiaTheme="majorEastAsia"/>
          <w:b/>
          <w:bCs/>
          <w:spacing w:val="-20"/>
          <w:sz w:val="44"/>
          <w:szCs w:val="44"/>
        </w:rPr>
        <w:t>宁晋县</w:t>
      </w:r>
      <w:r>
        <w:rPr>
          <w:rFonts w:hint="eastAsia" w:cs="仿宋_GB2312" w:asciiTheme="majorEastAsia" w:hAnsiTheme="majorEastAsia" w:eastAsiaTheme="majorEastAsia"/>
          <w:b/>
          <w:kern w:val="0"/>
          <w:sz w:val="44"/>
          <w:szCs w:val="44"/>
          <w:lang w:eastAsia="zh-CN"/>
        </w:rPr>
        <w:t>水利技术发展服务中心</w:t>
      </w:r>
    </w:p>
    <w:p>
      <w:pPr>
        <w:spacing w:line="580" w:lineRule="exact"/>
        <w:jc w:val="center"/>
        <w:rPr>
          <w:rFonts w:cs="仿宋_GB2312" w:asciiTheme="majorEastAsia" w:hAnsiTheme="majorEastAsia" w:eastAsiaTheme="majorEastAsia"/>
          <w:b/>
          <w:bCs/>
          <w:sz w:val="44"/>
          <w:szCs w:val="44"/>
        </w:rPr>
      </w:pPr>
      <w:r>
        <w:rPr>
          <w:rFonts w:hint="eastAsia" w:cs="仿宋_GB2312" w:asciiTheme="majorEastAsia" w:hAnsiTheme="majorEastAsia" w:eastAsiaTheme="majorEastAsia"/>
          <w:b/>
          <w:kern w:val="0"/>
          <w:sz w:val="44"/>
          <w:szCs w:val="44"/>
        </w:rPr>
        <w:t>2022年南水北调地表水厂水处理费及管道维护费</w:t>
      </w:r>
      <w:r>
        <w:rPr>
          <w:rFonts w:hint="eastAsia" w:cs="仿宋_GB2312" w:asciiTheme="majorEastAsia" w:hAnsiTheme="majorEastAsia" w:eastAsiaTheme="majorEastAsia"/>
          <w:b/>
          <w:bCs/>
          <w:sz w:val="44"/>
          <w:szCs w:val="44"/>
        </w:rPr>
        <w:t>项目重点自评绩效报告</w:t>
      </w:r>
    </w:p>
    <w:p>
      <w:pPr>
        <w:pStyle w:val="2"/>
        <w:ind w:firstLine="560"/>
      </w:pPr>
    </w:p>
    <w:p/>
    <w:p>
      <w:pPr>
        <w:pStyle w:val="2"/>
        <w:ind w:firstLine="560"/>
      </w:pPr>
    </w:p>
    <w:p/>
    <w:p>
      <w:pPr>
        <w:pStyle w:val="2"/>
        <w:ind w:firstLine="560"/>
      </w:pPr>
    </w:p>
    <w:p/>
    <w:p>
      <w:pPr>
        <w:pStyle w:val="2"/>
        <w:ind w:firstLine="560"/>
      </w:pPr>
    </w:p>
    <w:p/>
    <w:p/>
    <w:p>
      <w:pPr>
        <w:spacing w:line="760" w:lineRule="exact"/>
        <w:rPr>
          <w:rFonts w:ascii="仿宋" w:hAnsi="仿宋" w:eastAsia="仿宋" w:cs="仿宋_GB2312"/>
          <w:spacing w:val="-20"/>
          <w:sz w:val="32"/>
          <w:szCs w:val="32"/>
          <w:u w:val="single"/>
        </w:rPr>
      </w:pPr>
      <w:r>
        <w:rPr>
          <w:rFonts w:hint="eastAsia" w:ascii="仿宋" w:hAnsi="仿宋" w:eastAsia="仿宋" w:cs="仿宋_GB2312"/>
          <w:spacing w:val="11"/>
          <w:sz w:val="32"/>
          <w:szCs w:val="32"/>
        </w:rPr>
        <w:t>项 目 名 称：</w:t>
      </w:r>
      <w:r>
        <w:rPr>
          <w:rFonts w:hint="eastAsia" w:ascii="仿宋" w:hAnsi="仿宋" w:eastAsia="仿宋" w:cs="仿宋_GB2312"/>
          <w:kern w:val="0"/>
          <w:sz w:val="28"/>
          <w:szCs w:val="28"/>
          <w:u w:val="single"/>
        </w:rPr>
        <w:t>2022年南水北调地表水厂水处理费及管道维护费</w:t>
      </w:r>
      <w:r>
        <w:rPr>
          <w:rFonts w:hint="eastAsia" w:ascii="仿宋" w:hAnsi="仿宋" w:eastAsia="仿宋" w:cs="仿宋_GB2312"/>
          <w:bCs/>
          <w:sz w:val="32"/>
          <w:szCs w:val="32"/>
          <w:u w:val="single"/>
        </w:rPr>
        <w:t xml:space="preserve">项目          </w:t>
      </w:r>
      <w:r>
        <w:rPr>
          <w:rFonts w:hint="eastAsia" w:ascii="仿宋" w:hAnsi="仿宋" w:eastAsia="仿宋" w:cs="仿宋_GB2312"/>
          <w:b/>
          <w:bCs/>
          <w:sz w:val="32"/>
          <w:szCs w:val="32"/>
        </w:rPr>
        <w:t xml:space="preserve">  </w:t>
      </w:r>
    </w:p>
    <w:p>
      <w:pPr>
        <w:spacing w:line="760" w:lineRule="exact"/>
        <w:rPr>
          <w:rFonts w:ascii="仿宋" w:hAnsi="仿宋" w:eastAsia="仿宋" w:cs="仿宋_GB2312"/>
          <w:sz w:val="32"/>
          <w:szCs w:val="32"/>
          <w:u w:val="single"/>
        </w:rPr>
      </w:pPr>
      <w:r>
        <w:rPr>
          <w:rFonts w:hint="eastAsia" w:ascii="仿宋" w:hAnsi="仿宋" w:eastAsia="仿宋" w:cs="仿宋_GB2312"/>
          <w:sz w:val="32"/>
          <w:szCs w:val="32"/>
        </w:rPr>
        <w:t>项目实施单位：</w:t>
      </w:r>
      <w:r>
        <w:rPr>
          <w:rFonts w:hint="eastAsia" w:ascii="仿宋" w:hAnsi="仿宋" w:eastAsia="仿宋" w:cs="仿宋_GB2312"/>
          <w:kern w:val="0"/>
          <w:sz w:val="32"/>
          <w:szCs w:val="32"/>
          <w:u w:val="single"/>
          <w:lang w:eastAsia="zh-CN"/>
        </w:rPr>
        <w:t>宁晋县水利技术发展服务中心</w:t>
      </w:r>
      <w:r>
        <w:rPr>
          <w:rFonts w:hint="eastAsia" w:ascii="仿宋" w:hAnsi="仿宋" w:eastAsia="仿宋" w:cs="仿宋_GB2312"/>
          <w:kern w:val="0"/>
          <w:sz w:val="32"/>
          <w:szCs w:val="32"/>
          <w:u w:val="single"/>
        </w:rPr>
        <w:t xml:space="preserve">（盖章）       </w:t>
      </w:r>
    </w:p>
    <w:p>
      <w:pPr>
        <w:spacing w:line="760" w:lineRule="exact"/>
        <w:rPr>
          <w:rFonts w:ascii="仿宋" w:hAnsi="仿宋" w:eastAsia="仿宋" w:cs="仿宋_GB2312"/>
          <w:sz w:val="32"/>
          <w:szCs w:val="32"/>
          <w:u w:val="single"/>
        </w:rPr>
      </w:pPr>
      <w:r>
        <w:rPr>
          <w:rFonts w:hint="eastAsia" w:ascii="仿宋" w:hAnsi="仿宋" w:eastAsia="仿宋" w:cs="仿宋_GB2312"/>
          <w:spacing w:val="28"/>
          <w:sz w:val="32"/>
          <w:szCs w:val="32"/>
        </w:rPr>
        <w:t>项目总金额：</w:t>
      </w:r>
      <w:r>
        <w:rPr>
          <w:rFonts w:hint="eastAsia" w:ascii="仿宋" w:hAnsi="仿宋" w:eastAsia="仿宋" w:cs="仿宋_GB2312"/>
          <w:kern w:val="0"/>
          <w:sz w:val="32"/>
          <w:szCs w:val="32"/>
          <w:u w:val="single"/>
          <w:lang w:val="en-US" w:eastAsia="zh-CN"/>
        </w:rPr>
        <w:t>1800</w:t>
      </w:r>
      <w:r>
        <w:rPr>
          <w:rFonts w:hint="eastAsia" w:ascii="仿宋" w:hAnsi="仿宋" w:eastAsia="仿宋" w:cs="仿宋_GB2312"/>
          <w:sz w:val="32"/>
          <w:szCs w:val="32"/>
          <w:u w:val="single"/>
        </w:rPr>
        <w:t xml:space="preserve">万元 </w:t>
      </w:r>
      <w:r>
        <w:rPr>
          <w:rFonts w:hint="eastAsia" w:ascii="仿宋" w:hAnsi="仿宋" w:eastAsia="仿宋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_GB2312"/>
          <w:sz w:val="32"/>
          <w:szCs w:val="32"/>
          <w:u w:val="single"/>
        </w:rPr>
        <w:t xml:space="preserve">  </w:t>
      </w:r>
    </w:p>
    <w:p>
      <w:pPr>
        <w:spacing w:line="760" w:lineRule="exact"/>
        <w:rPr>
          <w:rFonts w:ascii="仿宋" w:hAnsi="仿宋" w:eastAsia="仿宋" w:cs="仿宋_GB2312"/>
          <w:sz w:val="32"/>
          <w:szCs w:val="32"/>
          <w:u w:val="single"/>
        </w:rPr>
      </w:pPr>
      <w:r>
        <w:rPr>
          <w:rFonts w:hint="eastAsia" w:ascii="仿宋" w:hAnsi="仿宋" w:eastAsia="仿宋" w:cs="仿宋_GB2312"/>
          <w:spacing w:val="11"/>
          <w:sz w:val="32"/>
          <w:szCs w:val="32"/>
        </w:rPr>
        <w:t>评 价 年 度：</w:t>
      </w:r>
      <w:r>
        <w:rPr>
          <w:rFonts w:hint="eastAsia" w:ascii="仿宋" w:hAnsi="仿宋" w:eastAsia="仿宋" w:cs="仿宋_GB2312"/>
          <w:sz w:val="32"/>
          <w:szCs w:val="32"/>
          <w:u w:val="single"/>
        </w:rPr>
        <w:t xml:space="preserve">2022年度     </w:t>
      </w:r>
    </w:p>
    <w:p>
      <w:pPr>
        <w:spacing w:line="760" w:lineRule="exact"/>
        <w:rPr>
          <w:rFonts w:ascii="仿宋" w:hAnsi="仿宋" w:eastAsia="仿宋" w:cs="仿宋_GB2312"/>
          <w:sz w:val="32"/>
          <w:szCs w:val="32"/>
          <w:u w:val="single"/>
        </w:rPr>
      </w:pPr>
      <w:r>
        <w:rPr>
          <w:rFonts w:hint="eastAsia" w:ascii="仿宋" w:hAnsi="仿宋" w:eastAsia="仿宋" w:cs="仿宋_GB2312"/>
          <w:spacing w:val="28"/>
          <w:sz w:val="32"/>
          <w:szCs w:val="32"/>
        </w:rPr>
        <w:t>评价组组长：</w:t>
      </w:r>
      <w:r>
        <w:rPr>
          <w:rFonts w:hint="eastAsia" w:ascii="仿宋" w:hAnsi="仿宋" w:eastAsia="仿宋" w:cs="仿宋_GB2312"/>
          <w:spacing w:val="28"/>
          <w:sz w:val="32"/>
          <w:szCs w:val="32"/>
          <w:u w:val="single"/>
        </w:rPr>
        <w:t xml:space="preserve"> </w:t>
      </w:r>
      <w:r>
        <w:rPr>
          <w:rFonts w:hint="eastAsia" w:ascii="仿宋" w:hAnsi="仿宋" w:eastAsia="仿宋" w:cs="仿宋_GB2312"/>
          <w:spacing w:val="28"/>
          <w:sz w:val="32"/>
          <w:szCs w:val="32"/>
          <w:u w:val="single"/>
          <w:lang w:eastAsia="zh-CN"/>
        </w:rPr>
        <w:t>陈瑞生</w:t>
      </w:r>
      <w:r>
        <w:rPr>
          <w:rFonts w:hint="eastAsia" w:ascii="仿宋" w:hAnsi="仿宋" w:eastAsia="仿宋" w:cs="仿宋_GB2312"/>
          <w:spacing w:val="28"/>
          <w:sz w:val="32"/>
          <w:szCs w:val="32"/>
          <w:u w:val="single"/>
        </w:rPr>
        <w:t xml:space="preserve">    </w:t>
      </w:r>
    </w:p>
    <w:p>
      <w:pPr>
        <w:spacing w:line="760" w:lineRule="exact"/>
        <w:rPr>
          <w:rFonts w:ascii="仿宋" w:hAnsi="仿宋" w:eastAsia="仿宋" w:cs="仿宋_GB2312"/>
          <w:sz w:val="32"/>
          <w:szCs w:val="32"/>
          <w:u w:val="single"/>
        </w:rPr>
      </w:pPr>
      <w:r>
        <w:rPr>
          <w:rFonts w:hint="eastAsia" w:ascii="仿宋" w:hAnsi="仿宋" w:eastAsia="仿宋" w:cs="仿宋_GB2312"/>
          <w:spacing w:val="28"/>
          <w:sz w:val="32"/>
          <w:szCs w:val="32"/>
        </w:rPr>
        <w:t>评价组成员：</w:t>
      </w:r>
      <w:r>
        <w:rPr>
          <w:rFonts w:hint="eastAsia" w:ascii="仿宋" w:hAnsi="仿宋" w:eastAsia="仿宋" w:cs="仿宋_GB2312"/>
          <w:spacing w:val="28"/>
          <w:sz w:val="32"/>
          <w:szCs w:val="32"/>
          <w:u w:val="single"/>
        </w:rPr>
        <w:t xml:space="preserve"> </w:t>
      </w:r>
      <w:r>
        <w:rPr>
          <w:rFonts w:hint="eastAsia" w:ascii="仿宋" w:hAnsi="仿宋" w:eastAsia="仿宋" w:cs="仿宋_GB2312"/>
          <w:spacing w:val="28"/>
          <w:sz w:val="32"/>
          <w:szCs w:val="32"/>
          <w:u w:val="single"/>
          <w:lang w:eastAsia="zh-CN"/>
        </w:rPr>
        <w:t>王保忠、</w:t>
      </w:r>
      <w:r>
        <w:rPr>
          <w:rFonts w:hint="eastAsia" w:ascii="仿宋" w:hAnsi="仿宋" w:eastAsia="仿宋" w:cs="仿宋_GB2312"/>
          <w:spacing w:val="28"/>
          <w:sz w:val="32"/>
          <w:szCs w:val="32"/>
          <w:u w:val="single"/>
        </w:rPr>
        <w:t xml:space="preserve"> </w:t>
      </w:r>
      <w:r>
        <w:rPr>
          <w:rFonts w:hint="eastAsia" w:ascii="仿宋" w:hAnsi="仿宋" w:eastAsia="仿宋" w:cs="仿宋_GB2312"/>
          <w:spacing w:val="28"/>
          <w:sz w:val="32"/>
          <w:szCs w:val="32"/>
          <w:u w:val="single"/>
          <w:lang w:eastAsia="zh-CN"/>
        </w:rPr>
        <w:t>郭朝亮</w:t>
      </w:r>
      <w:r>
        <w:rPr>
          <w:rFonts w:hint="eastAsia" w:ascii="仿宋" w:hAnsi="仿宋" w:eastAsia="仿宋" w:cs="仿宋_GB2312"/>
          <w:spacing w:val="28"/>
          <w:sz w:val="32"/>
          <w:szCs w:val="32"/>
          <w:u w:val="single"/>
        </w:rPr>
        <w:t xml:space="preserve"> </w:t>
      </w:r>
    </w:p>
    <w:p/>
    <w:p>
      <w:pPr>
        <w:pStyle w:val="2"/>
        <w:ind w:firstLine="560"/>
      </w:pPr>
    </w:p>
    <w:p>
      <w:pPr>
        <w:pStyle w:val="2"/>
        <w:spacing w:line="560" w:lineRule="exact"/>
        <w:ind w:left="420" w:leftChars="200" w:firstLine="320" w:firstLineChars="100"/>
        <w:outlineLvl w:val="0"/>
        <w:rPr>
          <w:rFonts w:ascii="仿宋" w:hAnsi="仿宋" w:eastAsia="仿宋" w:cs="仿宋_GB2312"/>
          <w:color w:val="000000"/>
          <w:sz w:val="32"/>
          <w:szCs w:val="32"/>
        </w:rPr>
      </w:pPr>
      <w:bookmarkStart w:id="0" w:name="_Toc2634_WPSOffice_Level1"/>
    </w:p>
    <w:p>
      <w:pPr>
        <w:autoSpaceDE w:val="0"/>
        <w:spacing w:line="580" w:lineRule="exact"/>
        <w:ind w:firstLine="640" w:firstLineChars="200"/>
        <w:outlineLvl w:val="0"/>
        <w:rPr>
          <w:rFonts w:ascii="黑体" w:hAnsi="黑体" w:eastAsia="黑体"/>
          <w:bCs/>
          <w:sz w:val="32"/>
          <w:szCs w:val="32"/>
        </w:rPr>
      </w:pPr>
    </w:p>
    <w:p>
      <w:pPr>
        <w:autoSpaceDE w:val="0"/>
        <w:spacing w:line="580" w:lineRule="exact"/>
        <w:ind w:firstLine="640" w:firstLineChars="200"/>
        <w:outlineLvl w:val="0"/>
        <w:rPr>
          <w:rFonts w:ascii="黑体" w:hAnsi="黑体" w:eastAsia="黑体"/>
          <w:bCs/>
          <w:sz w:val="32"/>
          <w:szCs w:val="32"/>
        </w:rPr>
      </w:pPr>
    </w:p>
    <w:p>
      <w:pPr>
        <w:autoSpaceDE w:val="0"/>
        <w:spacing w:line="580" w:lineRule="exact"/>
        <w:ind w:firstLine="640" w:firstLineChars="200"/>
        <w:outlineLvl w:val="0"/>
        <w:rPr>
          <w:rFonts w:ascii="黑体" w:hAnsi="黑体" w:eastAsia="黑体"/>
          <w:bCs/>
          <w:sz w:val="32"/>
          <w:szCs w:val="32"/>
        </w:rPr>
      </w:pPr>
    </w:p>
    <w:p>
      <w:pPr>
        <w:autoSpaceDE w:val="0"/>
        <w:spacing w:line="580" w:lineRule="exact"/>
        <w:ind w:firstLine="640" w:firstLineChars="200"/>
        <w:outlineLvl w:val="0"/>
        <w:rPr>
          <w:rFonts w:ascii="黑体" w:hAnsi="黑体" w:eastAsia="黑体"/>
          <w:bCs/>
          <w:sz w:val="32"/>
          <w:szCs w:val="32"/>
        </w:rPr>
      </w:pPr>
      <w:r>
        <w:rPr>
          <w:rFonts w:hint="eastAsia" w:ascii="黑体" w:hAnsi="黑体" w:eastAsia="黑体"/>
          <w:bCs/>
          <w:sz w:val="32"/>
          <w:szCs w:val="32"/>
        </w:rPr>
        <w:t>一、项目概况</w:t>
      </w:r>
    </w:p>
    <w:p>
      <w:pPr>
        <w:ind w:firstLine="640" w:firstLineChars="200"/>
        <w:rPr>
          <w:rFonts w:hint="eastAsia" w:ascii="仿宋" w:hAnsi="仿宋" w:eastAsia="仿宋"/>
          <w:color w:val="000000" w:themeColor="text1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2022年南水北调地表水厂水处理费及管道维护费项目是</w:t>
      </w:r>
      <w:r>
        <w:rPr>
          <w:rFonts w:hint="eastAsia" w:ascii="仿宋" w:hAnsi="仿宋" w:eastAsia="仿宋"/>
          <w:color w:val="000000" w:themeColor="text1"/>
          <w:sz w:val="32"/>
          <w:szCs w:val="32"/>
        </w:rPr>
        <w:t>根据《关于宁晋县南水北调水厂及以下配套工程项目特许经营全同》及《宁晋县人民政府关于建立调整水价补偿机制的实施意见》（宁政字[2017]28号）文件，县政府与河北建设集团签订的特许经营合同规定，自2018年起至合同期满，日保底水量为每日3万立方米，不足3万立方米的按3万立方米计算，宁晋水处理费单价为1.75元，大曹庄日保底水量为5000立方米，单价为1.8</w:t>
      </w: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color w:val="000000" w:themeColor="text1"/>
          <w:sz w:val="32"/>
          <w:szCs w:val="32"/>
        </w:rPr>
        <w:t>元，合计2252.05万元。202</w:t>
      </w: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年财政安排预算资金1800万元支付水处理服务费，截止2022年底支付1200万元。</w:t>
      </w:r>
    </w:p>
    <w:p>
      <w:pPr>
        <w:autoSpaceDE w:val="0"/>
        <w:spacing w:line="580" w:lineRule="exact"/>
        <w:ind w:firstLine="640" w:firstLineChars="200"/>
        <w:outlineLvl w:val="0"/>
        <w:rPr>
          <w:rFonts w:ascii="黑体" w:hAnsi="黑体" w:eastAsia="黑体"/>
          <w:bCs/>
          <w:sz w:val="32"/>
          <w:szCs w:val="32"/>
        </w:rPr>
      </w:pPr>
      <w:r>
        <w:rPr>
          <w:rFonts w:hint="eastAsia" w:ascii="黑体" w:hAnsi="黑体" w:eastAsia="黑体"/>
          <w:bCs/>
          <w:sz w:val="32"/>
          <w:szCs w:val="32"/>
        </w:rPr>
        <w:t>二、绩效评价工作情况</w:t>
      </w:r>
    </w:p>
    <w:p>
      <w:pPr>
        <w:ind w:firstLine="640" w:firstLineChars="200"/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（一）评价目的</w:t>
      </w:r>
      <w:r>
        <w:rPr>
          <w:rFonts w:hint="eastAsia" w:ascii="仿宋" w:hAnsi="仿宋" w:eastAsia="仿宋"/>
          <w:sz w:val="32"/>
          <w:szCs w:val="32"/>
          <w:lang w:eastAsia="zh-CN"/>
        </w:rPr>
        <w:t>：</w:t>
      </w:r>
      <w:r>
        <w:rPr>
          <w:rFonts w:hint="eastAsia" w:ascii="仿宋" w:hAnsi="仿宋" w:eastAsia="仿宋"/>
          <w:color w:val="000000" w:themeColor="text1"/>
          <w:sz w:val="32"/>
          <w:szCs w:val="32"/>
        </w:rPr>
        <w:t>充分发挥南水北调工程效益，促进城市化进程，改善饮水质量</w:t>
      </w:r>
      <w:r>
        <w:rPr>
          <w:rFonts w:hint="eastAsia" w:ascii="仿宋" w:hAnsi="仿宋" w:eastAsia="仿宋"/>
          <w:color w:val="000000" w:themeColor="text1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color w:val="000000" w:themeColor="text1"/>
          <w:sz w:val="32"/>
          <w:szCs w:val="32"/>
        </w:rPr>
        <w:t>保护水资源</w:t>
      </w:r>
      <w:r>
        <w:rPr>
          <w:rFonts w:hint="eastAsia" w:ascii="仿宋" w:hAnsi="仿宋" w:eastAsia="仿宋"/>
          <w:color w:val="000000" w:themeColor="text1"/>
          <w:sz w:val="32"/>
          <w:szCs w:val="32"/>
          <w:lang w:eastAsia="zh-CN"/>
        </w:rPr>
        <w:t>。</w:t>
      </w:r>
    </w:p>
    <w:p>
      <w:pPr>
        <w:numPr>
          <w:ilvl w:val="0"/>
          <w:numId w:val="1"/>
        </w:numPr>
        <w:autoSpaceDE w:val="0"/>
        <w:spacing w:line="580" w:lineRule="exact"/>
        <w:ind w:firstLine="640" w:firstLineChars="200"/>
        <w:outlineLvl w:val="1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评价指标</w:t>
      </w:r>
      <w:r>
        <w:rPr>
          <w:rFonts w:hint="eastAsia" w:ascii="仿宋" w:hAnsi="仿宋" w:eastAsia="仿宋"/>
          <w:sz w:val="32"/>
          <w:szCs w:val="32"/>
          <w:lang w:eastAsia="zh-CN"/>
        </w:rPr>
        <w:t>：</w:t>
      </w:r>
    </w:p>
    <w:p>
      <w:pPr>
        <w:numPr>
          <w:ilvl w:val="0"/>
          <w:numId w:val="0"/>
        </w:numPr>
        <w:ind w:firstLine="420" w:firstLineChars="200"/>
        <w:rPr>
          <w:rFonts w:hint="eastAsia" w:ascii="仿宋" w:hAnsi="仿宋" w:eastAsia="仿宋"/>
          <w:color w:val="000000" w:themeColor="text1"/>
          <w:sz w:val="32"/>
          <w:szCs w:val="32"/>
          <w:lang w:eastAsia="zh-CN"/>
        </w:rPr>
      </w:pPr>
      <w:r>
        <w:rPr>
          <w:rFonts w:hint="eastAsia"/>
          <w:lang w:val="en-US" w:eastAsia="zh-CN"/>
        </w:rPr>
        <w:t xml:space="preserve">  </w:t>
      </w:r>
      <w:r>
        <w:rPr>
          <w:rFonts w:hint="eastAsia" w:ascii="仿宋" w:hAnsi="仿宋" w:eastAsia="仿宋"/>
          <w:color w:val="000000" w:themeColor="text1"/>
          <w:sz w:val="32"/>
          <w:szCs w:val="32"/>
        </w:rPr>
        <w:t>产出指标：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color w:val="000000" w:themeColor="text1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①</w:t>
      </w:r>
      <w:r>
        <w:rPr>
          <w:rFonts w:hint="eastAsia" w:ascii="仿宋" w:hAnsi="仿宋" w:eastAsia="仿宋"/>
          <w:color w:val="000000" w:themeColor="text1"/>
          <w:sz w:val="32"/>
          <w:szCs w:val="32"/>
        </w:rPr>
        <w:t>完成</w:t>
      </w:r>
      <w:r>
        <w:rPr>
          <w:rFonts w:hint="eastAsia" w:ascii="仿宋" w:hAnsi="仿宋" w:eastAsia="仿宋"/>
          <w:color w:val="000000" w:themeColor="text1"/>
          <w:sz w:val="32"/>
          <w:szCs w:val="32"/>
          <w:lang w:eastAsia="zh-CN"/>
        </w:rPr>
        <w:t>规定水处理量</w:t>
      </w:r>
      <w:r>
        <w:rPr>
          <w:rFonts w:hint="eastAsia" w:ascii="仿宋" w:hAnsi="仿宋" w:eastAsia="仿宋"/>
          <w:color w:val="000000" w:themeColor="text1"/>
          <w:sz w:val="32"/>
          <w:szCs w:val="32"/>
        </w:rPr>
        <w:t>；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color w:val="000000" w:themeColor="text1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②</w:t>
      </w:r>
      <w:r>
        <w:rPr>
          <w:rFonts w:hint="eastAsia" w:ascii="仿宋" w:hAnsi="仿宋" w:eastAsia="仿宋"/>
          <w:color w:val="000000" w:themeColor="text1"/>
          <w:sz w:val="32"/>
          <w:szCs w:val="32"/>
        </w:rPr>
        <w:t>水质检测合格率；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color w:val="000000" w:themeColor="text1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③</w:t>
      </w:r>
      <w:r>
        <w:rPr>
          <w:rFonts w:hint="eastAsia" w:ascii="仿宋" w:hAnsi="仿宋" w:eastAsia="仿宋"/>
          <w:color w:val="000000" w:themeColor="text1"/>
          <w:sz w:val="32"/>
          <w:szCs w:val="32"/>
        </w:rPr>
        <w:t>按时上缴水费</w:t>
      </w:r>
      <w:r>
        <w:rPr>
          <w:rFonts w:hint="eastAsia" w:ascii="仿宋" w:hAnsi="仿宋" w:eastAsia="仿宋"/>
          <w:color w:val="000000" w:themeColor="text1"/>
          <w:sz w:val="32"/>
          <w:szCs w:val="32"/>
          <w:lang w:eastAsia="zh-CN"/>
        </w:rPr>
        <w:t>数额。</w:t>
      </w:r>
    </w:p>
    <w:p>
      <w:pPr>
        <w:pStyle w:val="2"/>
        <w:bidi w:val="0"/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fldChar w:fldCharType="begin"/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instrText xml:space="preserve"> = 4 \* GB3 \* MERGEFORMAT </w:instrTex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fldChar w:fldCharType="separate"/>
      </w:r>
      <w:r>
        <w:rPr>
          <w:rFonts w:hint="eastAsia" w:ascii="仿宋" w:hAnsi="仿宋" w:eastAsia="仿宋" w:cs="仿宋"/>
          <w:color w:val="auto"/>
          <w:sz w:val="32"/>
          <w:szCs w:val="32"/>
        </w:rPr>
        <w:t>④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fldChar w:fldCharType="end"/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水质检测次数</w:t>
      </w:r>
    </w:p>
    <w:p>
      <w:pPr>
        <w:numPr>
          <w:ilvl w:val="0"/>
          <w:numId w:val="0"/>
        </w:numPr>
        <w:ind w:leftChars="200" w:firstLine="320" w:firstLineChars="100"/>
        <w:rPr>
          <w:rFonts w:hint="eastAsia" w:ascii="仿宋" w:hAnsi="仿宋" w:eastAsia="仿宋"/>
          <w:color w:val="000000" w:themeColor="text1"/>
          <w:sz w:val="32"/>
          <w:szCs w:val="32"/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</w:rPr>
        <w:t>效</w:t>
      </w:r>
      <w:r>
        <w:rPr>
          <w:rFonts w:hint="eastAsia" w:ascii="仿宋" w:hAnsi="仿宋" w:eastAsia="仿宋"/>
          <w:color w:val="000000" w:themeColor="text1"/>
          <w:sz w:val="32"/>
          <w:szCs w:val="32"/>
          <w:lang w:eastAsia="zh-CN"/>
        </w:rPr>
        <w:t>益</w:t>
      </w:r>
      <w:r>
        <w:rPr>
          <w:rFonts w:hint="eastAsia" w:ascii="仿宋" w:hAnsi="仿宋" w:eastAsia="仿宋"/>
          <w:color w:val="000000" w:themeColor="text1"/>
          <w:sz w:val="32"/>
          <w:szCs w:val="32"/>
        </w:rPr>
        <w:t>指标：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color w:val="000000" w:themeColor="text1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①</w:t>
      </w:r>
      <w:r>
        <w:rPr>
          <w:rFonts w:hint="eastAsia" w:ascii="仿宋" w:hAnsi="仿宋" w:eastAsia="仿宋"/>
          <w:color w:val="000000" w:themeColor="text1"/>
          <w:sz w:val="32"/>
          <w:szCs w:val="32"/>
        </w:rPr>
        <w:t>正常供水率；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②</w:t>
      </w:r>
      <w:r>
        <w:rPr>
          <w:rFonts w:hint="eastAsia" w:ascii="仿宋" w:hAnsi="仿宋" w:eastAsia="仿宋"/>
          <w:color w:val="000000" w:themeColor="text1"/>
          <w:sz w:val="32"/>
          <w:szCs w:val="32"/>
        </w:rPr>
        <w:t>因水质污染造成的安全事故</w:t>
      </w: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</w:rPr>
        <w:t>;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③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水质合格率</w:t>
      </w:r>
      <w:r>
        <w:rPr>
          <w:rFonts w:hint="eastAsia" w:ascii="仿宋" w:hAnsi="仿宋" w:eastAsia="仿宋"/>
          <w:sz w:val="32"/>
          <w:szCs w:val="32"/>
          <w:lang w:eastAsia="zh-CN"/>
        </w:rPr>
        <w:t>；</w:t>
      </w:r>
    </w:p>
    <w:p>
      <w:pPr>
        <w:pStyle w:val="2"/>
        <w:rPr>
          <w:rFonts w:hint="eastAsia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fldChar w:fldCharType="begin"/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instrText xml:space="preserve"> = 4 \* GB3 \* MERGEFORMAT </w:instrTex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fldChar w:fldCharType="separate"/>
      </w:r>
      <w:r>
        <w:rPr>
          <w:rFonts w:hint="eastAsia" w:ascii="仿宋" w:hAnsi="仿宋" w:eastAsia="仿宋" w:cs="仿宋"/>
          <w:color w:val="auto"/>
          <w:sz w:val="32"/>
          <w:szCs w:val="32"/>
        </w:rPr>
        <w:t>④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fldChar w:fldCharType="end"/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群众满意度</w:t>
      </w:r>
    </w:p>
    <w:p>
      <w:pPr>
        <w:autoSpaceDE w:val="0"/>
        <w:spacing w:line="580" w:lineRule="exact"/>
        <w:ind w:firstLine="640" w:firstLineChars="200"/>
        <w:outlineLvl w:val="1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（三）评价依据</w:t>
      </w:r>
      <w:r>
        <w:rPr>
          <w:rFonts w:hint="eastAsia" w:ascii="仿宋" w:hAnsi="仿宋" w:eastAsia="仿宋"/>
          <w:sz w:val="32"/>
          <w:szCs w:val="32"/>
          <w:lang w:eastAsia="zh-CN"/>
        </w:rPr>
        <w:t>：</w:t>
      </w:r>
      <w:r>
        <w:rPr>
          <w:rFonts w:hint="eastAsia" w:ascii="仿宋" w:hAnsi="仿宋" w:eastAsia="仿宋"/>
          <w:color w:val="000000" w:themeColor="text1"/>
          <w:sz w:val="32"/>
          <w:szCs w:val="32"/>
        </w:rPr>
        <w:t>根据</w:t>
      </w:r>
      <w:r>
        <w:rPr>
          <w:rFonts w:hint="eastAsia" w:ascii="仿宋" w:hAnsi="仿宋" w:eastAsia="仿宋"/>
          <w:color w:val="000000" w:themeColor="text1"/>
          <w:sz w:val="32"/>
          <w:szCs w:val="32"/>
          <w:lang w:eastAsia="zh-CN"/>
        </w:rPr>
        <w:t>单位工作职责及上级文件</w:t>
      </w:r>
      <w:r>
        <w:rPr>
          <w:rFonts w:hint="eastAsia" w:ascii="仿宋" w:hAnsi="仿宋" w:eastAsia="仿宋"/>
          <w:color w:val="000000" w:themeColor="text1"/>
          <w:sz w:val="32"/>
          <w:szCs w:val="32"/>
        </w:rPr>
        <w:t>。</w:t>
      </w:r>
    </w:p>
    <w:p>
      <w:pPr>
        <w:ind w:firstLine="640" w:firstLineChars="200"/>
        <w:rPr>
          <w:rFonts w:ascii="仿宋" w:hAnsi="仿宋" w:eastAsia="仿宋"/>
          <w:color w:val="333333"/>
          <w:spacing w:val="8"/>
          <w:sz w:val="32"/>
          <w:szCs w:val="32"/>
          <w:shd w:val="clear" w:color="auto" w:fill="FFFFFF"/>
        </w:rPr>
      </w:pPr>
      <w:r>
        <w:rPr>
          <w:rFonts w:hint="eastAsia" w:ascii="仿宋" w:hAnsi="仿宋" w:eastAsia="仿宋"/>
          <w:sz w:val="32"/>
          <w:szCs w:val="32"/>
        </w:rPr>
        <w:t>（四）评价的主要方法及等级设定</w:t>
      </w:r>
      <w:r>
        <w:rPr>
          <w:rFonts w:hint="eastAsia" w:ascii="仿宋" w:hAnsi="仿宋" w:eastAsia="仿宋"/>
          <w:sz w:val="32"/>
          <w:szCs w:val="32"/>
          <w:lang w:eastAsia="zh-CN"/>
        </w:rPr>
        <w:t>：</w:t>
      </w:r>
      <w:r>
        <w:rPr>
          <w:rFonts w:hint="eastAsia" w:ascii="仿宋" w:hAnsi="仿宋" w:eastAsia="仿宋"/>
          <w:sz w:val="32"/>
          <w:szCs w:val="32"/>
        </w:rPr>
        <w:t>按照宁晋县财政局《关于开展20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22</w:t>
      </w:r>
      <w:r>
        <w:rPr>
          <w:rFonts w:hint="eastAsia" w:ascii="仿宋" w:hAnsi="仿宋" w:eastAsia="仿宋"/>
          <w:sz w:val="32"/>
          <w:szCs w:val="32"/>
        </w:rPr>
        <w:t>年县级项目支出绩效自评和部门整体支出绩效自评工作的通知》的要求，对20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22</w:t>
      </w:r>
      <w:r>
        <w:rPr>
          <w:rFonts w:hint="eastAsia" w:ascii="仿宋" w:hAnsi="仿宋" w:eastAsia="仿宋"/>
          <w:sz w:val="32"/>
          <w:szCs w:val="32"/>
        </w:rPr>
        <w:t>年财政预算安排的资金项目开展绩效自评。对已使用的资金，结合项目管理科室进行了产出指标和效果指标的评定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</w:rPr>
        <w:t>力求达到合理有效使用财政资金的效果。</w:t>
      </w:r>
    </w:p>
    <w:p>
      <w:pPr>
        <w:autoSpaceDE w:val="0"/>
        <w:spacing w:line="580" w:lineRule="exact"/>
        <w:ind w:firstLine="640" w:firstLineChars="200"/>
        <w:outlineLvl w:val="0"/>
      </w:pPr>
      <w:r>
        <w:rPr>
          <w:rFonts w:hint="eastAsia" w:ascii="黑体" w:hAnsi="黑体" w:eastAsia="黑体"/>
          <w:bCs/>
          <w:sz w:val="32"/>
          <w:szCs w:val="32"/>
        </w:rPr>
        <w:t>三、绩效评价指标体系及得分情况</w:t>
      </w:r>
    </w:p>
    <w:p>
      <w:pPr>
        <w:jc w:val="center"/>
        <w:rPr>
          <w:rFonts w:hint="eastAsia" w:ascii="仿宋" w:hAnsi="仿宋" w:eastAsia="仿宋" w:cs="仿宋"/>
          <w:b/>
          <w:bCs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28"/>
          <w:szCs w:val="28"/>
          <w:lang w:val="en-US" w:eastAsia="zh-CN"/>
        </w:rPr>
        <w:t>2022年南水北调地表水厂水处理费及管道维护费项目</w:t>
      </w:r>
    </w:p>
    <w:p>
      <w:pPr>
        <w:jc w:val="center"/>
        <w:rPr>
          <w:rFonts w:ascii="仿宋" w:hAnsi="仿宋" w:eastAsia="仿宋"/>
        </w:rPr>
      </w:pPr>
      <w:r>
        <w:rPr>
          <w:rFonts w:hint="eastAsia" w:ascii="仿宋" w:hAnsi="仿宋" w:eastAsia="仿宋"/>
          <w:b/>
          <w:bCs/>
          <w:color w:val="000000"/>
          <w:kern w:val="0"/>
          <w:sz w:val="28"/>
          <w:szCs w:val="28"/>
        </w:rPr>
        <w:t>财政重点绩效评价指标表</w:t>
      </w:r>
    </w:p>
    <w:tbl>
      <w:tblPr>
        <w:tblStyle w:val="6"/>
        <w:tblW w:w="8419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58"/>
        <w:gridCol w:w="674"/>
        <w:gridCol w:w="2083"/>
        <w:gridCol w:w="545"/>
        <w:gridCol w:w="3557"/>
        <w:gridCol w:w="602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  <w:jc w:val="center"/>
        </w:trPr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/>
                <w:b/>
                <w:bCs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b/>
                <w:bCs/>
                <w:color w:val="000000"/>
                <w:kern w:val="0"/>
                <w:sz w:val="24"/>
              </w:rPr>
              <w:t xml:space="preserve">一级指标  </w:t>
            </w:r>
          </w:p>
        </w:tc>
        <w:tc>
          <w:tcPr>
            <w:tcW w:w="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/>
                <w:b/>
                <w:bCs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b/>
                <w:bCs/>
                <w:color w:val="000000"/>
                <w:kern w:val="0"/>
                <w:sz w:val="24"/>
              </w:rPr>
              <w:t>二级指标</w:t>
            </w:r>
          </w:p>
        </w:tc>
        <w:tc>
          <w:tcPr>
            <w:tcW w:w="208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/>
                <w:b/>
                <w:bCs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b/>
                <w:bCs/>
                <w:color w:val="000000"/>
                <w:kern w:val="0"/>
                <w:sz w:val="24"/>
              </w:rPr>
              <w:t xml:space="preserve"> 三级指标</w:t>
            </w:r>
          </w:p>
        </w:tc>
        <w:tc>
          <w:tcPr>
            <w:tcW w:w="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/>
                <w:b/>
                <w:bCs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b/>
                <w:bCs/>
                <w:color w:val="000000"/>
                <w:kern w:val="0"/>
                <w:sz w:val="24"/>
              </w:rPr>
              <w:t>分值</w:t>
            </w:r>
          </w:p>
        </w:tc>
        <w:tc>
          <w:tcPr>
            <w:tcW w:w="355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/>
                <w:b/>
                <w:bCs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b/>
                <w:bCs/>
                <w:color w:val="000000"/>
                <w:kern w:val="0"/>
                <w:sz w:val="24"/>
              </w:rPr>
              <w:t>指标说明</w:t>
            </w:r>
          </w:p>
        </w:tc>
        <w:tc>
          <w:tcPr>
            <w:tcW w:w="60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/>
                <w:b/>
                <w:bCs/>
                <w:color w:val="000000"/>
                <w:sz w:val="24"/>
              </w:rPr>
            </w:pPr>
            <w:r>
              <w:rPr>
                <w:rFonts w:hint="eastAsia" w:ascii="仿宋" w:hAnsi="仿宋" w:eastAsia="仿宋"/>
                <w:b/>
                <w:bCs/>
                <w:color w:val="000000"/>
                <w:kern w:val="0"/>
                <w:sz w:val="24"/>
              </w:rPr>
              <w:t>得分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  <w:jc w:val="center"/>
        </w:trPr>
        <w:tc>
          <w:tcPr>
            <w:tcW w:w="958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2"/>
              </w:rPr>
              <w:t>“工作活动”设置（10分）</w:t>
            </w:r>
          </w:p>
        </w:tc>
        <w:tc>
          <w:tcPr>
            <w:tcW w:w="674" w:type="dxa"/>
            <w:vMerge w:val="restart"/>
            <w:tcBorders>
              <w:top w:val="single" w:color="000000" w:sz="4" w:space="0"/>
              <w:left w:val="nil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2"/>
              </w:rPr>
              <w:t>项目立项情况</w:t>
            </w:r>
          </w:p>
        </w:tc>
        <w:tc>
          <w:tcPr>
            <w:tcW w:w="208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2"/>
              </w:rPr>
              <w:t>是否符合县政府经济和社会总体发展规划</w:t>
            </w:r>
          </w:p>
        </w:tc>
        <w:tc>
          <w:tcPr>
            <w:tcW w:w="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2</w:t>
            </w:r>
          </w:p>
        </w:tc>
        <w:tc>
          <w:tcPr>
            <w:tcW w:w="355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2"/>
              </w:rPr>
              <w:t>有县政府相关政策、规划、任务等文件得2分；无不得分。</w:t>
            </w:r>
          </w:p>
        </w:tc>
        <w:tc>
          <w:tcPr>
            <w:tcW w:w="60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eastAsia="仿宋"/>
                <w:color w:val="000000"/>
                <w:kern w:val="0"/>
                <w:sz w:val="22"/>
                <w:szCs w:val="22"/>
              </w:rPr>
              <w:t> </w:t>
            </w:r>
            <w:r>
              <w:rPr>
                <w:rFonts w:hint="eastAsia" w:ascii="仿宋" w:eastAsia="仿宋"/>
                <w:color w:val="000000"/>
                <w:kern w:val="0"/>
                <w:sz w:val="22"/>
                <w:szCs w:val="22"/>
                <w:lang w:val="en-US" w:eastAsia="zh-CN"/>
              </w:rPr>
              <w:t>2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64" w:hRule="atLeast"/>
          <w:jc w:val="center"/>
        </w:trPr>
        <w:tc>
          <w:tcPr>
            <w:tcW w:w="95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</w:p>
        </w:tc>
        <w:tc>
          <w:tcPr>
            <w:tcW w:w="674" w:type="dxa"/>
            <w:vMerge w:val="continue"/>
            <w:tcBorders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</w:p>
        </w:tc>
        <w:tc>
          <w:tcPr>
            <w:tcW w:w="208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2"/>
              </w:rPr>
              <w:t>项目活动与职责相关性</w:t>
            </w:r>
          </w:p>
        </w:tc>
        <w:tc>
          <w:tcPr>
            <w:tcW w:w="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2</w:t>
            </w:r>
          </w:p>
        </w:tc>
        <w:tc>
          <w:tcPr>
            <w:tcW w:w="355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2"/>
              </w:rPr>
              <w:t>工作活动与部门职责、工作规划和重点工作相关，工作活动项下确定的预算项目合理，与工作活动密切相关，工作活动和项目预算安排合理，得2分；否则不得分。</w:t>
            </w:r>
          </w:p>
        </w:tc>
        <w:tc>
          <w:tcPr>
            <w:tcW w:w="60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eastAsia="仿宋"/>
                <w:color w:val="000000"/>
                <w:kern w:val="0"/>
                <w:sz w:val="22"/>
                <w:szCs w:val="22"/>
                <w:lang w:val="en-US" w:eastAsia="zh-CN"/>
              </w:rPr>
              <w:t>2</w:t>
            </w:r>
            <w:r>
              <w:rPr>
                <w:rFonts w:hint="eastAsia" w:ascii="仿宋" w:eastAsia="仿宋"/>
                <w:color w:val="000000"/>
                <w:kern w:val="0"/>
                <w:sz w:val="22"/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  <w:jc w:val="center"/>
        </w:trPr>
        <w:tc>
          <w:tcPr>
            <w:tcW w:w="95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</w:p>
        </w:tc>
        <w:tc>
          <w:tcPr>
            <w:tcW w:w="674" w:type="dxa"/>
            <w:vMerge w:val="restart"/>
            <w:tcBorders>
              <w:top w:val="single" w:color="000000" w:sz="4" w:space="0"/>
              <w:left w:val="nil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2"/>
              </w:rPr>
              <w:t>绩效自评情况</w:t>
            </w:r>
          </w:p>
        </w:tc>
        <w:tc>
          <w:tcPr>
            <w:tcW w:w="208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2"/>
              </w:rPr>
              <w:t>项目设立绩效目标合理性</w:t>
            </w:r>
          </w:p>
        </w:tc>
        <w:tc>
          <w:tcPr>
            <w:tcW w:w="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4</w:t>
            </w:r>
          </w:p>
        </w:tc>
        <w:tc>
          <w:tcPr>
            <w:tcW w:w="355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2"/>
              </w:rPr>
              <w:t>①是否将项目绩效目标细化分解为具体的绩效指标；</w:t>
            </w: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2"/>
              </w:rPr>
              <w:t>②是否通过清晰、可衡量的指标值予以体现；</w:t>
            </w: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2"/>
              </w:rPr>
              <w:t>③是否与项目年度任务数或计划数相对应；</w:t>
            </w: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2"/>
              </w:rPr>
              <w:t>④是否与预算确定的项目投资额或资金量相匹配。</w:t>
            </w: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2"/>
              </w:rPr>
              <w:t>缺少一项扣1分,扣完为止。</w:t>
            </w:r>
          </w:p>
        </w:tc>
        <w:tc>
          <w:tcPr>
            <w:tcW w:w="60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eastAsia="仿宋"/>
                <w:color w:val="000000"/>
                <w:kern w:val="0"/>
                <w:sz w:val="22"/>
                <w:szCs w:val="22"/>
                <w:lang w:val="en-US" w:eastAsia="zh-CN"/>
              </w:rPr>
              <w:t>3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60" w:hRule="atLeast"/>
          <w:jc w:val="center"/>
        </w:trPr>
        <w:tc>
          <w:tcPr>
            <w:tcW w:w="958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</w:p>
        </w:tc>
        <w:tc>
          <w:tcPr>
            <w:tcW w:w="674" w:type="dxa"/>
            <w:vMerge w:val="continue"/>
            <w:tcBorders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</w:p>
        </w:tc>
        <w:tc>
          <w:tcPr>
            <w:tcW w:w="208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2"/>
              </w:rPr>
              <w:t>自评报告情况</w:t>
            </w:r>
          </w:p>
        </w:tc>
        <w:tc>
          <w:tcPr>
            <w:tcW w:w="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2</w:t>
            </w:r>
          </w:p>
        </w:tc>
        <w:tc>
          <w:tcPr>
            <w:tcW w:w="355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textAlignment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2"/>
              </w:rPr>
              <w:t>是否有绩效评价报告，报告是否依据充分、内容真实完整；数据准确、分析透彻。每存在一项问题扣1分，扣完为止。</w:t>
            </w:r>
          </w:p>
        </w:tc>
        <w:tc>
          <w:tcPr>
            <w:tcW w:w="60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eastAsia="仿宋"/>
                <w:color w:val="000000"/>
                <w:kern w:val="0"/>
                <w:sz w:val="22"/>
                <w:szCs w:val="22"/>
                <w:lang w:val="en-US" w:eastAsia="zh-CN"/>
              </w:rPr>
              <w:t>1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0" w:hRule="atLeast"/>
          <w:jc w:val="center"/>
        </w:trPr>
        <w:tc>
          <w:tcPr>
            <w:tcW w:w="958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2"/>
              </w:rPr>
              <w:t>“工作活动”管理（30分）</w:t>
            </w:r>
          </w:p>
        </w:tc>
        <w:tc>
          <w:tcPr>
            <w:tcW w:w="674" w:type="dxa"/>
            <w:vMerge w:val="restart"/>
            <w:tcBorders>
              <w:top w:val="single" w:color="000000" w:sz="4" w:space="0"/>
              <w:left w:val="nil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2"/>
              </w:rPr>
              <w:t>资金管理</w:t>
            </w:r>
          </w:p>
        </w:tc>
        <w:tc>
          <w:tcPr>
            <w:tcW w:w="208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2"/>
              </w:rPr>
              <w:t>预算执行率</w:t>
            </w:r>
          </w:p>
        </w:tc>
        <w:tc>
          <w:tcPr>
            <w:tcW w:w="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4</w:t>
            </w:r>
          </w:p>
        </w:tc>
        <w:tc>
          <w:tcPr>
            <w:tcW w:w="355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2"/>
              </w:rPr>
              <w:t>预算执行率=（预算执行数/预算数）×4</w:t>
            </w:r>
          </w:p>
        </w:tc>
        <w:tc>
          <w:tcPr>
            <w:tcW w:w="60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  <w:lang w:val="en-US" w:eastAsia="zh-CN"/>
              </w:rPr>
              <w:t>2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0" w:hRule="atLeast"/>
          <w:jc w:val="center"/>
        </w:trPr>
        <w:tc>
          <w:tcPr>
            <w:tcW w:w="95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</w:p>
        </w:tc>
        <w:tc>
          <w:tcPr>
            <w:tcW w:w="674" w:type="dxa"/>
            <w:vMerge w:val="continue"/>
            <w:tcBorders>
              <w:left w:val="nil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</w:p>
        </w:tc>
        <w:tc>
          <w:tcPr>
            <w:tcW w:w="208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2"/>
              </w:rPr>
              <w:t>资金使用合规性</w:t>
            </w:r>
          </w:p>
        </w:tc>
        <w:tc>
          <w:tcPr>
            <w:tcW w:w="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6</w:t>
            </w:r>
          </w:p>
        </w:tc>
        <w:tc>
          <w:tcPr>
            <w:tcW w:w="355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2"/>
              </w:rPr>
              <w:t>项目资金使用是否符合国家财经法规及相关的财务管理制度规定，资金支出程序是否规范,报账手续是否齐全。每存在一项不合规问题扣1分，扣完为止。</w:t>
            </w:r>
          </w:p>
        </w:tc>
        <w:tc>
          <w:tcPr>
            <w:tcW w:w="60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  <w:lang w:val="en-US" w:eastAsia="zh-CN"/>
              </w:rPr>
              <w:t>6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20" w:hRule="atLeast"/>
          <w:jc w:val="center"/>
        </w:trPr>
        <w:tc>
          <w:tcPr>
            <w:tcW w:w="95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</w:p>
        </w:tc>
        <w:tc>
          <w:tcPr>
            <w:tcW w:w="674" w:type="dxa"/>
            <w:vMerge w:val="continue"/>
            <w:tcBorders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</w:p>
        </w:tc>
        <w:tc>
          <w:tcPr>
            <w:tcW w:w="208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2"/>
              </w:rPr>
              <w:t>会计核算规范性</w:t>
            </w:r>
          </w:p>
        </w:tc>
        <w:tc>
          <w:tcPr>
            <w:tcW w:w="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8</w:t>
            </w:r>
          </w:p>
        </w:tc>
        <w:tc>
          <w:tcPr>
            <w:tcW w:w="355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2"/>
              </w:rPr>
              <w:t>会计核算是否符合《会计法》、《政府会计制度》、《会计基础工作规范》等法律法规和相关制度规定。每存在一项不合规问题扣1分，扣完为止。</w:t>
            </w:r>
          </w:p>
        </w:tc>
        <w:tc>
          <w:tcPr>
            <w:tcW w:w="60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eastAsia="仿宋"/>
                <w:color w:val="000000"/>
                <w:kern w:val="0"/>
                <w:sz w:val="22"/>
                <w:szCs w:val="22"/>
              </w:rPr>
              <w:t> </w:t>
            </w:r>
            <w:r>
              <w:rPr>
                <w:rFonts w:hint="eastAsia" w:ascii="仿宋" w:eastAsia="仿宋"/>
                <w:color w:val="000000"/>
                <w:kern w:val="0"/>
                <w:sz w:val="22"/>
                <w:szCs w:val="22"/>
                <w:lang w:val="en-US" w:eastAsia="zh-CN"/>
              </w:rPr>
              <w:t>8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40" w:hRule="atLeast"/>
          <w:jc w:val="center"/>
        </w:trPr>
        <w:tc>
          <w:tcPr>
            <w:tcW w:w="95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</w:p>
        </w:tc>
        <w:tc>
          <w:tcPr>
            <w:tcW w:w="674" w:type="dxa"/>
            <w:vMerge w:val="restart"/>
            <w:tcBorders>
              <w:top w:val="single" w:color="000000" w:sz="4" w:space="0"/>
              <w:left w:val="nil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2"/>
              </w:rPr>
              <w:t>项目管理</w:t>
            </w:r>
          </w:p>
        </w:tc>
        <w:tc>
          <w:tcPr>
            <w:tcW w:w="208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2"/>
              </w:rPr>
              <w:t>项目责任机制是否健全</w:t>
            </w:r>
          </w:p>
        </w:tc>
        <w:tc>
          <w:tcPr>
            <w:tcW w:w="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6</w:t>
            </w:r>
          </w:p>
        </w:tc>
        <w:tc>
          <w:tcPr>
            <w:tcW w:w="355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2"/>
              </w:rPr>
              <w:t>是否建立责任机制，项目管理和责任落实到有关人。每存在一项问题扣1分，扣完为止。</w:t>
            </w:r>
          </w:p>
        </w:tc>
        <w:tc>
          <w:tcPr>
            <w:tcW w:w="60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eastAsia="仿宋"/>
                <w:color w:val="000000"/>
                <w:kern w:val="0"/>
                <w:sz w:val="22"/>
                <w:szCs w:val="22"/>
                <w:lang w:val="en-US" w:eastAsia="zh-CN"/>
              </w:rPr>
              <w:t>4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6" w:hRule="atLeast"/>
          <w:jc w:val="center"/>
        </w:trPr>
        <w:tc>
          <w:tcPr>
            <w:tcW w:w="958" w:type="dxa"/>
            <w:vMerge w:val="continue"/>
            <w:tcBorders>
              <w:left w:val="single" w:color="000000" w:sz="4" w:space="0"/>
              <w:bottom w:val="nil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</w:p>
        </w:tc>
        <w:tc>
          <w:tcPr>
            <w:tcW w:w="674" w:type="dxa"/>
            <w:vMerge w:val="continue"/>
            <w:tcBorders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</w:p>
        </w:tc>
        <w:tc>
          <w:tcPr>
            <w:tcW w:w="208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2"/>
              </w:rPr>
              <w:t>管理制度健全性</w:t>
            </w:r>
          </w:p>
        </w:tc>
        <w:tc>
          <w:tcPr>
            <w:tcW w:w="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6</w:t>
            </w:r>
          </w:p>
        </w:tc>
        <w:tc>
          <w:tcPr>
            <w:tcW w:w="355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2"/>
              </w:rPr>
              <w:t>制定管理制度和措施（包括财务制度）是否明确、清晰、具有可操作性，能否保障工作活动顺利实施。每缺少一项制度扣1分，扣完为止。</w:t>
            </w:r>
          </w:p>
        </w:tc>
        <w:tc>
          <w:tcPr>
            <w:tcW w:w="60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eastAsia="仿宋"/>
                <w:color w:val="000000"/>
                <w:kern w:val="0"/>
                <w:sz w:val="22"/>
                <w:szCs w:val="22"/>
                <w:lang w:val="en-US" w:eastAsia="zh-CN"/>
              </w:rPr>
              <w:t>4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6" w:hRule="atLeast"/>
          <w:jc w:val="center"/>
        </w:trPr>
        <w:tc>
          <w:tcPr>
            <w:tcW w:w="958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2"/>
              </w:rPr>
              <w:t>“工作活动”产出（30分）</w:t>
            </w:r>
          </w:p>
        </w:tc>
        <w:tc>
          <w:tcPr>
            <w:tcW w:w="674" w:type="dxa"/>
            <w:tcBorders>
              <w:top w:val="single" w:color="000000" w:sz="4" w:space="0"/>
              <w:left w:val="nil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2"/>
              </w:rPr>
              <w:t>数量指标</w:t>
            </w:r>
          </w:p>
        </w:tc>
        <w:tc>
          <w:tcPr>
            <w:tcW w:w="208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2"/>
              </w:rPr>
              <w:t>水质处理数量</w:t>
            </w:r>
          </w:p>
        </w:tc>
        <w:tc>
          <w:tcPr>
            <w:tcW w:w="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  <w:lang w:val="en-US" w:eastAsia="zh-CN"/>
              </w:rPr>
              <w:t>10</w:t>
            </w:r>
          </w:p>
        </w:tc>
        <w:tc>
          <w:tcPr>
            <w:tcW w:w="355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2"/>
              </w:rPr>
              <w:t>水质处理数量</w:t>
            </w:r>
          </w:p>
        </w:tc>
        <w:tc>
          <w:tcPr>
            <w:tcW w:w="60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  <w:lang w:val="en-US" w:eastAsia="zh-CN"/>
              </w:rPr>
              <w:t>10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2" w:hRule="atLeast"/>
          <w:jc w:val="center"/>
        </w:trPr>
        <w:tc>
          <w:tcPr>
            <w:tcW w:w="95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</w:p>
        </w:tc>
        <w:tc>
          <w:tcPr>
            <w:tcW w:w="674" w:type="dxa"/>
            <w:tcBorders>
              <w:top w:val="single" w:color="000000" w:sz="4" w:space="0"/>
              <w:left w:val="nil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2"/>
              </w:rPr>
              <w:t>质量指标</w:t>
            </w:r>
          </w:p>
        </w:tc>
        <w:tc>
          <w:tcPr>
            <w:tcW w:w="208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2"/>
              </w:rPr>
              <w:t>抽检水质合格率</w:t>
            </w:r>
          </w:p>
        </w:tc>
        <w:tc>
          <w:tcPr>
            <w:tcW w:w="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  <w:lang w:val="en-US" w:eastAsia="zh-CN"/>
              </w:rPr>
              <w:t>10</w:t>
            </w:r>
          </w:p>
        </w:tc>
        <w:tc>
          <w:tcPr>
            <w:tcW w:w="355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2"/>
              </w:rPr>
              <w:t>抽检水质合格率</w:t>
            </w:r>
          </w:p>
        </w:tc>
        <w:tc>
          <w:tcPr>
            <w:tcW w:w="60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eastAsia="仿宋"/>
                <w:color w:val="000000"/>
                <w:kern w:val="0"/>
                <w:sz w:val="22"/>
                <w:szCs w:val="22"/>
              </w:rPr>
              <w:t> </w:t>
            </w:r>
            <w:r>
              <w:rPr>
                <w:rFonts w:hint="eastAsia" w:ascii="仿宋" w:eastAsia="仿宋"/>
                <w:color w:val="000000"/>
                <w:kern w:val="0"/>
                <w:sz w:val="22"/>
                <w:szCs w:val="22"/>
                <w:lang w:val="en-US" w:eastAsia="zh-CN"/>
              </w:rPr>
              <w:t>10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6" w:hRule="atLeast"/>
          <w:jc w:val="center"/>
        </w:trPr>
        <w:tc>
          <w:tcPr>
            <w:tcW w:w="95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</w:p>
        </w:tc>
        <w:tc>
          <w:tcPr>
            <w:tcW w:w="674" w:type="dxa"/>
            <w:tcBorders>
              <w:top w:val="single" w:color="000000" w:sz="4" w:space="0"/>
              <w:left w:val="nil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2"/>
              </w:rPr>
              <w:t>时效指标</w:t>
            </w:r>
          </w:p>
        </w:tc>
        <w:tc>
          <w:tcPr>
            <w:tcW w:w="208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2"/>
              </w:rPr>
              <w:t>水质检测次数</w:t>
            </w:r>
          </w:p>
        </w:tc>
        <w:tc>
          <w:tcPr>
            <w:tcW w:w="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  <w:lang w:val="en-US" w:eastAsia="zh-CN"/>
              </w:rPr>
              <w:t>10</w:t>
            </w:r>
          </w:p>
        </w:tc>
        <w:tc>
          <w:tcPr>
            <w:tcW w:w="355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2"/>
              </w:rPr>
              <w:t>水质检测次数</w:t>
            </w:r>
          </w:p>
        </w:tc>
        <w:tc>
          <w:tcPr>
            <w:tcW w:w="60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eastAsia="仿宋"/>
                <w:color w:val="000000"/>
                <w:kern w:val="0"/>
                <w:sz w:val="22"/>
                <w:szCs w:val="22"/>
                <w:lang w:val="en-US" w:eastAsia="zh-CN"/>
              </w:rPr>
              <w:t>10</w:t>
            </w:r>
            <w:r>
              <w:rPr>
                <w:rFonts w:hint="eastAsia" w:ascii="仿宋" w:eastAsia="仿宋"/>
                <w:color w:val="000000"/>
                <w:kern w:val="0"/>
                <w:sz w:val="22"/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  <w:jc w:val="center"/>
        </w:trPr>
        <w:tc>
          <w:tcPr>
            <w:tcW w:w="958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“工作活动”效果（</w:t>
            </w: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2"/>
              </w:rPr>
              <w:t>30</w:t>
            </w: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分）</w:t>
            </w:r>
          </w:p>
        </w:tc>
        <w:tc>
          <w:tcPr>
            <w:tcW w:w="674" w:type="dxa"/>
            <w:tcBorders>
              <w:top w:val="single" w:color="000000" w:sz="4" w:space="0"/>
              <w:left w:val="nil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</w:rPr>
              <w:t>满意度</w:t>
            </w:r>
          </w:p>
        </w:tc>
        <w:tc>
          <w:tcPr>
            <w:tcW w:w="208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2"/>
                <w:lang w:eastAsia="zh-CN"/>
              </w:rPr>
              <w:t>群众满意度</w:t>
            </w:r>
          </w:p>
        </w:tc>
        <w:tc>
          <w:tcPr>
            <w:tcW w:w="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2"/>
                <w:lang w:val="en-US" w:eastAsia="zh-CN"/>
              </w:rPr>
              <w:t>30</w:t>
            </w:r>
          </w:p>
        </w:tc>
        <w:tc>
          <w:tcPr>
            <w:tcW w:w="355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2"/>
                <w:lang w:eastAsia="zh-CN"/>
              </w:rPr>
              <w:t>群众满意度</w:t>
            </w:r>
          </w:p>
        </w:tc>
        <w:tc>
          <w:tcPr>
            <w:tcW w:w="60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2"/>
                <w:lang w:val="en-US" w:eastAsia="zh-CN"/>
              </w:rPr>
              <w:t>28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  <w:jc w:val="center"/>
        </w:trPr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ind w:firstLine="220" w:firstLineChars="100"/>
              <w:rPr>
                <w:rFonts w:ascii="仿宋" w:hAnsi="仿宋" w:eastAsia="仿宋"/>
                <w:color w:val="00000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sz w:val="22"/>
                <w:szCs w:val="22"/>
              </w:rPr>
              <w:t>合计</w:t>
            </w:r>
          </w:p>
        </w:tc>
        <w:tc>
          <w:tcPr>
            <w:tcW w:w="67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208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2"/>
              </w:rPr>
              <w:t>100</w:t>
            </w:r>
          </w:p>
        </w:tc>
        <w:tc>
          <w:tcPr>
            <w:tcW w:w="355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60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2"/>
                <w:lang w:val="en-US" w:eastAsia="zh-CN"/>
              </w:rPr>
              <w:t>90</w:t>
            </w:r>
          </w:p>
        </w:tc>
      </w:tr>
    </w:tbl>
    <w:p>
      <w:pPr>
        <w:pStyle w:val="2"/>
        <w:spacing w:line="560" w:lineRule="exact"/>
        <w:ind w:left="420" w:leftChars="200" w:firstLine="320" w:firstLineChars="100"/>
        <w:outlineLvl w:val="0"/>
        <w:rPr>
          <w:rFonts w:ascii="黑体" w:hAnsi="黑体" w:eastAsia="黑体" w:cs="仿宋_GB2312"/>
          <w:color w:val="000000"/>
          <w:sz w:val="32"/>
          <w:szCs w:val="32"/>
        </w:rPr>
      </w:pPr>
      <w:r>
        <w:rPr>
          <w:rFonts w:hint="eastAsia" w:ascii="黑体" w:hAnsi="黑体" w:eastAsia="黑体" w:cs="仿宋_GB2312"/>
          <w:color w:val="000000"/>
          <w:sz w:val="32"/>
          <w:szCs w:val="32"/>
        </w:rPr>
        <w:t>四、评价分析</w:t>
      </w:r>
      <w:bookmarkEnd w:id="0"/>
    </w:p>
    <w:p>
      <w:pPr>
        <w:ind w:firstLine="640" w:firstLineChars="200"/>
        <w:rPr>
          <w:rFonts w:hint="eastAsia" w:ascii="仿宋" w:hAnsi="仿宋" w:eastAsia="仿宋"/>
          <w:color w:val="333333"/>
          <w:spacing w:val="8"/>
          <w:sz w:val="32"/>
          <w:szCs w:val="32"/>
          <w:shd w:val="clear" w:color="auto" w:fill="FFFFFF"/>
          <w:lang w:eastAsia="zh-CN"/>
        </w:rPr>
      </w:pPr>
      <w:bookmarkStart w:id="1" w:name="_Toc18513_WPSOffice_Level2"/>
      <w:r>
        <w:rPr>
          <w:rFonts w:hint="eastAsia" w:ascii="仿宋" w:hAnsi="仿宋" w:eastAsia="仿宋" w:cs="仿宋_GB2312"/>
          <w:color w:val="000000"/>
          <w:sz w:val="32"/>
          <w:szCs w:val="40"/>
        </w:rPr>
        <w:t>（一）主要扣分事项及原因分析</w:t>
      </w:r>
      <w:bookmarkEnd w:id="1"/>
      <w:r>
        <w:rPr>
          <w:rFonts w:hint="eastAsia" w:ascii="仿宋" w:hAnsi="仿宋" w:eastAsia="仿宋" w:cs="仿宋_GB2312"/>
          <w:color w:val="000000"/>
          <w:sz w:val="32"/>
          <w:szCs w:val="40"/>
          <w:lang w:eastAsia="zh-CN"/>
        </w:rPr>
        <w:t>：</w:t>
      </w:r>
      <w:r>
        <w:rPr>
          <w:rFonts w:hint="eastAsia" w:ascii="仿宋" w:hAnsi="仿宋" w:eastAsia="仿宋"/>
          <w:color w:val="333333"/>
          <w:spacing w:val="8"/>
          <w:sz w:val="32"/>
          <w:szCs w:val="32"/>
          <w:shd w:val="clear" w:color="auto" w:fill="FFFFFF"/>
        </w:rPr>
        <w:t>从</w:t>
      </w:r>
      <w:r>
        <w:rPr>
          <w:rFonts w:hint="eastAsia" w:ascii="仿宋" w:hAnsi="仿宋" w:eastAsia="仿宋"/>
          <w:color w:val="333333"/>
          <w:spacing w:val="8"/>
          <w:sz w:val="32"/>
          <w:szCs w:val="32"/>
          <w:shd w:val="clear" w:color="auto" w:fill="FFFFFF"/>
          <w:lang w:eastAsia="zh-CN"/>
        </w:rPr>
        <w:t>该项目支出</w:t>
      </w:r>
      <w:r>
        <w:rPr>
          <w:rFonts w:hint="eastAsia" w:ascii="仿宋" w:hAnsi="仿宋" w:eastAsia="仿宋"/>
          <w:color w:val="333333"/>
          <w:spacing w:val="8"/>
          <w:sz w:val="32"/>
          <w:szCs w:val="32"/>
          <w:shd w:val="clear" w:color="auto" w:fill="FFFFFF"/>
        </w:rPr>
        <w:t>情况来看，严格按照年初预算进行部门整体支出，在支出过程中，能严格遵守各项规章制度，实行先预算再支出，项目经费专款专用，无挪用滥用资金现象。</w:t>
      </w:r>
      <w:r>
        <w:rPr>
          <w:rFonts w:hint="eastAsia" w:ascii="仿宋" w:hAnsi="仿宋" w:eastAsia="仿宋"/>
          <w:color w:val="333333"/>
          <w:spacing w:val="8"/>
          <w:sz w:val="32"/>
          <w:szCs w:val="32"/>
          <w:shd w:val="clear" w:color="auto" w:fill="FFFFFF"/>
          <w:lang w:eastAsia="zh-CN"/>
        </w:rPr>
        <w:t>因疫情原因资金未到位，未完成全部支付。</w:t>
      </w:r>
      <w:bookmarkStart w:id="3" w:name="_GoBack"/>
      <w:bookmarkEnd w:id="3"/>
    </w:p>
    <w:p>
      <w:pPr>
        <w:ind w:firstLine="640" w:firstLineChars="200"/>
        <w:jc w:val="left"/>
        <w:rPr>
          <w:rFonts w:hint="eastAsia" w:ascii="仿宋" w:hAnsi="仿宋" w:eastAsia="仿宋"/>
          <w:color w:val="333333"/>
          <w:spacing w:val="8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_GB2312"/>
          <w:color w:val="000000"/>
          <w:sz w:val="32"/>
          <w:szCs w:val="40"/>
        </w:rPr>
        <w:t>（二）评价结论</w:t>
      </w:r>
      <w:r>
        <w:rPr>
          <w:rFonts w:hint="eastAsia" w:ascii="仿宋" w:hAnsi="仿宋" w:eastAsia="仿宋" w:cs="仿宋_GB2312"/>
          <w:color w:val="000000"/>
          <w:sz w:val="32"/>
          <w:szCs w:val="40"/>
          <w:lang w:eastAsia="zh-CN"/>
        </w:rPr>
        <w:t>：</w:t>
      </w:r>
      <w:r>
        <w:rPr>
          <w:rFonts w:hint="eastAsia" w:ascii="仿宋" w:hAnsi="仿宋" w:eastAsia="仿宋"/>
          <w:color w:val="333333"/>
          <w:spacing w:val="8"/>
          <w:sz w:val="32"/>
          <w:szCs w:val="32"/>
          <w:shd w:val="clear" w:color="auto" w:fill="FFFFFF"/>
        </w:rPr>
        <w:t>20</w:t>
      </w:r>
      <w:r>
        <w:rPr>
          <w:rFonts w:hint="eastAsia" w:ascii="仿宋" w:hAnsi="仿宋" w:eastAsia="仿宋"/>
          <w:color w:val="333333"/>
          <w:spacing w:val="8"/>
          <w:sz w:val="32"/>
          <w:szCs w:val="32"/>
          <w:shd w:val="clear" w:color="auto" w:fill="FFFFFF"/>
          <w:lang w:val="en-US" w:eastAsia="zh-CN"/>
        </w:rPr>
        <w:t>21</w:t>
      </w:r>
      <w:r>
        <w:rPr>
          <w:rFonts w:hint="eastAsia" w:ascii="仿宋" w:hAnsi="仿宋" w:eastAsia="仿宋"/>
          <w:color w:val="333333"/>
          <w:spacing w:val="8"/>
          <w:sz w:val="32"/>
          <w:szCs w:val="32"/>
          <w:shd w:val="clear" w:color="auto" w:fill="FFFFFF"/>
        </w:rPr>
        <w:t>年，我单位各项工作取得了良好的成绩，但也存在一些问题。主要是年初预算数编制不够全面不够细致。通过开展部门支出绩效评</w:t>
      </w:r>
      <w:r>
        <w:rPr>
          <w:rFonts w:hint="eastAsia" w:ascii="仿宋" w:hAnsi="仿宋" w:eastAsia="仿宋"/>
          <w:color w:val="333333"/>
          <w:spacing w:val="8"/>
          <w:sz w:val="32"/>
          <w:szCs w:val="32"/>
          <w:shd w:val="clear" w:color="auto" w:fill="FFFFFF"/>
          <w:lang w:eastAsia="zh-CN"/>
        </w:rPr>
        <w:t>价</w:t>
      </w:r>
      <w:r>
        <w:rPr>
          <w:rFonts w:hint="eastAsia" w:ascii="仿宋" w:hAnsi="仿宋" w:eastAsia="仿宋"/>
          <w:color w:val="333333"/>
          <w:spacing w:val="8"/>
          <w:sz w:val="32"/>
          <w:szCs w:val="32"/>
          <w:shd w:val="clear" w:color="auto" w:fill="FFFFFF"/>
        </w:rPr>
        <w:t>，收获一定的经验，</w:t>
      </w:r>
      <w:r>
        <w:rPr>
          <w:rFonts w:hint="eastAsia" w:ascii="仿宋" w:hAnsi="仿宋" w:eastAsia="仿宋"/>
          <w:color w:val="333333"/>
          <w:spacing w:val="8"/>
          <w:sz w:val="32"/>
          <w:szCs w:val="32"/>
          <w:shd w:val="clear" w:color="auto" w:fill="FFFFFF"/>
          <w:lang w:eastAsia="zh-CN"/>
        </w:rPr>
        <w:t>要</w:t>
      </w:r>
      <w:r>
        <w:rPr>
          <w:rFonts w:hint="eastAsia" w:ascii="仿宋" w:hAnsi="仿宋" w:eastAsia="仿宋"/>
          <w:color w:val="333333"/>
          <w:spacing w:val="8"/>
          <w:sz w:val="32"/>
          <w:szCs w:val="32"/>
          <w:shd w:val="clear" w:color="auto" w:fill="FFFFFF"/>
        </w:rPr>
        <w:t>合理地编制部门预算，预算要结合本部门的发展计划、职责，要确保部门预算编制真实、准确、完整，切合单位实际。要强化绩效管理考核，围绕绩效考核目标任务，明确责任人，强化责任意识，确保各项绩效考核指标保质保量完成。</w:t>
      </w:r>
    </w:p>
    <w:p>
      <w:pPr>
        <w:pStyle w:val="2"/>
        <w:spacing w:line="560" w:lineRule="exact"/>
        <w:ind w:left="0" w:leftChars="0" w:firstLine="640" w:firstLineChars="200"/>
        <w:outlineLvl w:val="0"/>
        <w:rPr>
          <w:rFonts w:hint="eastAsia" w:ascii="黑体" w:hAnsi="黑体" w:eastAsia="黑体" w:cs="仿宋_GB2312"/>
          <w:color w:val="000000"/>
          <w:sz w:val="32"/>
          <w:szCs w:val="32"/>
        </w:rPr>
      </w:pPr>
      <w:bookmarkStart w:id="2" w:name="_Toc11279_WPSOffice_Level1"/>
      <w:r>
        <w:rPr>
          <w:rFonts w:hint="eastAsia" w:ascii="黑体" w:hAnsi="黑体" w:eastAsia="黑体" w:cs="仿宋_GB2312"/>
          <w:color w:val="000000"/>
          <w:sz w:val="32"/>
          <w:szCs w:val="32"/>
        </w:rPr>
        <w:t>五、意见及建议</w:t>
      </w:r>
      <w:bookmarkEnd w:id="2"/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建议增加项目绩效方面培训。</w:t>
      </w:r>
    </w:p>
    <w:p>
      <w:pPr>
        <w:spacing w:line="560" w:lineRule="exact"/>
        <w:rPr>
          <w:rFonts w:ascii="仿宋" w:hAnsi="仿宋" w:eastAsia="仿宋" w:cs="仿宋_GB2312"/>
          <w:color w:val="000000"/>
          <w:sz w:val="32"/>
          <w:szCs w:val="32"/>
        </w:rPr>
      </w:pPr>
    </w:p>
    <w:p>
      <w:pPr>
        <w:spacing w:line="560" w:lineRule="exact"/>
        <w:ind w:firstLine="5760" w:firstLineChars="1800"/>
        <w:rPr>
          <w:rFonts w:ascii="仿宋" w:hAnsi="仿宋" w:eastAsia="仿宋" w:cs="仿宋_GB2312"/>
          <w:color w:val="000000"/>
        </w:rPr>
      </w:pPr>
      <w:r>
        <w:rPr>
          <w:rFonts w:hint="eastAsia" w:ascii="仿宋" w:hAnsi="仿宋" w:eastAsia="仿宋" w:cs="仿宋_GB2312"/>
          <w:color w:val="000000"/>
          <w:sz w:val="32"/>
          <w:szCs w:val="32"/>
          <w:lang w:val="en-US" w:eastAsia="zh-CN"/>
        </w:rPr>
        <w:t>2023</w:t>
      </w:r>
      <w:r>
        <w:rPr>
          <w:rFonts w:hint="eastAsia" w:ascii="仿宋" w:hAnsi="仿宋" w:eastAsia="仿宋" w:cs="仿宋_GB2312"/>
          <w:color w:val="000000"/>
          <w:sz w:val="32"/>
          <w:szCs w:val="32"/>
        </w:rPr>
        <w:t>年</w:t>
      </w:r>
      <w:r>
        <w:rPr>
          <w:rFonts w:hint="eastAsia" w:ascii="仿宋" w:hAnsi="仿宋" w:eastAsia="仿宋" w:cs="仿宋_GB2312"/>
          <w:color w:val="000000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_GB2312"/>
          <w:color w:val="000000"/>
          <w:sz w:val="32"/>
          <w:szCs w:val="32"/>
        </w:rPr>
        <w:t>月</w:t>
      </w:r>
      <w:r>
        <w:rPr>
          <w:rFonts w:hint="eastAsia" w:ascii="仿宋" w:hAnsi="仿宋" w:eastAsia="仿宋" w:cs="仿宋_GB2312"/>
          <w:color w:val="000000"/>
          <w:sz w:val="32"/>
          <w:szCs w:val="32"/>
          <w:lang w:val="en-US" w:eastAsia="zh-CN"/>
        </w:rPr>
        <w:t>20</w:t>
      </w:r>
      <w:r>
        <w:rPr>
          <w:rFonts w:hint="eastAsia" w:ascii="仿宋" w:hAnsi="仿宋" w:eastAsia="仿宋" w:cs="仿宋_GB2312"/>
          <w:color w:val="000000"/>
          <w:sz w:val="32"/>
          <w:szCs w:val="32"/>
        </w:rPr>
        <w:t>日</w:t>
      </w:r>
    </w:p>
    <w:p>
      <w:pPr>
        <w:rPr>
          <w:rFonts w:ascii="仿宋" w:hAnsi="仿宋" w:eastAsia="仿宋" w:cs="仿宋_GB2312"/>
        </w:rPr>
      </w:pPr>
    </w:p>
    <w:p>
      <w:pPr>
        <w:rPr>
          <w:rFonts w:ascii="仿宋" w:hAnsi="仿宋" w:eastAsia="仿宋"/>
        </w:rPr>
      </w:pPr>
    </w:p>
    <w:sectPr>
      <w:footerReference r:id="rId3" w:type="default"/>
      <w:pgSz w:w="11906" w:h="16838"/>
      <w:pgMar w:top="1418" w:right="1418" w:bottom="1134" w:left="1418" w:header="851" w:footer="992" w:gutter="0"/>
      <w:pgNumType w:start="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pict>
        <v:shape id="_x0000_s1025" o:spid="_x0000_s1025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pStyle w:val="4"/>
                </w:pPr>
                <w:r>
                  <w:rPr>
                    <w:rFonts w:hint="eastAsia"/>
                  </w:rPr>
                  <w:fldChar w:fldCharType="begin"/>
                </w:r>
                <w:r>
                  <w:rPr>
                    <w:rFonts w:hint="eastAsia"/>
                  </w:rPr>
                  <w:instrText xml:space="preserve"> PAGE  \* MERGEFORMAT </w:instrText>
                </w:r>
                <w:r>
                  <w:rPr>
                    <w:rFonts w:hint="eastAsia"/>
                  </w:rPr>
                  <w:fldChar w:fldCharType="separate"/>
                </w:r>
                <w:r>
                  <w:t>1</w:t>
                </w:r>
                <w:r>
                  <w:rPr>
                    <w:rFonts w:hint="eastAsia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3E11D6D"/>
    <w:multiLevelType w:val="singleLevel"/>
    <w:tmpl w:val="73E11D6D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NjFmNmFjYjA2ZTljNTRkMzdkOGE0NDZlYjhlYTNjNGYifQ=="/>
  </w:docVars>
  <w:rsids>
    <w:rsidRoot w:val="00464640"/>
    <w:rsid w:val="00057486"/>
    <w:rsid w:val="000F46BC"/>
    <w:rsid w:val="00464640"/>
    <w:rsid w:val="00467D22"/>
    <w:rsid w:val="005E59F1"/>
    <w:rsid w:val="006B6881"/>
    <w:rsid w:val="006F68F4"/>
    <w:rsid w:val="00703FB7"/>
    <w:rsid w:val="007544D3"/>
    <w:rsid w:val="007E339B"/>
    <w:rsid w:val="007F0BF0"/>
    <w:rsid w:val="009374CE"/>
    <w:rsid w:val="009527F9"/>
    <w:rsid w:val="00964A96"/>
    <w:rsid w:val="009D6237"/>
    <w:rsid w:val="00A635D9"/>
    <w:rsid w:val="00E24D76"/>
    <w:rsid w:val="00EB6248"/>
    <w:rsid w:val="36BE65D5"/>
    <w:rsid w:val="46E434E7"/>
    <w:rsid w:val="5B691F47"/>
    <w:rsid w:val="5E280709"/>
    <w:rsid w:val="65D636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1"/>
    <w:link w:val="9"/>
    <w:qFormat/>
    <w:uiPriority w:val="0"/>
    <w:pPr>
      <w:spacing w:after="0" w:line="600" w:lineRule="exact"/>
      <w:ind w:left="0" w:leftChars="0" w:firstLine="420" w:firstLineChars="200"/>
      <w:textAlignment w:val="center"/>
    </w:pPr>
    <w:rPr>
      <w:rFonts w:ascii="宋体" w:hAnsi="宋体"/>
      <w:color w:val="FF0000"/>
      <w:sz w:val="28"/>
      <w:szCs w:val="28"/>
    </w:rPr>
  </w:style>
  <w:style w:type="paragraph" w:styleId="3">
    <w:name w:val="Body Text Indent"/>
    <w:basedOn w:val="1"/>
    <w:link w:val="8"/>
    <w:semiHidden/>
    <w:unhideWhenUsed/>
    <w:uiPriority w:val="99"/>
    <w:pPr>
      <w:spacing w:after="120"/>
      <w:ind w:left="420" w:leftChars="200"/>
    </w:pPr>
  </w:style>
  <w:style w:type="paragraph" w:styleId="4">
    <w:name w:val="footer"/>
    <w:basedOn w:val="1"/>
    <w:link w:val="10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link w:val="12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正文文本缩进 Char"/>
    <w:basedOn w:val="7"/>
    <w:link w:val="3"/>
    <w:semiHidden/>
    <w:uiPriority w:val="99"/>
    <w:rPr>
      <w:rFonts w:ascii="Calibri" w:hAnsi="Calibri" w:eastAsia="宋体" w:cs="Times New Roman"/>
      <w:szCs w:val="24"/>
    </w:rPr>
  </w:style>
  <w:style w:type="character" w:customStyle="1" w:styleId="9">
    <w:name w:val="正文首行缩进 2 Char"/>
    <w:basedOn w:val="8"/>
    <w:link w:val="2"/>
    <w:uiPriority w:val="0"/>
    <w:rPr>
      <w:rFonts w:ascii="宋体" w:hAnsi="宋体"/>
      <w:color w:val="FF0000"/>
      <w:sz w:val="28"/>
      <w:szCs w:val="28"/>
    </w:rPr>
  </w:style>
  <w:style w:type="character" w:customStyle="1" w:styleId="10">
    <w:name w:val="页脚 Char"/>
    <w:basedOn w:val="7"/>
    <w:link w:val="4"/>
    <w:qFormat/>
    <w:uiPriority w:val="0"/>
    <w:rPr>
      <w:rFonts w:ascii="Calibri" w:hAnsi="Calibri" w:eastAsia="宋体" w:cs="Times New Roman"/>
      <w:sz w:val="18"/>
      <w:szCs w:val="24"/>
    </w:rPr>
  </w:style>
  <w:style w:type="paragraph" w:styleId="11">
    <w:name w:val="List Paragraph"/>
    <w:basedOn w:val="1"/>
    <w:qFormat/>
    <w:uiPriority w:val="34"/>
    <w:pPr>
      <w:ind w:firstLine="420" w:firstLineChars="200"/>
    </w:pPr>
  </w:style>
  <w:style w:type="character" w:customStyle="1" w:styleId="12">
    <w:name w:val="页眉 Char"/>
    <w:basedOn w:val="7"/>
    <w:link w:val="5"/>
    <w:semiHidden/>
    <w:uiPriority w:val="99"/>
    <w:rPr>
      <w:rFonts w:ascii="Calibri" w:hAnsi="Calibri" w:eastAsia="宋体" w:cs="Times New Roman"/>
      <w:sz w:val="18"/>
      <w:szCs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footer1.xml" Type="http://schemas.openxmlformats.org/officeDocument/2006/relationships/footer"/><Relationship Id="rId4" Target="theme/theme1.xml" Type="http://schemas.openxmlformats.org/officeDocument/2006/relationships/theme"/><Relationship Id="rId5" Target="../customXml/item1.xml" Type="http://schemas.openxmlformats.org/officeDocument/2006/relationships/customXml"/><Relationship Id="rId6" Target="numbering.xml" Type="http://schemas.openxmlformats.org/officeDocument/2006/relationships/numbering"/><Relationship Id="rId7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5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1786</Words>
  <Characters>1869</Characters>
  <Lines>9</Lines>
  <Paragraphs>2</Paragraphs>
  <TotalTime>23</TotalTime>
  <ScaleCrop>false</ScaleCrop>
  <LinksUpToDate>false</LinksUpToDate>
  <CharactersWithSpaces>1922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2023-03-06T02:21:00Z</dcterms:created>
  <dc:creator>user</dc:creator>
  <cp:lastModifiedBy>。。。</cp:lastModifiedBy>
  <cp:lastPrinted>2023-03-06T05:46:00Z</cp:lastPrinted>
  <dcterms:modified xsi:type="dcterms:W3CDTF">2023-03-31T07:31:12Z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2B21476A7DF040278C1F3A339727C223</vt:lpwstr>
  </property>
</Properties>
</file>