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72"/>
          <w:szCs w:val="72"/>
        </w:rPr>
      </w:pP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56"/>
          <w:szCs w:val="5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56"/>
          <w:szCs w:val="56"/>
        </w:rPr>
        <w:t>宁晋县</w:t>
      </w:r>
      <w:r>
        <w:rPr>
          <w:rFonts w:hint="eastAsia" w:ascii="方正小标宋简体" w:hAnsi="方正小标宋简体" w:eastAsia="方正小标宋简体" w:cs="方正小标宋简体"/>
          <w:sz w:val="56"/>
          <w:szCs w:val="56"/>
          <w:lang w:eastAsia="zh-CN"/>
        </w:rPr>
        <w:t>水利技术发展服务中心</w:t>
      </w:r>
    </w:p>
    <w:p>
      <w:pPr>
        <w:jc w:val="center"/>
        <w:rPr>
          <w:rFonts w:ascii="方正小标宋简体" w:hAnsi="方正小标宋简体" w:eastAsia="方正小标宋简体" w:cs="方正小标宋简体"/>
          <w:sz w:val="56"/>
          <w:szCs w:val="56"/>
        </w:rPr>
      </w:pPr>
      <w:r>
        <w:rPr>
          <w:rFonts w:hint="eastAsia" w:ascii="方正小标宋简体" w:hAnsi="方正小标宋简体" w:eastAsia="方正小标宋简体" w:cs="方正小标宋简体"/>
          <w:sz w:val="56"/>
          <w:szCs w:val="56"/>
        </w:rPr>
        <w:t>202</w:t>
      </w:r>
      <w:r>
        <w:rPr>
          <w:rFonts w:hint="eastAsia" w:ascii="方正小标宋简体" w:hAnsi="方正小标宋简体" w:eastAsia="方正小标宋简体" w:cs="方正小标宋简体"/>
          <w:sz w:val="56"/>
          <w:szCs w:val="56"/>
          <w:lang w:val="en-US" w:eastAsia="zh-CN"/>
        </w:rPr>
        <w:t>1</w:t>
      </w:r>
      <w:r>
        <w:rPr>
          <w:rFonts w:hint="eastAsia" w:ascii="方正小标宋简体" w:hAnsi="方正小标宋简体" w:eastAsia="方正小标宋简体" w:cs="方正小标宋简体"/>
          <w:sz w:val="56"/>
          <w:szCs w:val="56"/>
        </w:rPr>
        <w:t>年部门预算信息公开</w:t>
      </w:r>
    </w:p>
    <w:p>
      <w:pPr>
        <w:jc w:val="center"/>
        <w:rPr>
          <w:rFonts w:ascii="方正小标宋简体" w:hAnsi="方正小标宋简体" w:eastAsia="方正小标宋简体" w:cs="方正小标宋简体"/>
          <w:sz w:val="52"/>
          <w:szCs w:val="52"/>
        </w:rPr>
      </w:pPr>
    </w:p>
    <w:p>
      <w:pPr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ind w:firstLine="1800" w:firstLineChars="500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宁晋县水利技术发展服务中心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编制</w:t>
      </w:r>
    </w:p>
    <w:p>
      <w:pPr>
        <w:rPr>
          <w:rFonts w:ascii="宋体-方正超大字符集" w:hAnsi="宋体-方正超大字符集" w:eastAsia="宋体-方正超大字符集" w:cs="宋体-方正超大字符集"/>
          <w:b/>
          <w:bCs/>
          <w:sz w:val="36"/>
          <w:szCs w:val="36"/>
        </w:rPr>
      </w:pPr>
    </w:p>
    <w:p>
      <w:pPr>
        <w:spacing w:line="560" w:lineRule="exact"/>
        <w:rPr>
          <w:rFonts w:ascii="宋体-方正超大字符集" w:hAnsi="宋体-方正超大字符集" w:eastAsia="宋体-方正超大字符集" w:cs="宋体-方正超大字符集"/>
          <w:b/>
          <w:bCs/>
          <w:sz w:val="36"/>
          <w:szCs w:val="36"/>
        </w:rPr>
      </w:pPr>
    </w:p>
    <w:p>
      <w:pPr>
        <w:jc w:val="center"/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  <w:lang w:eastAsia="zh-CN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</w:rPr>
        <w:t>宁晋县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  <w:lang w:eastAsia="zh-CN"/>
        </w:rPr>
        <w:t>水利技术发展服务中心</w:t>
      </w:r>
    </w:p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  <w:lang w:val="en-US" w:eastAsia="zh-CN"/>
        </w:rPr>
        <w:t>1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</w:rPr>
        <w:t>年部门预算信息公开目录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年部门预算公开表</w:t>
      </w:r>
    </w:p>
    <w:p>
      <w:pPr>
        <w:numPr>
          <w:ilvl w:val="0"/>
          <w:numId w:val="1"/>
        </w:num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部门预算收支总表</w:t>
      </w:r>
    </w:p>
    <w:p>
      <w:pPr>
        <w:numPr>
          <w:ilvl w:val="0"/>
          <w:numId w:val="1"/>
        </w:num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部门预算收入总表</w:t>
      </w:r>
    </w:p>
    <w:p>
      <w:pPr>
        <w:numPr>
          <w:ilvl w:val="0"/>
          <w:numId w:val="1"/>
        </w:num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部门预算支出总表</w:t>
      </w:r>
    </w:p>
    <w:p>
      <w:pPr>
        <w:numPr>
          <w:ilvl w:val="0"/>
          <w:numId w:val="1"/>
        </w:num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部门预算财政拨款收支总表</w:t>
      </w:r>
    </w:p>
    <w:p>
      <w:pPr>
        <w:numPr>
          <w:ilvl w:val="0"/>
          <w:numId w:val="1"/>
        </w:num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部门预算一般公共预算财政拨款支出表</w:t>
      </w:r>
    </w:p>
    <w:p>
      <w:pPr>
        <w:numPr>
          <w:ilvl w:val="0"/>
          <w:numId w:val="1"/>
        </w:num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部门预算一般公共预算财政拨款基本支出表</w:t>
      </w:r>
    </w:p>
    <w:p>
      <w:pPr>
        <w:numPr>
          <w:ilvl w:val="0"/>
          <w:numId w:val="1"/>
        </w:num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部门预算政府基金预算财政拨款支出表</w:t>
      </w:r>
    </w:p>
    <w:p>
      <w:pPr>
        <w:numPr>
          <w:ilvl w:val="0"/>
          <w:numId w:val="1"/>
        </w:num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部门预算国有资本经营预算财政拨款支出表</w:t>
      </w:r>
    </w:p>
    <w:p>
      <w:pPr>
        <w:numPr>
          <w:ilvl w:val="0"/>
          <w:numId w:val="1"/>
        </w:num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部门预算财政拨款“三公”经费支出表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年预算说明</w:t>
      </w:r>
    </w:p>
    <w:p>
      <w:pPr>
        <w:numPr>
          <w:ilvl w:val="0"/>
          <w:numId w:val="2"/>
        </w:num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部门职责、机构设置等基本情况</w:t>
      </w:r>
    </w:p>
    <w:p>
      <w:pPr>
        <w:ind w:firstLine="64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2、部门预算安排总体情况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3、机关运行经费预算安排情况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4、财政拨款“三公”经费预算安排情况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5、绩效预算信息情况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7、国有资产信息情况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8、名词解释</w:t>
      </w:r>
    </w:p>
    <w:p>
      <w:pPr>
        <w:widowControl/>
        <w:spacing w:line="600" w:lineRule="atLeas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9、其他需要说明的事项</w:t>
      </w:r>
    </w:p>
    <w:p>
      <w:pPr>
        <w:widowControl/>
        <w:spacing w:line="600" w:lineRule="atLeast"/>
        <w:jc w:val="center"/>
        <w:rPr>
          <w:rFonts w:ascii="仿宋" w:hAnsi="仿宋" w:eastAsia="仿宋" w:cs="宋体"/>
          <w:b/>
          <w:kern w:val="0"/>
          <w:sz w:val="44"/>
          <w:szCs w:val="44"/>
        </w:rPr>
      </w:pPr>
    </w:p>
    <w:p>
      <w:pPr>
        <w:widowControl/>
        <w:spacing w:line="600" w:lineRule="atLeast"/>
        <w:jc w:val="center"/>
        <w:rPr>
          <w:rFonts w:hint="eastAsia" w:ascii="仿宋" w:hAnsi="仿宋" w:eastAsia="仿宋" w:cs="宋体"/>
          <w:b/>
          <w:kern w:val="0"/>
          <w:sz w:val="44"/>
          <w:szCs w:val="44"/>
          <w:lang w:eastAsia="zh-CN"/>
        </w:rPr>
      </w:pPr>
      <w:r>
        <w:rPr>
          <w:rFonts w:hint="eastAsia" w:ascii="仿宋" w:hAnsi="仿宋" w:eastAsia="仿宋" w:cs="宋体"/>
          <w:b/>
          <w:kern w:val="0"/>
          <w:sz w:val="44"/>
          <w:szCs w:val="44"/>
          <w:lang w:eastAsia="zh-CN"/>
        </w:rPr>
        <w:t>宁晋县水利技术发展服务中心</w:t>
      </w:r>
    </w:p>
    <w:p>
      <w:pPr>
        <w:widowControl/>
        <w:spacing w:line="600" w:lineRule="atLeast"/>
        <w:jc w:val="center"/>
        <w:rPr>
          <w:rFonts w:ascii="仿宋" w:hAnsi="仿宋" w:eastAsia="仿宋"/>
          <w:b/>
          <w:sz w:val="44"/>
          <w:szCs w:val="44"/>
        </w:rPr>
      </w:pPr>
      <w:r>
        <w:rPr>
          <w:rFonts w:hint="eastAsia" w:ascii="仿宋" w:hAnsi="仿宋" w:eastAsia="仿宋" w:cs="宋体"/>
          <w:b/>
          <w:kern w:val="0"/>
          <w:sz w:val="44"/>
          <w:szCs w:val="44"/>
        </w:rPr>
        <w:t>202</w:t>
      </w:r>
      <w:r>
        <w:rPr>
          <w:rFonts w:hint="eastAsia" w:ascii="仿宋" w:hAnsi="仿宋" w:eastAsia="仿宋" w:cs="宋体"/>
          <w:b/>
          <w:kern w:val="0"/>
          <w:sz w:val="44"/>
          <w:szCs w:val="44"/>
          <w:lang w:val="en-US" w:eastAsia="zh-CN"/>
        </w:rPr>
        <w:t>1</w:t>
      </w:r>
      <w:r>
        <w:rPr>
          <w:rFonts w:hint="eastAsia" w:ascii="仿宋" w:hAnsi="仿宋" w:eastAsia="仿宋" w:cs="宋体"/>
          <w:b/>
          <w:kern w:val="0"/>
          <w:sz w:val="44"/>
          <w:szCs w:val="44"/>
        </w:rPr>
        <w:t>年度部门预算信息公开情况说明</w:t>
      </w:r>
    </w:p>
    <w:p>
      <w:pPr>
        <w:widowControl/>
        <w:spacing w:line="600" w:lineRule="atLeast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宋体" w:hAnsi="宋体" w:eastAsia="仿宋" w:cs="宋体"/>
          <w:color w:val="000000"/>
          <w:kern w:val="0"/>
          <w:sz w:val="32"/>
          <w:szCs w:val="32"/>
        </w:rPr>
        <w:t>   </w:t>
      </w:r>
    </w:p>
    <w:p>
      <w:pPr>
        <w:widowControl/>
        <w:spacing w:line="600" w:lineRule="atLeast"/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按照《预算法》、《地方预决算公开操作规程》和《河北省省级预算公开办法》规定，现将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水利技术发展服务中心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2021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年部门预算公开如下：</w:t>
      </w:r>
    </w:p>
    <w:p>
      <w:pPr>
        <w:widowControl/>
        <w:ind w:firstLine="640"/>
        <w:jc w:val="left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</w:rPr>
        <w:t>一、部门职责、机构设置等基本情况</w:t>
      </w:r>
    </w:p>
    <w:p>
      <w:pPr>
        <w:widowControl/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部门职责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宁晋县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水利技术发展服务中心</w:t>
      </w:r>
      <w:r>
        <w:rPr>
          <w:rFonts w:hint="eastAsia" w:ascii="仿宋_GB2312" w:hAnsi="仿宋_GB2312" w:eastAsia="仿宋_GB2312" w:cs="仿宋_GB2312"/>
          <w:sz w:val="32"/>
          <w:szCs w:val="32"/>
        </w:rPr>
        <w:t>是2012年7月成立的正科级事业单位。内设四个机构：一是综合办公室，二是调水管理科，三是城区供水科，四是农村供水科。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主要职责：一是保障城市供水；二是管理乡（镇）联村供水站（厂），保障乡村居民安全饮水；三是负责南水北调在我县境内的用水管理；四是协调管理其他规模用水；五是承办县政府交办的其他事项。</w:t>
      </w:r>
    </w:p>
    <w:p>
      <w:pPr>
        <w:widowControl/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内设机构</w:t>
      </w:r>
    </w:p>
    <w:p>
      <w:pPr>
        <w:widowControl/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 xml:space="preserve">根据主要职责，水业集团设4个内设机构： </w:t>
      </w:r>
    </w:p>
    <w:p>
      <w:pPr>
        <w:widowControl/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（一）综合办公室</w:t>
      </w:r>
    </w:p>
    <w:p>
      <w:pPr>
        <w:widowControl/>
        <w:ind w:firstLine="72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负责集团党建工作，综合协调、对外联络、行政后勤管理；负责文电、会务、机要、档案管理；负责保密、宣传、信息、信访工作；负责人事管理、机构编制、劳动工资、社会保险和教育培训等工作；负责收支预算编制、财务决算、资金管理；负责资产管理及保值增值；负责制定发展规划和年度计划；负责内部审计工作。</w:t>
      </w:r>
    </w:p>
    <w:p>
      <w:pPr>
        <w:widowControl/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（二）调水管理科</w:t>
      </w:r>
    </w:p>
    <w:p>
      <w:pPr>
        <w:widowControl/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负责南水北调水厂及以下配套工程的立项、设计和建设；协调有关规模用水；制定年度用水计划，申报有关工程项目等工作。</w:t>
      </w:r>
    </w:p>
    <w:p>
      <w:pPr>
        <w:widowControl/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（三）城区供水科</w:t>
      </w:r>
    </w:p>
    <w:p>
      <w:pPr>
        <w:widowControl/>
        <w:ind w:firstLine="64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负责城区水厂管理和城区供水稽查工作。</w:t>
      </w:r>
    </w:p>
    <w:p>
      <w:pPr>
        <w:widowControl/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（四）农村供水科</w:t>
      </w:r>
    </w:p>
    <w:p>
      <w:pPr>
        <w:spacing w:line="560" w:lineRule="exact"/>
        <w:ind w:left="638" w:leftChars="304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负责农村联村供水站（厂）管理和农村供水稽查工作。</w:t>
      </w:r>
      <w:r>
        <w:rPr>
          <w:rFonts w:hint="eastAsia" w:ascii="仿宋_GB2312" w:hAnsi="仿宋_GB2312" w:eastAsia="仿宋_GB2312" w:cs="仿宋_GB2312"/>
          <w:sz w:val="32"/>
          <w:szCs w:val="32"/>
        </w:rPr>
        <w:t>部门预算单位构成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从预算单位构成看，宁晋县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水利技术发展服务中心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年度部门预算属事业单位预算。</w:t>
      </w:r>
    </w:p>
    <w:p>
      <w:pPr>
        <w:jc w:val="center"/>
        <w:outlineLvl w:val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部门机构设置情况</w:t>
      </w:r>
    </w:p>
    <w:tbl>
      <w:tblPr>
        <w:tblStyle w:val="4"/>
        <w:tblW w:w="9000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00"/>
        <w:gridCol w:w="1785"/>
        <w:gridCol w:w="1650"/>
        <w:gridCol w:w="2265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</w:trPr>
        <w:tc>
          <w:tcPr>
            <w:tcW w:w="3300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32"/>
                <w:szCs w:val="32"/>
              </w:rPr>
              <w:t>单位名称</w:t>
            </w:r>
          </w:p>
        </w:tc>
        <w:tc>
          <w:tcPr>
            <w:tcW w:w="1785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32"/>
                <w:szCs w:val="32"/>
              </w:rPr>
              <w:t>单位性质</w:t>
            </w:r>
          </w:p>
        </w:tc>
        <w:tc>
          <w:tcPr>
            <w:tcW w:w="1650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32"/>
                <w:szCs w:val="32"/>
              </w:rPr>
              <w:t>单位规格</w:t>
            </w:r>
          </w:p>
        </w:tc>
        <w:tc>
          <w:tcPr>
            <w:tcW w:w="2265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32"/>
                <w:szCs w:val="32"/>
              </w:rP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</w:trPr>
        <w:tc>
          <w:tcPr>
            <w:tcW w:w="3300" w:type="dxa"/>
            <w:vMerge w:val="continue"/>
            <w:vAlign w:val="center"/>
          </w:tcPr>
          <w:p>
            <w:pPr>
              <w:spacing w:line="300" w:lineRule="exact"/>
              <w:jc w:val="center"/>
              <w:outlineLvl w:val="0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785" w:type="dxa"/>
            <w:vMerge w:val="continue"/>
            <w:vAlign w:val="center"/>
          </w:tcPr>
          <w:p>
            <w:pPr>
              <w:spacing w:line="300" w:lineRule="exact"/>
              <w:jc w:val="center"/>
              <w:outlineLvl w:val="0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650" w:type="dxa"/>
            <w:vMerge w:val="continue"/>
            <w:vAlign w:val="center"/>
          </w:tcPr>
          <w:p>
            <w:pPr>
              <w:spacing w:line="300" w:lineRule="exact"/>
              <w:jc w:val="center"/>
              <w:outlineLvl w:val="0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265" w:type="dxa"/>
            <w:vMerge w:val="continue"/>
            <w:vAlign w:val="center"/>
          </w:tcPr>
          <w:p>
            <w:pPr>
              <w:spacing w:line="300" w:lineRule="exact"/>
              <w:jc w:val="center"/>
              <w:outlineLvl w:val="0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330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宁晋县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水利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技术发展服务中心</w:t>
            </w:r>
          </w:p>
        </w:tc>
        <w:tc>
          <w:tcPr>
            <w:tcW w:w="1785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事业</w:t>
            </w:r>
          </w:p>
        </w:tc>
        <w:tc>
          <w:tcPr>
            <w:tcW w:w="1650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正科级</w:t>
            </w:r>
          </w:p>
        </w:tc>
        <w:tc>
          <w:tcPr>
            <w:tcW w:w="2265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财政拨款</w:t>
            </w:r>
          </w:p>
        </w:tc>
      </w:tr>
    </w:tbl>
    <w:p>
      <w:pPr>
        <w:widowControl/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widowControl/>
        <w:ind w:firstLine="643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</w:rPr>
        <w:t>二、部门预算安排总体情况</w:t>
      </w:r>
    </w:p>
    <w:p>
      <w:pPr>
        <w:widowControl/>
        <w:ind w:firstLine="640"/>
        <w:jc w:val="left"/>
        <w:rPr>
          <w:rFonts w:ascii="仿宋_GB2312" w:hAnsi="仿宋_GB2312" w:eastAsia="仿宋_GB2312" w:cs="仿宋_GB2312"/>
          <w:b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</w:rPr>
        <w:t>1、收入说明</w:t>
      </w:r>
    </w:p>
    <w:p>
      <w:pPr>
        <w:widowControl/>
        <w:ind w:firstLine="64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根据宁晋县财政局《关于202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年县级部门预算的批复》（宁财字〔202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号），202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水利技术发展服务中心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预算总收入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2113.1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万元，其中一般公共预算拨款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2113.1万元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，政府性基金预算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拨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款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0元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。</w:t>
      </w:r>
    </w:p>
    <w:p>
      <w:pPr>
        <w:widowControl/>
        <w:numPr>
          <w:ilvl w:val="0"/>
          <w:numId w:val="2"/>
        </w:numPr>
        <w:ind w:firstLine="643" w:firstLineChars="200"/>
        <w:jc w:val="left"/>
        <w:rPr>
          <w:rFonts w:ascii="仿宋_GB2312" w:hAnsi="仿宋_GB2312" w:eastAsia="仿宋_GB2312" w:cs="仿宋_GB2312"/>
          <w:b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</w:rPr>
        <w:t>支出说明</w:t>
      </w:r>
    </w:p>
    <w:p>
      <w:pPr>
        <w:widowControl/>
        <w:ind w:firstLine="640" w:firstLineChars="20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水利技术发展服务中心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预算总支出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2113.1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万元，其中基本支出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59.38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万元，项目支出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2053.72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万元。</w:t>
      </w:r>
    </w:p>
    <w:p>
      <w:pPr>
        <w:widowControl/>
        <w:ind w:firstLine="643" w:firstLineChars="200"/>
        <w:jc w:val="left"/>
        <w:rPr>
          <w:rFonts w:ascii="仿宋_GB2312" w:hAnsi="仿宋_GB2312" w:eastAsia="仿宋_GB2312" w:cs="仿宋_GB2312"/>
          <w:b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</w:rPr>
        <w:t>3、较上年增减情况</w:t>
      </w:r>
    </w:p>
    <w:p>
      <w:pPr>
        <w:widowControl/>
        <w:ind w:firstLine="640" w:firstLineChars="200"/>
        <w:jc w:val="left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</w:rPr>
        <w:t>202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</w:rPr>
        <w:t>年本部门预算总支出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  <w:lang w:val="en-US" w:eastAsia="zh-CN"/>
        </w:rPr>
        <w:t>2113.1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</w:rPr>
        <w:t>万元，20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  <w:lang w:val="en-US" w:eastAsia="zh-CN"/>
        </w:rPr>
        <w:t>20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</w:rPr>
        <w:t>年部门预算总支出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  <w:lang w:val="en-US" w:eastAsia="zh-CN"/>
        </w:rPr>
        <w:t>5057.43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</w:rPr>
        <w:t>万元，较20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  <w:lang w:val="en-US" w:eastAsia="zh-CN"/>
        </w:rPr>
        <w:t>20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</w:rPr>
        <w:t>年预算总支出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  <w:lang w:eastAsia="zh-CN"/>
        </w:rPr>
        <w:t>减少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  <w:lang w:val="en-US" w:eastAsia="zh-CN"/>
        </w:rPr>
        <w:t>2944.33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</w:rPr>
        <w:t>万元。其中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  <w:lang w:eastAsia="zh-CN"/>
        </w:rPr>
        <w:t>基本支出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</w:rPr>
        <w:t>：工资支出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  <w:lang w:val="en-US" w:eastAsia="zh-CN"/>
        </w:rPr>
        <w:t>56.63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</w:rPr>
        <w:t>万元，商品和服务支出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  <w:lang w:val="en-US" w:eastAsia="zh-CN"/>
        </w:rPr>
        <w:t>2.75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</w:rPr>
        <w:t>万元，合计较20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  <w:lang w:val="en-US" w:eastAsia="zh-CN"/>
        </w:rPr>
        <w:t>20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</w:rPr>
        <w:t>年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  <w:lang w:eastAsia="zh-CN"/>
        </w:rPr>
        <w:t>减少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  <w:lang w:val="en-US" w:eastAsia="zh-CN"/>
        </w:rPr>
        <w:t>5.07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</w:rPr>
        <w:t>万元；项目支出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  <w:lang w:eastAsia="zh-CN"/>
        </w:rPr>
        <w:t>主要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</w:rPr>
        <w:t>为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  <w:lang w:eastAsia="zh-CN"/>
        </w:rPr>
        <w:t>各类供水管道款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  <w:lang w:val="en-US" w:eastAsia="zh-CN"/>
        </w:rPr>
        <w:t>545万元，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</w:rPr>
        <w:t>水处理费1502万元，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  <w:lang w:eastAsia="zh-CN"/>
        </w:rPr>
        <w:t>奖金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  <w:lang w:val="en-US" w:eastAsia="zh-CN"/>
        </w:rPr>
        <w:t>6.42万元，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</w:rPr>
        <w:t>合计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  <w:lang w:val="en-US" w:eastAsia="zh-CN"/>
        </w:rPr>
        <w:t>2053.72万元，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</w:rPr>
        <w:t>较20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  <w:lang w:val="en-US" w:eastAsia="zh-CN"/>
        </w:rPr>
        <w:t>20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</w:rPr>
        <w:t>年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  <w:lang w:eastAsia="zh-CN"/>
        </w:rPr>
        <w:t>减少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  <w:lang w:val="en-US" w:eastAsia="zh-CN"/>
        </w:rPr>
        <w:t>2935.95</w:t>
      </w:r>
      <w:r>
        <w:rPr>
          <w:rFonts w:hint="eastAsia" w:ascii="仿宋" w:hAnsi="仿宋" w:eastAsia="仿宋" w:cs="仿宋"/>
          <w:color w:val="030303"/>
          <w:sz w:val="32"/>
          <w:szCs w:val="32"/>
          <w:shd w:val="clear" w:color="auto" w:fill="FFFFFF"/>
        </w:rPr>
        <w:t>万元。</w:t>
      </w:r>
    </w:p>
    <w:p>
      <w:pPr>
        <w:widowControl/>
        <w:ind w:firstLine="640"/>
        <w:jc w:val="left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</w:rPr>
        <w:t>三、机关运行经费预算安排情况</w:t>
      </w:r>
    </w:p>
    <w:p>
      <w:pPr>
        <w:widowControl/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水利技术发展服务中心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年日常公用经费共计安排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2.75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万元。</w:t>
      </w:r>
    </w:p>
    <w:p>
      <w:pPr>
        <w:widowControl/>
        <w:ind w:firstLine="640"/>
        <w:jc w:val="left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</w:rPr>
        <w:t>四、财政拨款“三公”经费预算安排情况</w:t>
      </w:r>
    </w:p>
    <w:p>
      <w:pPr>
        <w:widowControl/>
        <w:ind w:firstLine="64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无财政拨款“三公”经费预算安排，后附空表。</w:t>
      </w:r>
    </w:p>
    <w:p>
      <w:pPr>
        <w:widowControl/>
        <w:ind w:firstLine="640"/>
        <w:jc w:val="left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</w:rPr>
        <w:t>五、绩效预算信息情况</w:t>
      </w:r>
    </w:p>
    <w:p>
      <w:pPr>
        <w:ind w:firstLine="643" w:firstLineChars="200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总体目标：</w:t>
      </w:r>
    </w:p>
    <w:p>
      <w:pPr>
        <w:numPr>
          <w:ilvl w:val="0"/>
          <w:numId w:val="3"/>
        </w:num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加强水质检测，做好安全供水，确保水质达标率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100%。</w:t>
      </w:r>
    </w:p>
    <w:p>
      <w:pPr>
        <w:numPr>
          <w:ilvl w:val="0"/>
          <w:numId w:val="3"/>
        </w:num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配合水务局一起全力推进城乡供水水源置换项目的立项、征迁、协调和实施工作，确保按时间节点建成项目，发挥工程效益。</w:t>
      </w:r>
    </w:p>
    <w:p>
      <w:pPr>
        <w:numPr>
          <w:ilvl w:val="0"/>
          <w:numId w:val="3"/>
        </w:num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在完成2020年10个城中村和大曹庄工业园27家企业水源切换的基础上，做好宁纺集团、书香江南城等生活小区的水源切换和自备井关停工作，进一步提高南水北调引江水的消纳能力。</w:t>
      </w:r>
    </w:p>
    <w:p>
      <w:pPr>
        <w:numPr>
          <w:ilvl w:val="0"/>
          <w:numId w:val="3"/>
        </w:num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完成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县委县政府交办的其他工作。</w:t>
      </w:r>
    </w:p>
    <w:p>
      <w:pPr>
        <w:ind w:firstLine="643" w:firstLineChars="200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职责分类绩效目标：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城乡供水管理与供水基础设施建设。保障宁晋县城乡安全供水，负责南水北调在我县境内的用水管理，制定年度用水计划，进行供水基础设施建设。保障城乡居民安全饮水和生产用水，为城乡经济发展奠定良好基础。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城市供水管理及供水设施建设。保障城区供水的安全，使水质、水压达到饮用水标准，协调南水北调在我县境内的用水管理，进行供水管网工程的设计建设。保障城区供水安全，提高城区居民节水意识，加大节水改造力度，使饮用水合格率达到饮用水标准。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3、农村饮用水管理。实施农村集中供水，解决农村居民饮水安全问题。搞好节约用水宣传，饮用水水质达到国家饮用水标准。                     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4、供水政务管理。履行机关日常管理职责。按照《宁晋县城区供水专项规划》和宁晋县供水管理办法，使供水工作安全有序。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、综合业务管理。制定宁晋县供水管理办法，组织开展全县供水行业安全供水工作，协调推动、普查统计、督促指导、业务监管、法制宣传、处理水事纠纷，监督检查、人事管理及其他依法行政管理活动。承办县委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 w:cs="仿宋"/>
          <w:sz w:val="32"/>
          <w:szCs w:val="32"/>
        </w:rPr>
        <w:t>政府交办的其他事项等行政管理事项。依法依规完成工作任务，推进科学决策。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6、综合事务管理。加强机关事务性管理，开展机关自身能力建设。确保机关工作正常运行。</w:t>
      </w:r>
    </w:p>
    <w:p>
      <w:pPr>
        <w:tabs>
          <w:tab w:val="left" w:pos="5044"/>
        </w:tabs>
        <w:ind w:firstLine="643" w:firstLineChars="200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实现年度发展规划目标的保障措施</w:t>
      </w:r>
    </w:p>
    <w:p>
      <w:pPr>
        <w:tabs>
          <w:tab w:val="left" w:pos="5044"/>
        </w:tabs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1、在供水工作中进一步发挥主观能动性，提升工作效率，为全面完成全年工作任务目标作出应有的贡献。</w:t>
      </w:r>
    </w:p>
    <w:p>
      <w:pPr>
        <w:widowControl/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2、严格遵守工作纪律和生活纪律，确保工作顺利开展。</w:t>
      </w:r>
    </w:p>
    <w:p>
      <w:pPr>
        <w:widowControl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3、进</w:t>
      </w:r>
      <w:r>
        <w:rPr>
          <w:rFonts w:hint="eastAsia" w:ascii="仿宋" w:hAnsi="仿宋" w:eastAsia="仿宋" w:cs="仿宋"/>
          <w:kern w:val="0"/>
          <w:sz w:val="32"/>
          <w:szCs w:val="32"/>
        </w:rPr>
        <w:t>一步完善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仿宋"/>
          <w:kern w:val="0"/>
          <w:sz w:val="32"/>
          <w:szCs w:val="32"/>
        </w:rPr>
        <w:t>后勤服务工作，为正常运转提供有力的保障。</w:t>
      </w:r>
    </w:p>
    <w:p>
      <w:pPr>
        <w:widowControl/>
        <w:ind w:firstLine="643"/>
        <w:jc w:val="left"/>
        <w:rPr>
          <w:rFonts w:ascii="仿宋_GB2312" w:hAnsi="仿宋_GB2312" w:eastAsia="仿宋_GB2312" w:cs="仿宋_GB2312"/>
          <w:b/>
          <w:kern w:val="0"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</w:rPr>
        <w:t>“部门职责-工作活动”绩效目标指标明细表详见下表。</w:t>
      </w:r>
    </w:p>
    <w:p>
      <w:pPr>
        <w:widowControl/>
        <w:ind w:firstLine="643"/>
        <w:jc w:val="left"/>
        <w:rPr>
          <w:rFonts w:ascii="仿宋" w:hAnsi="仿宋" w:eastAsia="仿宋" w:cs="宋体"/>
          <w:b/>
          <w:kern w:val="0"/>
          <w:sz w:val="32"/>
          <w:szCs w:val="32"/>
        </w:rPr>
      </w:pPr>
    </w:p>
    <w:tbl>
      <w:tblPr>
        <w:tblStyle w:val="4"/>
        <w:tblW w:w="15462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4"/>
        <w:gridCol w:w="1276"/>
        <w:gridCol w:w="4678"/>
        <w:gridCol w:w="2481"/>
        <w:gridCol w:w="1788"/>
        <w:gridCol w:w="849"/>
        <w:gridCol w:w="851"/>
        <w:gridCol w:w="850"/>
        <w:gridCol w:w="775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914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职责活动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年度预算数</w:t>
            </w:r>
          </w:p>
        </w:tc>
        <w:tc>
          <w:tcPr>
            <w:tcW w:w="4678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内容描述</w:t>
            </w:r>
          </w:p>
        </w:tc>
        <w:tc>
          <w:tcPr>
            <w:tcW w:w="248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绩效目标</w:t>
            </w:r>
          </w:p>
        </w:tc>
        <w:tc>
          <w:tcPr>
            <w:tcW w:w="1788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绩效指标</w:t>
            </w:r>
          </w:p>
        </w:tc>
        <w:tc>
          <w:tcPr>
            <w:tcW w:w="3325" w:type="dxa"/>
            <w:gridSpan w:val="4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评价标准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914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4678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248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788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84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优</w:t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良</w:t>
            </w:r>
          </w:p>
        </w:tc>
        <w:tc>
          <w:tcPr>
            <w:tcW w:w="850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中</w:t>
            </w:r>
          </w:p>
        </w:tc>
        <w:tc>
          <w:tcPr>
            <w:tcW w:w="77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14" w:type="dxa"/>
            <w:shd w:val="clear" w:color="auto" w:fill="auto"/>
            <w:vAlign w:val="center"/>
          </w:tcPr>
          <w:p>
            <w:pPr>
              <w:spacing w:line="300" w:lineRule="exact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城乡供水管理与供水基础设施建设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hint="default" w:ascii="仿宋" w:hAnsi="仿宋" w:eastAsia="仿宋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2053.72</w:t>
            </w:r>
          </w:p>
        </w:tc>
        <w:tc>
          <w:tcPr>
            <w:tcW w:w="4678" w:type="dxa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保障宁晋县城乡安全供水，负责南水北调在我县境内的用水管理，制定年度用水计划，进行供水基础设施建设。</w:t>
            </w:r>
          </w:p>
        </w:tc>
        <w:tc>
          <w:tcPr>
            <w:tcW w:w="2481" w:type="dxa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保障城乡居民安全饮水和生产用水，为城乡经济发展奠定良好基础。</w:t>
            </w:r>
          </w:p>
        </w:tc>
        <w:tc>
          <w:tcPr>
            <w:tcW w:w="1788" w:type="dxa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84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77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14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城市供水管理及供水设施建设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hint="default" w:ascii="仿宋" w:hAnsi="仿宋" w:eastAsia="仿宋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2053.72</w:t>
            </w:r>
          </w:p>
        </w:tc>
        <w:tc>
          <w:tcPr>
            <w:tcW w:w="4678" w:type="dxa"/>
            <w:vMerge w:val="restart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保障城区供水的安全，使水质、水压达到饮用水标准，协调南水北调在我县境内的用水管理，进行供水管网工程的设计建设。</w:t>
            </w:r>
          </w:p>
        </w:tc>
        <w:tc>
          <w:tcPr>
            <w:tcW w:w="2481" w:type="dxa"/>
            <w:vMerge w:val="restart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保障城区供水安全，提高城区居民节水意识，加大节水改造力度，使饮用水合格率达到饮用水标准。</w:t>
            </w:r>
          </w:p>
        </w:tc>
        <w:tc>
          <w:tcPr>
            <w:tcW w:w="1788" w:type="dxa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完成供水合格率</w:t>
            </w:r>
          </w:p>
        </w:tc>
        <w:tc>
          <w:tcPr>
            <w:tcW w:w="84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100%</w:t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≥</w:t>
            </w:r>
            <w:r>
              <w:rPr>
                <w:rFonts w:ascii="仿宋" w:hAnsi="仿宋" w:eastAsia="仿宋"/>
                <w:szCs w:val="21"/>
              </w:rPr>
              <w:t>90%</w:t>
            </w:r>
          </w:p>
        </w:tc>
        <w:tc>
          <w:tcPr>
            <w:tcW w:w="850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≥</w:t>
            </w:r>
            <w:r>
              <w:rPr>
                <w:rFonts w:ascii="仿宋" w:hAnsi="仿宋" w:eastAsia="仿宋"/>
                <w:szCs w:val="21"/>
              </w:rPr>
              <w:t>80%</w:t>
            </w:r>
          </w:p>
        </w:tc>
        <w:tc>
          <w:tcPr>
            <w:tcW w:w="77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&lt;70%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14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rPr>
                <w:rFonts w:ascii="仿宋" w:hAnsi="仿宋" w:eastAsia="仿宋"/>
                <w:b/>
                <w:szCs w:val="21"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4678" w:type="dxa"/>
            <w:vMerge w:val="continue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2481" w:type="dxa"/>
            <w:vMerge w:val="continue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788" w:type="dxa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供水水质检测合格率</w:t>
            </w:r>
          </w:p>
        </w:tc>
        <w:tc>
          <w:tcPr>
            <w:tcW w:w="84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100%</w:t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≥</w:t>
            </w:r>
            <w:r>
              <w:rPr>
                <w:rFonts w:ascii="仿宋" w:hAnsi="仿宋" w:eastAsia="仿宋"/>
                <w:szCs w:val="21"/>
              </w:rPr>
              <w:t>90%</w:t>
            </w:r>
          </w:p>
        </w:tc>
        <w:tc>
          <w:tcPr>
            <w:tcW w:w="850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≥</w:t>
            </w:r>
            <w:r>
              <w:rPr>
                <w:rFonts w:ascii="仿宋" w:hAnsi="仿宋" w:eastAsia="仿宋"/>
                <w:szCs w:val="21"/>
              </w:rPr>
              <w:t>80%</w:t>
            </w:r>
          </w:p>
        </w:tc>
        <w:tc>
          <w:tcPr>
            <w:tcW w:w="77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&lt;70%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14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农村饮用水管理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4678" w:type="dxa"/>
            <w:vMerge w:val="restart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实施农村集中供水，解决农村居民饮水安全问题。</w:t>
            </w:r>
          </w:p>
        </w:tc>
        <w:tc>
          <w:tcPr>
            <w:tcW w:w="2481" w:type="dxa"/>
            <w:vMerge w:val="restart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搞好节约用水宣传，饮用水水质达到国家饮用水标准。</w:t>
            </w:r>
          </w:p>
        </w:tc>
        <w:tc>
          <w:tcPr>
            <w:tcW w:w="1788" w:type="dxa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农村集中供水覆盖率所占年度计划</w:t>
            </w:r>
          </w:p>
        </w:tc>
        <w:tc>
          <w:tcPr>
            <w:tcW w:w="84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≥</w:t>
            </w:r>
            <w:r>
              <w:rPr>
                <w:rFonts w:ascii="仿宋" w:hAnsi="仿宋" w:eastAsia="仿宋"/>
                <w:szCs w:val="21"/>
              </w:rPr>
              <w:t>90%</w:t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≥</w:t>
            </w:r>
            <w:r>
              <w:rPr>
                <w:rFonts w:ascii="仿宋" w:hAnsi="仿宋" w:eastAsia="仿宋"/>
                <w:szCs w:val="21"/>
              </w:rPr>
              <w:t>80%</w:t>
            </w:r>
          </w:p>
        </w:tc>
        <w:tc>
          <w:tcPr>
            <w:tcW w:w="850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≥</w:t>
            </w:r>
            <w:r>
              <w:rPr>
                <w:rFonts w:ascii="仿宋" w:hAnsi="仿宋" w:eastAsia="仿宋"/>
                <w:szCs w:val="21"/>
              </w:rPr>
              <w:t>70%</w:t>
            </w:r>
          </w:p>
        </w:tc>
        <w:tc>
          <w:tcPr>
            <w:tcW w:w="77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&lt;70%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14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rPr>
                <w:rFonts w:ascii="仿宋" w:hAnsi="仿宋" w:eastAsia="仿宋"/>
                <w:b/>
                <w:szCs w:val="21"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4678" w:type="dxa"/>
            <w:vMerge w:val="continue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2481" w:type="dxa"/>
            <w:vMerge w:val="continue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788" w:type="dxa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年度农村集中供水覆盖率</w:t>
            </w:r>
          </w:p>
        </w:tc>
        <w:tc>
          <w:tcPr>
            <w:tcW w:w="84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≥</w:t>
            </w:r>
            <w:r>
              <w:rPr>
                <w:rFonts w:ascii="仿宋" w:hAnsi="仿宋" w:eastAsia="仿宋"/>
                <w:szCs w:val="21"/>
              </w:rPr>
              <w:t>90%</w:t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≥</w:t>
            </w:r>
            <w:r>
              <w:rPr>
                <w:rFonts w:ascii="仿宋" w:hAnsi="仿宋" w:eastAsia="仿宋"/>
                <w:szCs w:val="21"/>
              </w:rPr>
              <w:t>80%</w:t>
            </w:r>
          </w:p>
        </w:tc>
        <w:tc>
          <w:tcPr>
            <w:tcW w:w="850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≥</w:t>
            </w:r>
            <w:r>
              <w:rPr>
                <w:rFonts w:ascii="仿宋" w:hAnsi="仿宋" w:eastAsia="仿宋"/>
                <w:szCs w:val="21"/>
              </w:rPr>
              <w:t>70%</w:t>
            </w:r>
          </w:p>
        </w:tc>
        <w:tc>
          <w:tcPr>
            <w:tcW w:w="77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&lt;70%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14" w:type="dxa"/>
            <w:shd w:val="clear" w:color="auto" w:fill="auto"/>
            <w:vAlign w:val="center"/>
          </w:tcPr>
          <w:p>
            <w:pPr>
              <w:spacing w:line="300" w:lineRule="exact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供水政务管理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hint="default" w:ascii="仿宋" w:hAnsi="仿宋" w:eastAsia="仿宋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59.38</w:t>
            </w:r>
          </w:p>
        </w:tc>
        <w:tc>
          <w:tcPr>
            <w:tcW w:w="4678" w:type="dxa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履行机关日常管理职责。</w:t>
            </w:r>
          </w:p>
        </w:tc>
        <w:tc>
          <w:tcPr>
            <w:tcW w:w="2481" w:type="dxa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按照《宁晋县城区供水专项规划》和宁晋县供水管理办法，使供水工作安全有序。</w:t>
            </w:r>
          </w:p>
        </w:tc>
        <w:tc>
          <w:tcPr>
            <w:tcW w:w="1788" w:type="dxa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综合业务管理工作任务完成率</w:t>
            </w:r>
          </w:p>
        </w:tc>
        <w:tc>
          <w:tcPr>
            <w:tcW w:w="84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100%</w:t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≥</w:t>
            </w:r>
            <w:r>
              <w:rPr>
                <w:rFonts w:ascii="仿宋" w:hAnsi="仿宋" w:eastAsia="仿宋"/>
                <w:szCs w:val="21"/>
              </w:rPr>
              <w:t>95%</w:t>
            </w:r>
          </w:p>
        </w:tc>
        <w:tc>
          <w:tcPr>
            <w:tcW w:w="850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≥</w:t>
            </w:r>
            <w:r>
              <w:rPr>
                <w:rFonts w:ascii="仿宋" w:hAnsi="仿宋" w:eastAsia="仿宋"/>
                <w:szCs w:val="21"/>
              </w:rPr>
              <w:t>90%</w:t>
            </w:r>
          </w:p>
        </w:tc>
        <w:tc>
          <w:tcPr>
            <w:tcW w:w="77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&lt;90%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14" w:type="dxa"/>
            <w:shd w:val="clear" w:color="auto" w:fill="auto"/>
            <w:vAlign w:val="center"/>
          </w:tcPr>
          <w:p>
            <w:pPr>
              <w:spacing w:line="300" w:lineRule="exact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综合业务管理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hint="default" w:ascii="仿宋" w:hAnsi="仿宋" w:eastAsia="仿宋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56.63</w:t>
            </w:r>
          </w:p>
        </w:tc>
        <w:tc>
          <w:tcPr>
            <w:tcW w:w="4678" w:type="dxa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制定宁晋县供水管理办法，组织开展全县供水行业安全供水工作，协调推动、普查统计、督促指导、业务监管、法制宣传、处理水事纠纷，监督检查、人事管理及其他依法行政管理活动。承办县委、</w:t>
            </w: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县</w:t>
            </w:r>
            <w:r>
              <w:rPr>
                <w:rFonts w:hint="eastAsia" w:ascii="仿宋" w:hAnsi="仿宋" w:eastAsia="仿宋"/>
                <w:szCs w:val="21"/>
              </w:rPr>
              <w:t>政府交办的其他事项等行政管理事项。</w:t>
            </w:r>
          </w:p>
        </w:tc>
        <w:tc>
          <w:tcPr>
            <w:tcW w:w="2481" w:type="dxa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依法依规完成工作任务，推进科学决策</w:t>
            </w:r>
          </w:p>
        </w:tc>
        <w:tc>
          <w:tcPr>
            <w:tcW w:w="1788" w:type="dxa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综合业务管理工作任务完成率</w:t>
            </w:r>
          </w:p>
        </w:tc>
        <w:tc>
          <w:tcPr>
            <w:tcW w:w="84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100%</w:t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≥</w:t>
            </w:r>
            <w:r>
              <w:rPr>
                <w:rFonts w:ascii="仿宋" w:hAnsi="仿宋" w:eastAsia="仿宋"/>
                <w:szCs w:val="21"/>
              </w:rPr>
              <w:t>95%</w:t>
            </w:r>
          </w:p>
        </w:tc>
        <w:tc>
          <w:tcPr>
            <w:tcW w:w="850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≥</w:t>
            </w:r>
            <w:r>
              <w:rPr>
                <w:rFonts w:ascii="仿宋" w:hAnsi="仿宋" w:eastAsia="仿宋"/>
                <w:szCs w:val="21"/>
              </w:rPr>
              <w:t>90%</w:t>
            </w:r>
          </w:p>
        </w:tc>
        <w:tc>
          <w:tcPr>
            <w:tcW w:w="77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&lt;90%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14" w:type="dxa"/>
            <w:shd w:val="clear" w:color="auto" w:fill="auto"/>
            <w:vAlign w:val="center"/>
          </w:tcPr>
          <w:p>
            <w:pPr>
              <w:spacing w:line="300" w:lineRule="exact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综合事务管理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hint="default" w:ascii="仿宋" w:hAnsi="仿宋" w:eastAsia="仿宋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2.75</w:t>
            </w:r>
          </w:p>
        </w:tc>
        <w:tc>
          <w:tcPr>
            <w:tcW w:w="4678" w:type="dxa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加强机关事务性管理，开展机关自身能力建设。</w:t>
            </w:r>
          </w:p>
        </w:tc>
        <w:tc>
          <w:tcPr>
            <w:tcW w:w="2481" w:type="dxa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确保机关工作正常运行</w:t>
            </w:r>
          </w:p>
        </w:tc>
        <w:tc>
          <w:tcPr>
            <w:tcW w:w="1788" w:type="dxa"/>
            <w:shd w:val="clear" w:color="auto" w:fill="auto"/>
          </w:tcPr>
          <w:p>
            <w:pPr>
              <w:spacing w:line="300" w:lineRule="exac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综合事务管理工作任务完成率</w:t>
            </w:r>
          </w:p>
        </w:tc>
        <w:tc>
          <w:tcPr>
            <w:tcW w:w="84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100%</w:t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≥</w:t>
            </w:r>
            <w:r>
              <w:rPr>
                <w:rFonts w:ascii="仿宋" w:hAnsi="仿宋" w:eastAsia="仿宋"/>
                <w:szCs w:val="21"/>
              </w:rPr>
              <w:t>95%</w:t>
            </w:r>
          </w:p>
        </w:tc>
        <w:tc>
          <w:tcPr>
            <w:tcW w:w="850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≥</w:t>
            </w:r>
            <w:r>
              <w:rPr>
                <w:rFonts w:ascii="仿宋" w:hAnsi="仿宋" w:eastAsia="仿宋"/>
                <w:szCs w:val="21"/>
              </w:rPr>
              <w:t>90%</w:t>
            </w:r>
          </w:p>
        </w:tc>
        <w:tc>
          <w:tcPr>
            <w:tcW w:w="77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&lt;90%</w:t>
            </w:r>
          </w:p>
        </w:tc>
      </w:tr>
    </w:tbl>
    <w:p>
      <w:pPr>
        <w:widowControl/>
        <w:jc w:val="left"/>
        <w:rPr>
          <w:rFonts w:ascii="仿宋" w:hAnsi="仿宋" w:eastAsia="仿宋"/>
          <w:sz w:val="32"/>
          <w:szCs w:val="32"/>
        </w:rPr>
        <w:sectPr>
          <w:pgSz w:w="16838" w:h="11906" w:orient="landscape"/>
          <w:pgMar w:top="1800" w:right="1440" w:bottom="1800" w:left="1440" w:header="851" w:footer="992" w:gutter="0"/>
          <w:cols w:space="720" w:num="1"/>
          <w:docGrid w:type="lines" w:linePitch="312" w:charSpace="0"/>
        </w:sectPr>
      </w:pPr>
    </w:p>
    <w:p>
      <w:pPr>
        <w:widowControl/>
        <w:ind w:firstLine="640"/>
        <w:jc w:val="left"/>
        <w:rPr>
          <w:rFonts w:ascii="仿宋_GB2312" w:hAnsi="仿宋_GB2312" w:eastAsia="仿宋_GB2312" w:cs="仿宋_GB2312"/>
          <w:b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</w:rPr>
        <w:t>六、政府采购预算情况</w:t>
      </w:r>
    </w:p>
    <w:p>
      <w:pPr>
        <w:widowControl/>
        <w:ind w:firstLine="640"/>
        <w:jc w:val="left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年政府采购预算，详见下表（单位：万元）。</w:t>
      </w:r>
    </w:p>
    <w:tbl>
      <w:tblPr>
        <w:tblStyle w:val="4"/>
        <w:tblpPr w:leftFromText="180" w:rightFromText="180" w:vertAnchor="text" w:horzAnchor="margin" w:tblpXSpec="center" w:tblpY="182"/>
        <w:tblW w:w="1496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10"/>
        <w:gridCol w:w="1200"/>
        <w:gridCol w:w="1665"/>
        <w:gridCol w:w="1155"/>
        <w:gridCol w:w="1390"/>
        <w:gridCol w:w="530"/>
        <w:gridCol w:w="705"/>
        <w:gridCol w:w="1275"/>
        <w:gridCol w:w="1470"/>
        <w:gridCol w:w="1400"/>
        <w:gridCol w:w="116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</w:trPr>
        <w:tc>
          <w:tcPr>
            <w:tcW w:w="42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政府采购项目来源</w:t>
            </w:r>
          </w:p>
        </w:tc>
        <w:tc>
          <w:tcPr>
            <w:tcW w:w="166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采购物品名称</w:t>
            </w:r>
          </w:p>
        </w:tc>
        <w:tc>
          <w:tcPr>
            <w:tcW w:w="115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政府采购目录序号</w:t>
            </w:r>
          </w:p>
        </w:tc>
        <w:tc>
          <w:tcPr>
            <w:tcW w:w="139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单位</w:t>
            </w:r>
          </w:p>
        </w:tc>
        <w:tc>
          <w:tcPr>
            <w:tcW w:w="53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数量</w:t>
            </w:r>
          </w:p>
        </w:tc>
        <w:tc>
          <w:tcPr>
            <w:tcW w:w="70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单价</w:t>
            </w:r>
          </w:p>
        </w:tc>
        <w:tc>
          <w:tcPr>
            <w:tcW w:w="530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政府采购金额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</w:trPr>
        <w:tc>
          <w:tcPr>
            <w:tcW w:w="301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项目名称</w:t>
            </w:r>
          </w:p>
        </w:tc>
        <w:tc>
          <w:tcPr>
            <w:tcW w:w="120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预算资金</w:t>
            </w:r>
          </w:p>
        </w:tc>
        <w:tc>
          <w:tcPr>
            <w:tcW w:w="166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11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13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5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7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总计</w:t>
            </w:r>
          </w:p>
        </w:tc>
        <w:tc>
          <w:tcPr>
            <w:tcW w:w="403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当年部门预算安排资金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301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12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166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11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13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5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7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合计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一般公共预算拨款</w:t>
            </w: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基金预算拨款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30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16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13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</w:tr>
    </w:tbl>
    <w:p>
      <w:pPr>
        <w:widowControl/>
        <w:jc w:val="left"/>
        <w:rPr>
          <w:rFonts w:ascii="仿宋" w:hAnsi="仿宋" w:eastAsia="仿宋"/>
          <w:sz w:val="32"/>
          <w:szCs w:val="32"/>
        </w:rPr>
      </w:pPr>
    </w:p>
    <w:p>
      <w:pPr>
        <w:widowControl/>
        <w:ind w:firstLine="5600" w:firstLineChars="1750"/>
        <w:jc w:val="left"/>
        <w:rPr>
          <w:rFonts w:ascii="仿宋" w:hAnsi="仿宋" w:eastAsia="仿宋"/>
          <w:sz w:val="32"/>
          <w:szCs w:val="32"/>
        </w:rPr>
        <w:sectPr>
          <w:pgSz w:w="16838" w:h="11906" w:orient="landscape"/>
          <w:pgMar w:top="1800" w:right="1440" w:bottom="1800" w:left="1440" w:header="851" w:footer="992" w:gutter="0"/>
          <w:cols w:space="720" w:num="1"/>
          <w:docGrid w:type="lines" w:linePitch="312" w:charSpace="0"/>
        </w:sectPr>
      </w:pPr>
      <w:r>
        <w:rPr>
          <w:rFonts w:hint="eastAsia" w:ascii="仿宋" w:hAnsi="仿宋" w:eastAsia="仿宋"/>
          <w:sz w:val="32"/>
          <w:szCs w:val="32"/>
        </w:rPr>
        <w:t>空表列示</w:t>
      </w:r>
    </w:p>
    <w:p>
      <w:pPr>
        <w:widowControl/>
        <w:jc w:val="left"/>
        <w:rPr>
          <w:rFonts w:ascii="仿宋" w:hAnsi="仿宋" w:eastAsia="仿宋"/>
          <w:sz w:val="32"/>
          <w:szCs w:val="32"/>
        </w:rPr>
      </w:pPr>
    </w:p>
    <w:p>
      <w:pPr>
        <w:widowControl/>
        <w:ind w:firstLine="640"/>
        <w:jc w:val="left"/>
        <w:rPr>
          <w:rFonts w:ascii="仿宋_GB2312" w:hAnsi="仿宋_GB2312" w:eastAsia="仿宋_GB2312" w:cs="仿宋_GB2312"/>
          <w:b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</w:rPr>
        <w:t>七、国有资产信息情况</w:t>
      </w:r>
    </w:p>
    <w:p>
      <w:pPr>
        <w:widowControl/>
        <w:ind w:firstLine="640"/>
        <w:jc w:val="left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我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无国有资产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，详见下表</w:t>
      </w:r>
    </w:p>
    <w:tbl>
      <w:tblPr>
        <w:tblStyle w:val="4"/>
        <w:tblW w:w="7825" w:type="dxa"/>
        <w:tblInd w:w="73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1252"/>
        <w:gridCol w:w="281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3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项   目</w:t>
            </w:r>
          </w:p>
        </w:tc>
        <w:tc>
          <w:tcPr>
            <w:tcW w:w="12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数  量</w:t>
            </w:r>
          </w:p>
        </w:tc>
        <w:tc>
          <w:tcPr>
            <w:tcW w:w="28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价值（金额单位：万元）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37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1"/>
              </w:rPr>
              <w:t>固定资产总额</w:t>
            </w:r>
          </w:p>
        </w:tc>
        <w:tc>
          <w:tcPr>
            <w:tcW w:w="12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——</w:t>
            </w:r>
          </w:p>
        </w:tc>
        <w:tc>
          <w:tcPr>
            <w:tcW w:w="28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37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1.房屋（平方米）</w:t>
            </w:r>
          </w:p>
        </w:tc>
        <w:tc>
          <w:tcPr>
            <w:tcW w:w="12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ind w:right="420"/>
              <w:jc w:val="righ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8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37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firstLine="420" w:firstLineChars="200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其中：办公用房</w:t>
            </w:r>
          </w:p>
        </w:tc>
        <w:tc>
          <w:tcPr>
            <w:tcW w:w="1252" w:type="dxa"/>
            <w:tcBorders>
              <w:top w:val="nil"/>
              <w:left w:val="nil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ind w:right="210"/>
              <w:jc w:val="righ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81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37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2.车辆（台、辆）</w:t>
            </w:r>
          </w:p>
        </w:tc>
        <w:tc>
          <w:tcPr>
            <w:tcW w:w="12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81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37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3.单价在50万元以上的设备（台、套）</w:t>
            </w:r>
          </w:p>
        </w:tc>
        <w:tc>
          <w:tcPr>
            <w:tcW w:w="12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28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37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4.其他固定资产</w:t>
            </w:r>
          </w:p>
        </w:tc>
        <w:tc>
          <w:tcPr>
            <w:tcW w:w="12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——</w:t>
            </w:r>
          </w:p>
        </w:tc>
        <w:tc>
          <w:tcPr>
            <w:tcW w:w="28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</w:tbl>
    <w:p>
      <w:pPr>
        <w:widowControl/>
        <w:ind w:firstLine="640"/>
        <w:jc w:val="center"/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  <w:lang w:eastAsia="zh-CN"/>
        </w:rPr>
        <w:t>空表列示</w:t>
      </w:r>
    </w:p>
    <w:p>
      <w:pPr>
        <w:widowControl/>
        <w:ind w:firstLine="640"/>
        <w:jc w:val="left"/>
        <w:rPr>
          <w:rFonts w:ascii="仿宋_GB2312" w:hAnsi="仿宋_GB2312" w:eastAsia="仿宋_GB2312" w:cs="仿宋_GB2312"/>
          <w:b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</w:rPr>
        <w:t>八、名词解释</w:t>
      </w:r>
    </w:p>
    <w:p>
      <w:pPr>
        <w:widowControl/>
        <w:ind w:firstLine="64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</w:rPr>
        <w:t>南水北调：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是中华人民共和国的战略性工程。是指把长江流域水资源自其上游、中游、下游，结合中国疆土地域特点，分东、中、西三线抽调部分送至华北与淮海平原和西北地区水资源短缺地区，东线工程工程起点位于江苏扬州江都水利枢纽；中线工程工程起点位于汉江中上游的丹江口水库，供水区域为河南，河北，北京，天津四省（市）。</w:t>
      </w:r>
    </w:p>
    <w:p>
      <w:pPr>
        <w:widowControl/>
        <w:ind w:firstLine="640"/>
        <w:jc w:val="left"/>
        <w:rPr>
          <w:rFonts w:ascii="仿宋_GB2312" w:hAnsi="仿宋_GB2312" w:eastAsia="仿宋_GB2312" w:cs="仿宋_GB2312"/>
          <w:b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</w:rPr>
        <w:t>九、其他需要说明的事项</w:t>
      </w:r>
    </w:p>
    <w:p>
      <w:pPr>
        <w:widowControl/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无其他需说明事项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宋体-方正超大字符集">
    <w:altName w:val="宋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DF2DDE9"/>
    <w:multiLevelType w:val="singleLevel"/>
    <w:tmpl w:val="BDF2DDE9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jlkNTZjZGNiOTBiMzA4YjY4ZGNjMzMwZGFhYWVlZmYifQ=="/>
  </w:docVars>
  <w:rsids>
    <w:rsidRoot w:val="00590D8D"/>
    <w:rsid w:val="00081E39"/>
    <w:rsid w:val="002551FE"/>
    <w:rsid w:val="00315FA4"/>
    <w:rsid w:val="00347EA2"/>
    <w:rsid w:val="003771FC"/>
    <w:rsid w:val="004A34D8"/>
    <w:rsid w:val="005160E4"/>
    <w:rsid w:val="00590D8D"/>
    <w:rsid w:val="005E3666"/>
    <w:rsid w:val="00881820"/>
    <w:rsid w:val="00B44453"/>
    <w:rsid w:val="00B52925"/>
    <w:rsid w:val="00B60194"/>
    <w:rsid w:val="00B6520E"/>
    <w:rsid w:val="00D87703"/>
    <w:rsid w:val="04E33466"/>
    <w:rsid w:val="10A83A7B"/>
    <w:rsid w:val="24B179EE"/>
    <w:rsid w:val="2EBE7808"/>
    <w:rsid w:val="3D151650"/>
    <w:rsid w:val="48FC5306"/>
    <w:rsid w:val="590B11FB"/>
    <w:rsid w:val="5D945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Words>3168</Words>
  <Characters>3405</Characters>
  <Lines>26</Lines>
  <Paragraphs>7</Paragraphs>
  <TotalTime>13</TotalTime>
  <ScaleCrop>false</ScaleCrop>
  <LinksUpToDate>false</LinksUpToDate>
  <CharactersWithSpaces>3440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2020-02-18T07:35:00Z</dcterms:created>
  <dc:creator>administartor</dc:creator>
  <cp:lastModifiedBy>Hopefully</cp:lastModifiedBy>
  <dcterms:modified xsi:type="dcterms:W3CDTF">2023-05-17T01:02:38Z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CDFAF9BE2F1F48AD898FDBCC61C35F75</vt:lpwstr>
  </property>
</Properties>
</file>