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方正超大字符集" w:hAnsi="宋体-方正超大字符集" w:eastAsia="宋体-方正超大字符集" w:cs="宋体-方正超大字符集"/>
          <w:b/>
          <w:bCs/>
          <w:sz w:val="36"/>
          <w:szCs w:val="36"/>
        </w:rPr>
      </w:pPr>
      <w:r>
        <w:rPr>
          <w:rFonts w:hint="eastAsia" w:ascii="宋体-方正超大字符集" w:hAnsi="宋体-方正超大字符集" w:eastAsia="宋体-方正超大字符集" w:cs="宋体-方正超大字符集"/>
          <w:b/>
          <w:bCs/>
          <w:sz w:val="36"/>
          <w:szCs w:val="36"/>
        </w:rPr>
        <w:t>宁晋县民政局</w:t>
      </w:r>
    </w:p>
    <w:p>
      <w:pPr>
        <w:jc w:val="center"/>
        <w:rPr>
          <w:rFonts w:hint="eastAsia" w:ascii="Times New Roman" w:hAnsi="Times New Roman" w:eastAsia="宋体" w:cs="Times New Roman"/>
          <w:b/>
          <w:bCs/>
          <w:sz w:val="44"/>
          <w:szCs w:val="44"/>
        </w:rPr>
      </w:pPr>
      <w:r>
        <w:rPr>
          <w:rFonts w:hint="eastAsia" w:ascii="宋体-方正超大字符集" w:hAnsi="宋体-方正超大字符集" w:eastAsia="宋体-方正超大字符集" w:cs="宋体-方正超大字符集"/>
          <w:b/>
          <w:bCs/>
          <w:sz w:val="36"/>
          <w:szCs w:val="36"/>
        </w:rPr>
        <w:t>2021年部门预算信息公开目录</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一、2021年部门预算公开表</w:t>
      </w:r>
    </w:p>
    <w:p>
      <w:pPr>
        <w:widowControl w:val="0"/>
        <w:numPr>
          <w:ilvl w:val="0"/>
          <w:numId w:val="1"/>
        </w:numPr>
        <w:adjustRightInd/>
        <w:snapToGrid/>
        <w:spacing w:after="0"/>
        <w:ind w:firstLine="600" w:firstLineChars="200"/>
        <w:jc w:val="both"/>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部门预算收支总表</w:t>
      </w:r>
    </w:p>
    <w:p>
      <w:pPr>
        <w:widowControl w:val="0"/>
        <w:numPr>
          <w:ilvl w:val="0"/>
          <w:numId w:val="1"/>
        </w:numPr>
        <w:adjustRightInd/>
        <w:snapToGrid/>
        <w:spacing w:after="0"/>
        <w:ind w:firstLine="600" w:firstLineChars="200"/>
        <w:jc w:val="both"/>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部门预算收入总表</w:t>
      </w:r>
    </w:p>
    <w:p>
      <w:pPr>
        <w:widowControl w:val="0"/>
        <w:numPr>
          <w:ilvl w:val="0"/>
          <w:numId w:val="1"/>
        </w:numPr>
        <w:adjustRightInd/>
        <w:snapToGrid/>
        <w:spacing w:after="0"/>
        <w:ind w:firstLine="600" w:firstLineChars="200"/>
        <w:jc w:val="both"/>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部门预算支出总表</w:t>
      </w:r>
    </w:p>
    <w:p>
      <w:pPr>
        <w:widowControl w:val="0"/>
        <w:numPr>
          <w:ilvl w:val="0"/>
          <w:numId w:val="1"/>
        </w:numPr>
        <w:adjustRightInd/>
        <w:snapToGrid/>
        <w:spacing w:after="0"/>
        <w:ind w:firstLine="600" w:firstLineChars="200"/>
        <w:jc w:val="both"/>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部门预算财政拨款收支总表</w:t>
      </w:r>
    </w:p>
    <w:p>
      <w:pPr>
        <w:widowControl w:val="0"/>
        <w:numPr>
          <w:ilvl w:val="0"/>
          <w:numId w:val="1"/>
        </w:numPr>
        <w:adjustRightInd/>
        <w:snapToGrid/>
        <w:spacing w:after="0"/>
        <w:ind w:firstLine="600" w:firstLineChars="200"/>
        <w:jc w:val="both"/>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部门预算一般公共预算财政拨款支出表</w:t>
      </w:r>
    </w:p>
    <w:p>
      <w:pPr>
        <w:widowControl w:val="0"/>
        <w:numPr>
          <w:ilvl w:val="0"/>
          <w:numId w:val="1"/>
        </w:numPr>
        <w:adjustRightInd/>
        <w:snapToGrid/>
        <w:spacing w:after="0"/>
        <w:ind w:firstLine="600" w:firstLineChars="200"/>
        <w:jc w:val="both"/>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部门预算一般公共预算财政拨款基本支出表</w:t>
      </w:r>
    </w:p>
    <w:p>
      <w:pPr>
        <w:widowControl w:val="0"/>
        <w:numPr>
          <w:ilvl w:val="0"/>
          <w:numId w:val="1"/>
        </w:numPr>
        <w:adjustRightInd/>
        <w:snapToGrid/>
        <w:spacing w:after="0"/>
        <w:ind w:firstLine="600" w:firstLineChars="200"/>
        <w:jc w:val="both"/>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部门预算政府基金预算财政拨款支出表</w:t>
      </w:r>
    </w:p>
    <w:p>
      <w:pPr>
        <w:widowControl w:val="0"/>
        <w:numPr>
          <w:ilvl w:val="0"/>
          <w:numId w:val="1"/>
        </w:numPr>
        <w:adjustRightInd/>
        <w:snapToGrid/>
        <w:spacing w:after="0"/>
        <w:ind w:firstLine="600" w:firstLineChars="200"/>
        <w:jc w:val="both"/>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部门预算国有资本经营预算财政拨款支出表</w:t>
      </w:r>
    </w:p>
    <w:p>
      <w:pPr>
        <w:widowControl w:val="0"/>
        <w:numPr>
          <w:ilvl w:val="0"/>
          <w:numId w:val="1"/>
        </w:numPr>
        <w:adjustRightInd/>
        <w:snapToGrid/>
        <w:spacing w:after="0"/>
        <w:ind w:firstLine="600" w:firstLineChars="200"/>
        <w:jc w:val="both"/>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部门预算财政拨款“三公”经费支出表</w:t>
      </w:r>
    </w:p>
    <w:p>
      <w:p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二、202</w:t>
      </w:r>
      <w:r>
        <w:rPr>
          <w:rFonts w:hint="eastAsia" w:ascii="仿宋_GB2312" w:hAnsi="仿宋_GB2312" w:eastAsia="仿宋_GB2312" w:cs="仿宋_GB2312"/>
          <w:sz w:val="30"/>
          <w:szCs w:val="30"/>
          <w:lang w:val="en-US" w:eastAsia="zh-CN"/>
        </w:rPr>
        <w:t>1</w:t>
      </w:r>
      <w:r>
        <w:rPr>
          <w:rFonts w:hint="eastAsia" w:ascii="仿宋_GB2312" w:hAnsi="仿宋_GB2312" w:eastAsia="仿宋_GB2312" w:cs="仿宋_GB2312"/>
          <w:sz w:val="30"/>
          <w:szCs w:val="30"/>
        </w:rPr>
        <w:t>年预算说明</w:t>
      </w:r>
    </w:p>
    <w:p>
      <w:pPr>
        <w:widowControl w:val="0"/>
        <w:numPr>
          <w:ilvl w:val="0"/>
          <w:numId w:val="2"/>
        </w:numPr>
        <w:adjustRightInd/>
        <w:snapToGrid/>
        <w:spacing w:after="0"/>
        <w:ind w:firstLine="600" w:firstLineChars="200"/>
        <w:jc w:val="both"/>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部门职责及机构设置情况</w:t>
      </w:r>
    </w:p>
    <w:p>
      <w:pPr>
        <w:ind w:firstLine="64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2、部门预算安排的总体情况</w:t>
      </w:r>
    </w:p>
    <w:p>
      <w:p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3、机关运行经费安排情况</w:t>
      </w:r>
    </w:p>
    <w:p>
      <w:pPr>
        <w:autoSpaceDE w:val="0"/>
        <w:autoSpaceDN w:val="0"/>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4、财政拨款“三公”经费预算情况及增减变化原因</w:t>
      </w:r>
    </w:p>
    <w:p>
      <w:pPr>
        <w:autoSpaceDE w:val="0"/>
        <w:autoSpaceDN w:val="0"/>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5、绩效预算信息</w:t>
      </w:r>
    </w:p>
    <w:p>
      <w:pPr>
        <w:autoSpaceDE w:val="0"/>
        <w:autoSpaceDN w:val="0"/>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6、政府采购预算情况</w:t>
      </w:r>
    </w:p>
    <w:p>
      <w:pPr>
        <w:autoSpaceDE w:val="0"/>
        <w:autoSpaceDN w:val="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 xml:space="preserve">    7、国有资产信息</w:t>
      </w:r>
    </w:p>
    <w:p>
      <w:pPr>
        <w:autoSpaceDE w:val="0"/>
        <w:autoSpaceDN w:val="0"/>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8、名词解释</w:t>
      </w:r>
    </w:p>
    <w:p>
      <w:pPr>
        <w:autoSpaceDE w:val="0"/>
        <w:autoSpaceDN w:val="0"/>
        <w:rPr>
          <w:rFonts w:hint="eastAsia" w:ascii="黑体" w:hAnsi="黑体" w:eastAsia="黑体" w:cs="Times New Roman"/>
          <w:sz w:val="32"/>
          <w:szCs w:val="32"/>
        </w:rPr>
      </w:pPr>
      <w:r>
        <w:rPr>
          <w:rFonts w:hint="eastAsia" w:ascii="仿宋_GB2312" w:hAnsi="仿宋_GB2312" w:eastAsia="仿宋_GB2312" w:cs="仿宋_GB2312"/>
          <w:sz w:val="30"/>
          <w:szCs w:val="30"/>
        </w:rPr>
        <w:t xml:space="preserve">    9、其他需要说明的事项</w:t>
      </w:r>
    </w:p>
    <w:p>
      <w:pPr>
        <w:jc w:val="center"/>
        <w:rPr>
          <w:rFonts w:hint="eastAsia" w:ascii="Times New Roman" w:hAnsi="Times New Roman" w:eastAsia="宋体"/>
          <w:sz w:val="21"/>
          <w:szCs w:val="24"/>
        </w:rPr>
      </w:pPr>
    </w:p>
    <w:tbl>
      <w:tblPr>
        <w:tblStyle w:val="8"/>
        <w:tblW w:w="10280" w:type="dxa"/>
        <w:jc w:val="center"/>
        <w:tblInd w:w="-977" w:type="dxa"/>
        <w:tblLayout w:type="fixed"/>
        <w:tblCellMar>
          <w:top w:w="0" w:type="dxa"/>
          <w:left w:w="108" w:type="dxa"/>
          <w:bottom w:w="0" w:type="dxa"/>
          <w:right w:w="108" w:type="dxa"/>
        </w:tblCellMar>
      </w:tblPr>
      <w:tblGrid>
        <w:gridCol w:w="1080"/>
        <w:gridCol w:w="2800"/>
        <w:gridCol w:w="1660"/>
        <w:gridCol w:w="2740"/>
        <w:gridCol w:w="2000"/>
      </w:tblGrid>
      <w:tr>
        <w:tblPrEx>
          <w:tblLayout w:type="fixed"/>
          <w:tblCellMar>
            <w:top w:w="0" w:type="dxa"/>
            <w:left w:w="108" w:type="dxa"/>
            <w:bottom w:w="0" w:type="dxa"/>
            <w:right w:w="108" w:type="dxa"/>
          </w:tblCellMar>
        </w:tblPrEx>
        <w:trPr>
          <w:trHeight w:val="645" w:hRule="atLeast"/>
          <w:jc w:val="center"/>
        </w:trPr>
        <w:tc>
          <w:tcPr>
            <w:tcW w:w="10280" w:type="dxa"/>
            <w:gridSpan w:val="5"/>
            <w:tcBorders>
              <w:top w:val="nil"/>
              <w:left w:val="nil"/>
              <w:bottom w:val="nil"/>
              <w:right w:val="nil"/>
            </w:tcBorders>
            <w:shd w:val="clear" w:color="000000" w:fill="FFFFFF"/>
            <w:vAlign w:val="center"/>
          </w:tcPr>
          <w:p>
            <w:pPr>
              <w:adjustRightInd/>
              <w:snapToGrid/>
              <w:spacing w:after="0"/>
              <w:jc w:val="center"/>
              <w:rPr>
                <w:rFonts w:hint="eastAsia" w:ascii="宋体" w:hAnsi="宋体" w:eastAsia="宋体" w:cs="宋体"/>
                <w:b/>
                <w:bCs/>
                <w:sz w:val="44"/>
                <w:szCs w:val="44"/>
              </w:rPr>
            </w:pPr>
          </w:p>
          <w:p>
            <w:pPr>
              <w:adjustRightInd/>
              <w:snapToGrid/>
              <w:spacing w:after="0"/>
              <w:jc w:val="center"/>
              <w:rPr>
                <w:rFonts w:hint="eastAsia" w:ascii="宋体" w:hAnsi="宋体" w:eastAsia="宋体" w:cs="宋体"/>
                <w:b/>
                <w:bCs/>
                <w:sz w:val="44"/>
                <w:szCs w:val="44"/>
              </w:rPr>
            </w:pPr>
          </w:p>
          <w:p>
            <w:pPr>
              <w:adjustRightInd/>
              <w:snapToGrid/>
              <w:spacing w:after="0"/>
              <w:jc w:val="center"/>
              <w:rPr>
                <w:rFonts w:hint="eastAsia" w:ascii="宋体" w:hAnsi="宋体" w:eastAsia="宋体" w:cs="宋体"/>
                <w:b/>
                <w:bCs/>
                <w:sz w:val="44"/>
                <w:szCs w:val="44"/>
              </w:rPr>
            </w:pPr>
          </w:p>
          <w:p>
            <w:pPr>
              <w:adjustRightInd/>
              <w:snapToGrid/>
              <w:spacing w:after="0"/>
              <w:jc w:val="center"/>
              <w:rPr>
                <w:rFonts w:hint="eastAsia" w:ascii="宋体" w:hAnsi="宋体" w:eastAsia="宋体" w:cs="宋体"/>
                <w:b/>
                <w:bCs/>
                <w:sz w:val="44"/>
                <w:szCs w:val="44"/>
              </w:rPr>
            </w:pPr>
          </w:p>
          <w:p>
            <w:pPr>
              <w:adjustRightInd/>
              <w:snapToGrid/>
              <w:spacing w:after="0"/>
              <w:jc w:val="center"/>
              <w:rPr>
                <w:rFonts w:hint="eastAsia" w:ascii="宋体" w:hAnsi="宋体" w:eastAsia="宋体" w:cs="宋体"/>
                <w:b/>
                <w:bCs/>
                <w:sz w:val="44"/>
                <w:szCs w:val="44"/>
              </w:rPr>
            </w:pPr>
          </w:p>
          <w:p>
            <w:pPr>
              <w:adjustRightInd/>
              <w:snapToGrid/>
              <w:spacing w:after="0"/>
              <w:jc w:val="center"/>
              <w:rPr>
                <w:rFonts w:hint="eastAsia" w:ascii="宋体" w:hAnsi="宋体" w:eastAsia="宋体" w:cs="宋体"/>
                <w:b/>
                <w:bCs/>
                <w:sz w:val="44"/>
                <w:szCs w:val="44"/>
              </w:rPr>
            </w:pPr>
          </w:p>
          <w:p>
            <w:pPr>
              <w:adjustRightInd/>
              <w:snapToGrid/>
              <w:spacing w:after="0"/>
              <w:jc w:val="center"/>
              <w:rPr>
                <w:rFonts w:hint="eastAsia" w:ascii="宋体" w:hAnsi="宋体" w:eastAsia="宋体" w:cs="宋体"/>
                <w:b/>
                <w:bCs/>
                <w:sz w:val="44"/>
                <w:szCs w:val="44"/>
              </w:rPr>
            </w:pPr>
          </w:p>
          <w:p>
            <w:pPr>
              <w:adjustRightInd/>
              <w:snapToGrid/>
              <w:spacing w:after="0"/>
              <w:jc w:val="center"/>
              <w:rPr>
                <w:rFonts w:hint="eastAsia" w:ascii="宋体" w:hAnsi="宋体" w:eastAsia="宋体" w:cs="宋体"/>
                <w:b/>
                <w:bCs/>
                <w:sz w:val="44"/>
                <w:szCs w:val="44"/>
              </w:rPr>
            </w:pPr>
          </w:p>
          <w:p>
            <w:pPr>
              <w:adjustRightInd/>
              <w:snapToGrid/>
              <w:spacing w:after="0"/>
              <w:jc w:val="center"/>
              <w:rPr>
                <w:rFonts w:ascii="宋体" w:hAnsi="宋体" w:eastAsia="宋体" w:cs="宋体"/>
                <w:b/>
                <w:bCs/>
                <w:sz w:val="44"/>
                <w:szCs w:val="44"/>
              </w:rPr>
            </w:pPr>
            <w:r>
              <w:rPr>
                <w:rFonts w:hint="eastAsia" w:ascii="宋体" w:hAnsi="宋体" w:eastAsia="宋体" w:cs="宋体"/>
                <w:b/>
                <w:bCs/>
                <w:sz w:val="44"/>
                <w:szCs w:val="44"/>
              </w:rPr>
              <w:t>部门预算收支总表</w:t>
            </w:r>
          </w:p>
        </w:tc>
      </w:tr>
      <w:tr>
        <w:tblPrEx>
          <w:tblLayout w:type="fixed"/>
          <w:tblCellMar>
            <w:top w:w="0" w:type="dxa"/>
            <w:left w:w="108" w:type="dxa"/>
            <w:bottom w:w="0" w:type="dxa"/>
            <w:right w:w="108" w:type="dxa"/>
          </w:tblCellMar>
        </w:tblPrEx>
        <w:trPr>
          <w:trHeight w:val="345" w:hRule="atLeast"/>
          <w:jc w:val="center"/>
        </w:trPr>
        <w:tc>
          <w:tcPr>
            <w:tcW w:w="5540" w:type="dxa"/>
            <w:gridSpan w:val="3"/>
            <w:tcBorders>
              <w:top w:val="nil"/>
              <w:left w:val="nil"/>
              <w:bottom w:val="nil"/>
              <w:right w:val="nil"/>
            </w:tcBorders>
            <w:shd w:val="clear" w:color="000000" w:fill="FFFFFF"/>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预算单位编码及名称：[314]宁晋县民政局</w:t>
            </w:r>
          </w:p>
        </w:tc>
        <w:tc>
          <w:tcPr>
            <w:tcW w:w="2740" w:type="dxa"/>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预算年度：2021</w:t>
            </w:r>
          </w:p>
        </w:tc>
        <w:tc>
          <w:tcPr>
            <w:tcW w:w="2000" w:type="dxa"/>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金额单位：万元</w:t>
            </w:r>
          </w:p>
        </w:tc>
      </w:tr>
      <w:tr>
        <w:tblPrEx>
          <w:tblLayout w:type="fixed"/>
          <w:tblCellMar>
            <w:top w:w="0" w:type="dxa"/>
            <w:left w:w="108" w:type="dxa"/>
            <w:bottom w:w="0" w:type="dxa"/>
            <w:right w:w="108" w:type="dxa"/>
          </w:tblCellMar>
        </w:tblPrEx>
        <w:trPr>
          <w:trHeight w:val="345" w:hRule="atLeast"/>
          <w:jc w:val="center"/>
        </w:trPr>
        <w:tc>
          <w:tcPr>
            <w:tcW w:w="10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序号</w:t>
            </w:r>
          </w:p>
        </w:tc>
        <w:tc>
          <w:tcPr>
            <w:tcW w:w="4460" w:type="dxa"/>
            <w:gridSpan w:val="2"/>
            <w:tcBorders>
              <w:top w:val="single" w:color="auto" w:sz="4" w:space="0"/>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收入</w:t>
            </w:r>
          </w:p>
        </w:tc>
        <w:tc>
          <w:tcPr>
            <w:tcW w:w="4740" w:type="dxa"/>
            <w:gridSpan w:val="2"/>
            <w:tcBorders>
              <w:top w:val="single" w:color="auto" w:sz="4" w:space="0"/>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支出</w:t>
            </w:r>
          </w:p>
        </w:tc>
      </w:tr>
      <w:tr>
        <w:tblPrEx>
          <w:tblLayout w:type="fixed"/>
          <w:tblCellMar>
            <w:top w:w="0" w:type="dxa"/>
            <w:left w:w="108" w:type="dxa"/>
            <w:bottom w:w="0" w:type="dxa"/>
            <w:right w:w="108" w:type="dxa"/>
          </w:tblCellMar>
        </w:tblPrEx>
        <w:trPr>
          <w:trHeight w:val="345" w:hRule="atLeast"/>
          <w:jc w:val="center"/>
        </w:trPr>
        <w:tc>
          <w:tcPr>
            <w:tcW w:w="108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280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项    目</w:t>
            </w:r>
          </w:p>
        </w:tc>
        <w:tc>
          <w:tcPr>
            <w:tcW w:w="166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预算数</w:t>
            </w:r>
          </w:p>
        </w:tc>
        <w:tc>
          <w:tcPr>
            <w:tcW w:w="274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项    目</w:t>
            </w:r>
          </w:p>
        </w:tc>
        <w:tc>
          <w:tcPr>
            <w:tcW w:w="200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预算数</w:t>
            </w:r>
          </w:p>
        </w:tc>
      </w:tr>
      <w:tr>
        <w:tblPrEx>
          <w:tblLayout w:type="fixed"/>
          <w:tblCellMar>
            <w:top w:w="0" w:type="dxa"/>
            <w:left w:w="108" w:type="dxa"/>
            <w:bottom w:w="0" w:type="dxa"/>
            <w:right w:w="108" w:type="dxa"/>
          </w:tblCellMar>
        </w:tblPrEx>
        <w:trPr>
          <w:trHeight w:val="345" w:hRule="atLeast"/>
          <w:jc w:val="center"/>
        </w:trPr>
        <w:tc>
          <w:tcPr>
            <w:tcW w:w="1080" w:type="dxa"/>
            <w:tcBorders>
              <w:top w:val="nil"/>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栏次</w:t>
            </w:r>
          </w:p>
        </w:tc>
        <w:tc>
          <w:tcPr>
            <w:tcW w:w="280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w:t>
            </w:r>
          </w:p>
        </w:tc>
        <w:tc>
          <w:tcPr>
            <w:tcW w:w="166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w:t>
            </w:r>
          </w:p>
        </w:tc>
        <w:tc>
          <w:tcPr>
            <w:tcW w:w="274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w:t>
            </w:r>
          </w:p>
        </w:tc>
        <w:tc>
          <w:tcPr>
            <w:tcW w:w="200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w:t>
            </w:r>
          </w:p>
        </w:tc>
        <w:tc>
          <w:tcPr>
            <w:tcW w:w="2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一、一般公共预算拨款收入</w:t>
            </w:r>
          </w:p>
        </w:tc>
        <w:tc>
          <w:tcPr>
            <w:tcW w:w="16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11008.36</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一、一般公共服务支出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w:t>
            </w:r>
          </w:p>
        </w:tc>
        <w:tc>
          <w:tcPr>
            <w:tcW w:w="2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二、政府性基金预算拨款收入</w:t>
            </w:r>
          </w:p>
        </w:tc>
        <w:tc>
          <w:tcPr>
            <w:tcW w:w="16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853.00</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二、外交支出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w:t>
            </w:r>
          </w:p>
        </w:tc>
        <w:tc>
          <w:tcPr>
            <w:tcW w:w="2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三、国有资本经营预算拨款收入</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三、国防支出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w:t>
            </w:r>
          </w:p>
        </w:tc>
        <w:tc>
          <w:tcPr>
            <w:tcW w:w="2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四、财政专户管理资金收入</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四、公共安全支出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5</w:t>
            </w:r>
          </w:p>
        </w:tc>
        <w:tc>
          <w:tcPr>
            <w:tcW w:w="2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五、事业收入</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五、教育支出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6</w:t>
            </w:r>
          </w:p>
        </w:tc>
        <w:tc>
          <w:tcPr>
            <w:tcW w:w="2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六、事业单位经营收入</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六、科学技术支出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7</w:t>
            </w:r>
          </w:p>
        </w:tc>
        <w:tc>
          <w:tcPr>
            <w:tcW w:w="2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七、上级补助收入</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七、文化旅游体育与传媒支出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8</w:t>
            </w:r>
          </w:p>
        </w:tc>
        <w:tc>
          <w:tcPr>
            <w:tcW w:w="2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八、附属单位上缴收入</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八、社会保障和就业支出</w:t>
            </w:r>
          </w:p>
        </w:tc>
        <w:tc>
          <w:tcPr>
            <w:tcW w:w="200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10982.49</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9</w:t>
            </w:r>
          </w:p>
        </w:tc>
        <w:tc>
          <w:tcPr>
            <w:tcW w:w="2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九、其他收入</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九、社会保险基金支出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10</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十、卫生健康支出</w:t>
            </w:r>
          </w:p>
        </w:tc>
        <w:tc>
          <w:tcPr>
            <w:tcW w:w="200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11</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十一、节能环保支出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12</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十二、城乡社区支出</w:t>
            </w:r>
          </w:p>
        </w:tc>
        <w:tc>
          <w:tcPr>
            <w:tcW w:w="200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13</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十三、农林水支出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14</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十四、交通运输支出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15</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十五、资源勘探工业信息等支出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16</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十六、商业服务业等支出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17</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十七、金融支出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18</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十八、援助其他地区支出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19</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十九、自然资源海洋气象等支出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20</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二十、住房保障支出</w:t>
            </w:r>
          </w:p>
        </w:tc>
        <w:tc>
          <w:tcPr>
            <w:tcW w:w="200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21</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二十一、粮油物资储备支出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22</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二十二、国有资本经营预算支出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23</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二十三、灾害防治及应急管理支出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24</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二十四、预备费</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25</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二十五、其他支出</w:t>
            </w:r>
          </w:p>
        </w:tc>
        <w:tc>
          <w:tcPr>
            <w:tcW w:w="200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353.00</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26</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二十六、转移性支出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27</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二十七、债务还本支出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28</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二十八、债务付息支出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29</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二十九、债务发行费用支出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30</w:t>
            </w:r>
          </w:p>
        </w:tc>
        <w:tc>
          <w:tcPr>
            <w:tcW w:w="2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三十、抗疫特别国债安排的支出</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31</w:t>
            </w:r>
          </w:p>
        </w:tc>
        <w:tc>
          <w:tcPr>
            <w:tcW w:w="2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本年收入合计</w:t>
            </w:r>
          </w:p>
        </w:tc>
        <w:tc>
          <w:tcPr>
            <w:tcW w:w="16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11861.36</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本年支出合计</w:t>
            </w:r>
          </w:p>
        </w:tc>
        <w:tc>
          <w:tcPr>
            <w:tcW w:w="200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11861.36</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32</w:t>
            </w:r>
          </w:p>
        </w:tc>
        <w:tc>
          <w:tcPr>
            <w:tcW w:w="2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上年结转结余</w:t>
            </w:r>
          </w:p>
        </w:tc>
        <w:tc>
          <w:tcPr>
            <w:tcW w:w="16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年终结转结余</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33</w:t>
            </w:r>
          </w:p>
        </w:tc>
        <w:tc>
          <w:tcPr>
            <w:tcW w:w="2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收入总计</w:t>
            </w:r>
          </w:p>
        </w:tc>
        <w:tc>
          <w:tcPr>
            <w:tcW w:w="16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11861.36</w:t>
            </w:r>
          </w:p>
        </w:tc>
        <w:tc>
          <w:tcPr>
            <w:tcW w:w="27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支出总计</w:t>
            </w:r>
          </w:p>
        </w:tc>
        <w:tc>
          <w:tcPr>
            <w:tcW w:w="200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11861.36</w:t>
            </w:r>
          </w:p>
        </w:tc>
      </w:tr>
    </w:tbl>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tbl>
      <w:tblPr>
        <w:tblStyle w:val="8"/>
        <w:tblW w:w="16040" w:type="dxa"/>
        <w:jc w:val="center"/>
        <w:tblInd w:w="93" w:type="dxa"/>
        <w:tblLayout w:type="fixed"/>
        <w:tblCellMar>
          <w:top w:w="0" w:type="dxa"/>
          <w:left w:w="108" w:type="dxa"/>
          <w:bottom w:w="0" w:type="dxa"/>
          <w:right w:w="108" w:type="dxa"/>
        </w:tblCellMar>
      </w:tblPr>
      <w:tblGrid>
        <w:gridCol w:w="640"/>
        <w:gridCol w:w="180"/>
        <w:gridCol w:w="1080"/>
        <w:gridCol w:w="40"/>
        <w:gridCol w:w="3300"/>
        <w:gridCol w:w="1080"/>
        <w:gridCol w:w="260"/>
        <w:gridCol w:w="820"/>
        <w:gridCol w:w="116"/>
        <w:gridCol w:w="964"/>
        <w:gridCol w:w="16"/>
        <w:gridCol w:w="1064"/>
        <w:gridCol w:w="16"/>
        <w:gridCol w:w="1064"/>
        <w:gridCol w:w="76"/>
        <w:gridCol w:w="1004"/>
        <w:gridCol w:w="396"/>
        <w:gridCol w:w="684"/>
        <w:gridCol w:w="856"/>
        <w:gridCol w:w="224"/>
        <w:gridCol w:w="1080"/>
        <w:gridCol w:w="1080"/>
      </w:tblGrid>
      <w:tr>
        <w:tblPrEx>
          <w:tblLayout w:type="fixed"/>
          <w:tblCellMar>
            <w:top w:w="0" w:type="dxa"/>
            <w:left w:w="108" w:type="dxa"/>
            <w:bottom w:w="0" w:type="dxa"/>
            <w:right w:w="108" w:type="dxa"/>
          </w:tblCellMar>
        </w:tblPrEx>
        <w:trPr>
          <w:trHeight w:val="870" w:hRule="atLeast"/>
          <w:jc w:val="center"/>
        </w:trPr>
        <w:tc>
          <w:tcPr>
            <w:tcW w:w="16040" w:type="dxa"/>
            <w:gridSpan w:val="22"/>
            <w:tcBorders>
              <w:top w:val="nil"/>
              <w:left w:val="nil"/>
              <w:bottom w:val="nil"/>
              <w:right w:val="nil"/>
            </w:tcBorders>
            <w:shd w:val="clear" w:color="000000" w:fill="FFFFFF"/>
            <w:vAlign w:val="center"/>
          </w:tcPr>
          <w:p>
            <w:pPr>
              <w:adjustRightInd/>
              <w:snapToGrid/>
              <w:spacing w:after="0"/>
              <w:jc w:val="center"/>
              <w:rPr>
                <w:rFonts w:ascii="宋体" w:hAnsi="宋体" w:eastAsia="宋体" w:cs="宋体"/>
                <w:b/>
                <w:bCs/>
                <w:sz w:val="44"/>
                <w:szCs w:val="44"/>
              </w:rPr>
            </w:pPr>
            <w:r>
              <w:rPr>
                <w:rFonts w:hint="eastAsia" w:ascii="宋体" w:hAnsi="宋体" w:eastAsia="宋体" w:cs="宋体"/>
                <w:b/>
                <w:bCs/>
                <w:sz w:val="44"/>
                <w:szCs w:val="44"/>
              </w:rPr>
              <w:t>部门预算收入总表</w:t>
            </w:r>
          </w:p>
        </w:tc>
      </w:tr>
      <w:tr>
        <w:tblPrEx>
          <w:tblLayout w:type="fixed"/>
          <w:tblCellMar>
            <w:top w:w="0" w:type="dxa"/>
            <w:left w:w="108" w:type="dxa"/>
            <w:bottom w:w="0" w:type="dxa"/>
            <w:right w:w="108" w:type="dxa"/>
          </w:tblCellMar>
        </w:tblPrEx>
        <w:trPr>
          <w:trHeight w:val="270" w:hRule="atLeast"/>
          <w:jc w:val="center"/>
        </w:trPr>
        <w:tc>
          <w:tcPr>
            <w:tcW w:w="11720" w:type="dxa"/>
            <w:gridSpan w:val="16"/>
            <w:tcBorders>
              <w:top w:val="nil"/>
              <w:left w:val="nil"/>
              <w:bottom w:val="nil"/>
              <w:right w:val="nil"/>
            </w:tcBorders>
            <w:shd w:val="clear" w:color="000000" w:fill="FFFFFF"/>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预算单位编码及名称：[314]宁晋县民政局</w:t>
            </w:r>
          </w:p>
        </w:tc>
        <w:tc>
          <w:tcPr>
            <w:tcW w:w="2160" w:type="dxa"/>
            <w:gridSpan w:val="4"/>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预算年度：2021</w:t>
            </w:r>
          </w:p>
        </w:tc>
        <w:tc>
          <w:tcPr>
            <w:tcW w:w="2160" w:type="dxa"/>
            <w:gridSpan w:val="2"/>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金额单位：万元</w:t>
            </w:r>
          </w:p>
        </w:tc>
      </w:tr>
      <w:tr>
        <w:tblPrEx>
          <w:tblLayout w:type="fixed"/>
          <w:tblCellMar>
            <w:top w:w="0" w:type="dxa"/>
            <w:left w:w="108" w:type="dxa"/>
            <w:bottom w:w="0" w:type="dxa"/>
            <w:right w:w="108" w:type="dxa"/>
          </w:tblCellMar>
        </w:tblPrEx>
        <w:trPr>
          <w:trHeight w:val="270" w:hRule="atLeast"/>
          <w:jc w:val="center"/>
        </w:trPr>
        <w:tc>
          <w:tcPr>
            <w:tcW w:w="820" w:type="dxa"/>
            <w:gridSpan w:val="2"/>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序号</w:t>
            </w:r>
          </w:p>
        </w:tc>
        <w:tc>
          <w:tcPr>
            <w:tcW w:w="4420" w:type="dxa"/>
            <w:gridSpan w:val="3"/>
            <w:tcBorders>
              <w:top w:val="single" w:color="auto" w:sz="4" w:space="0"/>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功能分类科目</w:t>
            </w:r>
          </w:p>
        </w:tc>
        <w:tc>
          <w:tcPr>
            <w:tcW w:w="10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合计</w:t>
            </w:r>
          </w:p>
        </w:tc>
        <w:tc>
          <w:tcPr>
            <w:tcW w:w="8640" w:type="dxa"/>
            <w:gridSpan w:val="15"/>
            <w:tcBorders>
              <w:top w:val="single" w:color="auto" w:sz="4" w:space="0"/>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本年收入</w:t>
            </w:r>
          </w:p>
        </w:tc>
        <w:tc>
          <w:tcPr>
            <w:tcW w:w="10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上年结转</w:t>
            </w:r>
          </w:p>
        </w:tc>
      </w:tr>
      <w:tr>
        <w:tblPrEx>
          <w:tblLayout w:type="fixed"/>
          <w:tblCellMar>
            <w:top w:w="0" w:type="dxa"/>
            <w:left w:w="108" w:type="dxa"/>
            <w:bottom w:w="0" w:type="dxa"/>
            <w:right w:w="108" w:type="dxa"/>
          </w:tblCellMar>
        </w:tblPrEx>
        <w:trPr>
          <w:trHeight w:val="450" w:hRule="atLeast"/>
          <w:jc w:val="center"/>
        </w:trPr>
        <w:tc>
          <w:tcPr>
            <w:tcW w:w="820" w:type="dxa"/>
            <w:gridSpan w:val="2"/>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科目编码</w:t>
            </w:r>
          </w:p>
        </w:tc>
        <w:tc>
          <w:tcPr>
            <w:tcW w:w="334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科目名称</w:t>
            </w: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108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小计</w:t>
            </w:r>
          </w:p>
        </w:tc>
        <w:tc>
          <w:tcPr>
            <w:tcW w:w="108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财政拨款收入</w:t>
            </w:r>
          </w:p>
        </w:tc>
        <w:tc>
          <w:tcPr>
            <w:tcW w:w="108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财政专户收入</w:t>
            </w:r>
          </w:p>
        </w:tc>
        <w:tc>
          <w:tcPr>
            <w:tcW w:w="108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事业收入</w:t>
            </w:r>
          </w:p>
        </w:tc>
        <w:tc>
          <w:tcPr>
            <w:tcW w:w="108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经营收入</w:t>
            </w:r>
          </w:p>
        </w:tc>
        <w:tc>
          <w:tcPr>
            <w:tcW w:w="108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上级补助收入</w:t>
            </w:r>
          </w:p>
        </w:tc>
        <w:tc>
          <w:tcPr>
            <w:tcW w:w="108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附属单位上缴收入</w:t>
            </w: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其他收入</w:t>
            </w: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栏次</w:t>
            </w: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w:t>
            </w:r>
          </w:p>
        </w:tc>
        <w:tc>
          <w:tcPr>
            <w:tcW w:w="334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w:t>
            </w: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w:t>
            </w:r>
          </w:p>
        </w:tc>
        <w:tc>
          <w:tcPr>
            <w:tcW w:w="108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w:t>
            </w:r>
          </w:p>
        </w:tc>
        <w:tc>
          <w:tcPr>
            <w:tcW w:w="108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5</w:t>
            </w:r>
          </w:p>
        </w:tc>
        <w:tc>
          <w:tcPr>
            <w:tcW w:w="108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6</w:t>
            </w:r>
          </w:p>
        </w:tc>
        <w:tc>
          <w:tcPr>
            <w:tcW w:w="108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7</w:t>
            </w:r>
          </w:p>
        </w:tc>
        <w:tc>
          <w:tcPr>
            <w:tcW w:w="108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8</w:t>
            </w:r>
          </w:p>
        </w:tc>
        <w:tc>
          <w:tcPr>
            <w:tcW w:w="108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9</w:t>
            </w:r>
          </w:p>
        </w:tc>
        <w:tc>
          <w:tcPr>
            <w:tcW w:w="108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10</w:t>
            </w: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11</w:t>
            </w: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12</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合计</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11861.36</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11861.36</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11861.36</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社会保障和就业支出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10982.49</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10982.49</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10982.49</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20802</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民政管理事务</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413.32</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413.32</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413.32</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2080201</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行政运行</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171.71</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171.71</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171.71</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5</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2080202</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一般行政管理事务</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185.48</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185.48</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185.48</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6</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2080299</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其他民政管理事务支出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56.13</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56.13</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56.13</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7</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20805</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行政事业单位养老支出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43.55</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43.55</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43.55</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8</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2080501</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行政单位离退休</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22.00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22.00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22.00</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9</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2080505</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机关事业单位基本养老保险缴费支出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21.55</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21.55</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21.55</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10</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20808</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抚恤</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11</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2080801</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死亡抚恤</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12</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社会福利</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2071.95</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2071.95</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2071.95</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13</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2081001</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儿童福利</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260.00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260.00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260.00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14</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2081002</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老年福利</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113.40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113.40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113.40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15</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2081004</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殡葬</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1462.82</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1462.82</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1462.82</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16</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2081005</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社会福利事业单位</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191.73</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191.73</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191.73</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17</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2081006</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养老服务</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44.00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44.00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44.00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18</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20811</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残疾人事业</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1200.00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1200.00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1200.00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19</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2081107</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残疾人生活和护理补贴</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1200.00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1200.00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1200.00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20</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20819</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最低生活保障</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5480.00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5480.00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5480.00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21</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2081901</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城市最低生活保障金支出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409.00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409.00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409.00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22</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2081902</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农村最低生活保障金支出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5071.00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5071.00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5071.00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23</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20820</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临时救助</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130.00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130.00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130.00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24</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2082001</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临时救助支出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115.00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115.00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115.00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25</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2082002</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流浪乞讨人员救助支出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15.00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15.00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15.00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26</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20821</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特困人员救助供养</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1639.00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1639.00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1639.00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27</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2082101</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城市特困人员救助供养支出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28</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2082102</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农村特困人员救助供养支出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1619.00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1619.00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1619.00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29</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20827</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财政对其他社会保险基金的补助</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30</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2082702</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财政对工伤保险基金的补助</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31</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210</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卫生健康支出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32</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21012</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财政对基本医疗保险基金的补助</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33</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2101201</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财政对职工基本医疗保险基金的补助</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34</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212</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城乡社区支出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45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35</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21219</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国有土地使用权出让收入对应专项债务收入安排的支出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45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36</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2121999</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其他国有土地使用权出让收入对应专项债务安排的支出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37</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221</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住房保障支出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38</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22102</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住房改革支出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39</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2210201</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住房公积金</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40</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其他支出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353.00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353.00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353.00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41</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22908</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彩票发行销售机构业务费安排的支出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42</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2290804</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福利彩票销售机构的业务费支出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43</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22960</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彩票公益金安排的支出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321.00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321.00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321.00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44</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2296002</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用于社会福利的彩票公益金支出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276.00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276.00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276.00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820" w:type="dxa"/>
            <w:gridSpan w:val="2"/>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45</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2296099</w:t>
            </w:r>
          </w:p>
        </w:tc>
        <w:tc>
          <w:tcPr>
            <w:tcW w:w="334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用于其他社会公益事业的彩票公益金支出</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45.00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45.00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45.00</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gridSpan w:val="2"/>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080"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540" w:hRule="atLeast"/>
          <w:jc w:val="center"/>
        </w:trPr>
        <w:tc>
          <w:tcPr>
            <w:tcW w:w="13656" w:type="dxa"/>
            <w:gridSpan w:val="19"/>
            <w:tcBorders>
              <w:top w:val="nil"/>
              <w:left w:val="nil"/>
              <w:bottom w:val="nil"/>
              <w:right w:val="nil"/>
            </w:tcBorders>
            <w:shd w:val="clear" w:color="000000" w:fill="FFFFFF"/>
            <w:vAlign w:val="center"/>
          </w:tcPr>
          <w:p>
            <w:pPr>
              <w:adjustRightInd/>
              <w:snapToGrid/>
              <w:spacing w:after="0"/>
              <w:jc w:val="center"/>
              <w:rPr>
                <w:rFonts w:hint="eastAsia" w:ascii="宋体" w:hAnsi="宋体" w:eastAsia="宋体" w:cs="宋体"/>
                <w:b/>
                <w:bCs/>
                <w:sz w:val="44"/>
                <w:szCs w:val="44"/>
              </w:rPr>
            </w:pPr>
          </w:p>
          <w:p>
            <w:pPr>
              <w:adjustRightInd/>
              <w:snapToGrid/>
              <w:spacing w:after="0"/>
              <w:jc w:val="center"/>
              <w:rPr>
                <w:rFonts w:hint="eastAsia" w:ascii="宋体" w:hAnsi="宋体" w:eastAsia="宋体" w:cs="宋体"/>
                <w:b/>
                <w:bCs/>
                <w:sz w:val="44"/>
                <w:szCs w:val="44"/>
              </w:rPr>
            </w:pPr>
          </w:p>
          <w:p>
            <w:pPr>
              <w:adjustRightInd/>
              <w:snapToGrid/>
              <w:spacing w:after="0"/>
              <w:jc w:val="center"/>
              <w:rPr>
                <w:rFonts w:hint="eastAsia" w:ascii="宋体" w:hAnsi="宋体" w:eastAsia="宋体" w:cs="宋体"/>
                <w:b/>
                <w:bCs/>
                <w:sz w:val="44"/>
                <w:szCs w:val="44"/>
              </w:rPr>
            </w:pPr>
          </w:p>
          <w:p>
            <w:pPr>
              <w:adjustRightInd/>
              <w:snapToGrid/>
              <w:spacing w:after="0"/>
              <w:jc w:val="center"/>
              <w:rPr>
                <w:rFonts w:hint="eastAsia" w:ascii="宋体" w:hAnsi="宋体" w:eastAsia="宋体" w:cs="宋体"/>
                <w:b/>
                <w:bCs/>
                <w:sz w:val="44"/>
                <w:szCs w:val="44"/>
              </w:rPr>
            </w:pPr>
          </w:p>
          <w:p>
            <w:pPr>
              <w:adjustRightInd/>
              <w:snapToGrid/>
              <w:spacing w:after="0"/>
              <w:jc w:val="center"/>
              <w:rPr>
                <w:rFonts w:ascii="宋体" w:hAnsi="宋体" w:eastAsia="宋体" w:cs="宋体"/>
                <w:b/>
                <w:bCs/>
                <w:sz w:val="44"/>
                <w:szCs w:val="44"/>
              </w:rPr>
            </w:pPr>
            <w:r>
              <w:rPr>
                <w:rFonts w:hint="eastAsia" w:ascii="宋体" w:hAnsi="宋体" w:eastAsia="宋体" w:cs="宋体"/>
                <w:b/>
                <w:bCs/>
                <w:sz w:val="44"/>
                <w:szCs w:val="44"/>
              </w:rPr>
              <w:t>部门预算支出总表</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8496" w:type="dxa"/>
            <w:gridSpan w:val="11"/>
            <w:tcBorders>
              <w:top w:val="nil"/>
              <w:left w:val="nil"/>
              <w:bottom w:val="nil"/>
              <w:right w:val="nil"/>
            </w:tcBorders>
            <w:shd w:val="clear" w:color="000000" w:fill="FFFFFF"/>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预算单位编码及名称：[314]宁晋县民政局</w:t>
            </w:r>
          </w:p>
        </w:tc>
        <w:tc>
          <w:tcPr>
            <w:tcW w:w="2220" w:type="dxa"/>
            <w:gridSpan w:val="4"/>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预算年度：2021</w:t>
            </w:r>
          </w:p>
        </w:tc>
        <w:tc>
          <w:tcPr>
            <w:tcW w:w="2940" w:type="dxa"/>
            <w:gridSpan w:val="4"/>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金额单位：万元</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序号</w:t>
            </w:r>
          </w:p>
        </w:tc>
        <w:tc>
          <w:tcPr>
            <w:tcW w:w="5940" w:type="dxa"/>
            <w:gridSpan w:val="6"/>
            <w:tcBorders>
              <w:top w:val="single" w:color="auto" w:sz="4" w:space="0"/>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支出功能分类科目</w:t>
            </w:r>
          </w:p>
        </w:tc>
        <w:tc>
          <w:tcPr>
            <w:tcW w:w="936" w:type="dxa"/>
            <w:gridSpan w:val="2"/>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本年支出合计</w:t>
            </w:r>
          </w:p>
        </w:tc>
        <w:tc>
          <w:tcPr>
            <w:tcW w:w="980" w:type="dxa"/>
            <w:gridSpan w:val="2"/>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基本支出</w:t>
            </w:r>
          </w:p>
        </w:tc>
        <w:tc>
          <w:tcPr>
            <w:tcW w:w="1080" w:type="dxa"/>
            <w:gridSpan w:val="2"/>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项目支出</w:t>
            </w:r>
          </w:p>
        </w:tc>
        <w:tc>
          <w:tcPr>
            <w:tcW w:w="1140" w:type="dxa"/>
            <w:gridSpan w:val="2"/>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经营支出</w:t>
            </w:r>
          </w:p>
        </w:tc>
        <w:tc>
          <w:tcPr>
            <w:tcW w:w="1400" w:type="dxa"/>
            <w:gridSpan w:val="2"/>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上缴上级支出</w:t>
            </w:r>
          </w:p>
        </w:tc>
        <w:tc>
          <w:tcPr>
            <w:tcW w:w="1540" w:type="dxa"/>
            <w:gridSpan w:val="2"/>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对附属单位补助支出</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1300" w:type="dxa"/>
            <w:gridSpan w:val="3"/>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科目编码</w:t>
            </w:r>
          </w:p>
        </w:tc>
        <w:tc>
          <w:tcPr>
            <w:tcW w:w="4640" w:type="dxa"/>
            <w:gridSpan w:val="3"/>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科目名称</w:t>
            </w:r>
          </w:p>
        </w:tc>
        <w:tc>
          <w:tcPr>
            <w:tcW w:w="936" w:type="dxa"/>
            <w:gridSpan w:val="2"/>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980" w:type="dxa"/>
            <w:gridSpan w:val="2"/>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1080" w:type="dxa"/>
            <w:gridSpan w:val="2"/>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1140" w:type="dxa"/>
            <w:gridSpan w:val="2"/>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1400" w:type="dxa"/>
            <w:gridSpan w:val="2"/>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1540" w:type="dxa"/>
            <w:gridSpan w:val="2"/>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栏次</w:t>
            </w:r>
          </w:p>
        </w:tc>
        <w:tc>
          <w:tcPr>
            <w:tcW w:w="1300" w:type="dxa"/>
            <w:gridSpan w:val="3"/>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w:t>
            </w:r>
          </w:p>
        </w:tc>
        <w:tc>
          <w:tcPr>
            <w:tcW w:w="4640" w:type="dxa"/>
            <w:gridSpan w:val="3"/>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w:t>
            </w:r>
          </w:p>
        </w:tc>
        <w:tc>
          <w:tcPr>
            <w:tcW w:w="936"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w:t>
            </w:r>
          </w:p>
        </w:tc>
        <w:tc>
          <w:tcPr>
            <w:tcW w:w="98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w:t>
            </w:r>
          </w:p>
        </w:tc>
        <w:tc>
          <w:tcPr>
            <w:tcW w:w="108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5</w:t>
            </w:r>
          </w:p>
        </w:tc>
        <w:tc>
          <w:tcPr>
            <w:tcW w:w="114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6</w:t>
            </w:r>
          </w:p>
        </w:tc>
        <w:tc>
          <w:tcPr>
            <w:tcW w:w="140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7</w:t>
            </w:r>
          </w:p>
        </w:tc>
        <w:tc>
          <w:tcPr>
            <w:tcW w:w="1540" w:type="dxa"/>
            <w:gridSpan w:val="2"/>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8</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6</w:t>
            </w:r>
          </w:p>
        </w:tc>
        <w:tc>
          <w:tcPr>
            <w:tcW w:w="1300" w:type="dxa"/>
            <w:gridSpan w:val="3"/>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合计</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11861.36</w:t>
            </w:r>
          </w:p>
        </w:tc>
        <w:tc>
          <w:tcPr>
            <w:tcW w:w="9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245.80</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11615.56</w:t>
            </w:r>
          </w:p>
        </w:tc>
        <w:tc>
          <w:tcPr>
            <w:tcW w:w="11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0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5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7</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社会保障和就业支出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10982.49</w:t>
            </w:r>
          </w:p>
        </w:tc>
        <w:tc>
          <w:tcPr>
            <w:tcW w:w="9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219.93</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10762.56</w:t>
            </w:r>
          </w:p>
        </w:tc>
        <w:tc>
          <w:tcPr>
            <w:tcW w:w="11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0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5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8</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20802</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民政管理事务</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413.32</w:t>
            </w:r>
          </w:p>
        </w:tc>
        <w:tc>
          <w:tcPr>
            <w:tcW w:w="9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171.71</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241.61</w:t>
            </w:r>
          </w:p>
        </w:tc>
        <w:tc>
          <w:tcPr>
            <w:tcW w:w="11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0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5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9</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2080201</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行政运行</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171.71</w:t>
            </w:r>
          </w:p>
        </w:tc>
        <w:tc>
          <w:tcPr>
            <w:tcW w:w="9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171.71</w:t>
            </w:r>
          </w:p>
        </w:tc>
        <w:tc>
          <w:tcPr>
            <w:tcW w:w="10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1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0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5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10</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2080202</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一般行政管理事务</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185.48</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185.48</w:t>
            </w:r>
          </w:p>
        </w:tc>
        <w:tc>
          <w:tcPr>
            <w:tcW w:w="11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0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5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11</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2080299</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其他民政管理事务支出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56.13</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56.13</w:t>
            </w:r>
          </w:p>
        </w:tc>
        <w:tc>
          <w:tcPr>
            <w:tcW w:w="11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0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5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12</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20805</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行政事业单位养老支出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43.55</w:t>
            </w:r>
          </w:p>
        </w:tc>
        <w:tc>
          <w:tcPr>
            <w:tcW w:w="9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43.55</w:t>
            </w:r>
          </w:p>
        </w:tc>
        <w:tc>
          <w:tcPr>
            <w:tcW w:w="10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1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0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5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13</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2080501</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行政单位离退休</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22.00</w:t>
            </w:r>
          </w:p>
        </w:tc>
        <w:tc>
          <w:tcPr>
            <w:tcW w:w="9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22.00</w:t>
            </w:r>
          </w:p>
        </w:tc>
        <w:tc>
          <w:tcPr>
            <w:tcW w:w="10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1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0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5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14</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2080505</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机关事业单位基本养老保险缴费支出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21.55</w:t>
            </w:r>
          </w:p>
        </w:tc>
        <w:tc>
          <w:tcPr>
            <w:tcW w:w="9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21.55</w:t>
            </w:r>
          </w:p>
        </w:tc>
        <w:tc>
          <w:tcPr>
            <w:tcW w:w="10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1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0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5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15</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20808</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抚恤</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9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10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1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0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5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16</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2080801</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死亡抚恤</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9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10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1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0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54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17</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社会福利</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2071.95</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2071.95</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18</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2081001</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儿童福利</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260.00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260.00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19</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2081002</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老年福利</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113.40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113.40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20</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2081004</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殡葬</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1462.82</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1462.82</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21</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2081005</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社会福利事业单位</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191.73</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191.73</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22</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2081006</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养老服务</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44.00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44.00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23</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20811</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残疾人事业</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1200.00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1200.00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24</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2081107</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残疾人生活和护理补贴</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1200.00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1200.00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25</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20819</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最低生活保障</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5480.00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5480.00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26</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2081901</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城市最低生活保障金支出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409.00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409.00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27</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2081902</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农村最低生活保障金支出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5071.00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5071.00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28</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20820</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临时救助</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130.00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130.00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29</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2082001</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临时救助支出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115.00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115.00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30</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2082002</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流浪乞讨人员救助支出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15.00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15.00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31</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20821</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特困人员救助供养</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1639.00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1639.00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32</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2082101</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城市特困人员救助供养支出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33</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2082102</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农村特困人员救助供养支出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1619.00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1619.00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34</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20827</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财政对其他社会保险基金的补助</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9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10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35</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2082702</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财政对工伤保险基金的补助</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9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10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36</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210</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卫生健康支出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9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0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37</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21012</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财政对基本医疗保险基金的补助</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9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0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38</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2101201</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财政对职工基本医疗保险基金的补助</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9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0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39</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212</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城乡社区支出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40</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21219</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国有土地使用权出让收入对应专项债务收入安排的支出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41</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2121999</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其他国有土地使用权出让收入对应专项债务安排的支出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42</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221</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住房保障支出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9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0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43</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22102</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住房改革支出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9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0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44</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2210201</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住房公积金</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9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0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45</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其他支出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353.00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353.00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46</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22908</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彩票发行销售机构业务费安排的支出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47</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2290804</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福利彩票销售机构的业务费支出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48</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22960</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彩票公益金安排的支出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321.00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321.00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49</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2296002</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用于社会福利的彩票公益金支出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276.00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276.00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gridAfter w:val="3"/>
          <w:wAfter w:w="2384" w:type="dxa"/>
          <w:trHeight w:val="270" w:hRule="atLeast"/>
          <w:jc w:val="center"/>
        </w:trPr>
        <w:tc>
          <w:tcPr>
            <w:tcW w:w="64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50</w:t>
            </w:r>
          </w:p>
        </w:tc>
        <w:tc>
          <w:tcPr>
            <w:tcW w:w="130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2296099</w:t>
            </w:r>
          </w:p>
        </w:tc>
        <w:tc>
          <w:tcPr>
            <w:tcW w:w="4640" w:type="dxa"/>
            <w:gridSpan w:val="3"/>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用于其他社会公益事业的彩票公益金支出</w:t>
            </w:r>
          </w:p>
        </w:tc>
        <w:tc>
          <w:tcPr>
            <w:tcW w:w="936"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45.00</w:t>
            </w:r>
          </w:p>
        </w:tc>
        <w:tc>
          <w:tcPr>
            <w:tcW w:w="980" w:type="dxa"/>
            <w:gridSpan w:val="2"/>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45.00</w:t>
            </w:r>
          </w:p>
        </w:tc>
        <w:tc>
          <w:tcPr>
            <w:tcW w:w="11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0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540" w:type="dxa"/>
            <w:gridSpan w:val="2"/>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bl>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tbl>
      <w:tblPr>
        <w:tblStyle w:val="8"/>
        <w:tblW w:w="13760" w:type="dxa"/>
        <w:tblInd w:w="93" w:type="dxa"/>
        <w:tblLayout w:type="fixed"/>
        <w:tblCellMar>
          <w:top w:w="0" w:type="dxa"/>
          <w:left w:w="108" w:type="dxa"/>
          <w:bottom w:w="0" w:type="dxa"/>
          <w:right w:w="108" w:type="dxa"/>
        </w:tblCellMar>
      </w:tblPr>
      <w:tblGrid>
        <w:gridCol w:w="1080"/>
        <w:gridCol w:w="2940"/>
        <w:gridCol w:w="1840"/>
        <w:gridCol w:w="3580"/>
        <w:gridCol w:w="1080"/>
        <w:gridCol w:w="1080"/>
        <w:gridCol w:w="1080"/>
        <w:gridCol w:w="1080"/>
      </w:tblGrid>
      <w:tr>
        <w:tblPrEx>
          <w:tblLayout w:type="fixed"/>
          <w:tblCellMar>
            <w:top w:w="0" w:type="dxa"/>
            <w:left w:w="108" w:type="dxa"/>
            <w:bottom w:w="0" w:type="dxa"/>
            <w:right w:w="108" w:type="dxa"/>
          </w:tblCellMar>
        </w:tblPrEx>
        <w:trPr>
          <w:trHeight w:val="810" w:hRule="atLeast"/>
        </w:trPr>
        <w:tc>
          <w:tcPr>
            <w:tcW w:w="13760" w:type="dxa"/>
            <w:gridSpan w:val="8"/>
            <w:tcBorders>
              <w:top w:val="nil"/>
              <w:left w:val="nil"/>
              <w:bottom w:val="nil"/>
              <w:right w:val="nil"/>
            </w:tcBorders>
            <w:shd w:val="clear" w:color="000000" w:fill="FFFFFF"/>
            <w:vAlign w:val="center"/>
          </w:tcPr>
          <w:p>
            <w:pPr>
              <w:adjustRightInd/>
              <w:snapToGrid/>
              <w:spacing w:after="0"/>
              <w:jc w:val="center"/>
              <w:rPr>
                <w:rFonts w:ascii="宋体" w:hAnsi="宋体" w:eastAsia="宋体" w:cs="宋体"/>
                <w:b/>
                <w:bCs/>
                <w:sz w:val="44"/>
                <w:szCs w:val="44"/>
              </w:rPr>
            </w:pPr>
            <w:r>
              <w:rPr>
                <w:rFonts w:hint="eastAsia" w:ascii="宋体" w:hAnsi="宋体" w:eastAsia="宋体" w:cs="宋体"/>
                <w:b/>
                <w:bCs/>
                <w:sz w:val="44"/>
                <w:szCs w:val="44"/>
              </w:rPr>
              <w:t>部门预算财政拨款收支总表</w:t>
            </w:r>
          </w:p>
        </w:tc>
      </w:tr>
      <w:tr>
        <w:tblPrEx>
          <w:tblLayout w:type="fixed"/>
          <w:tblCellMar>
            <w:top w:w="0" w:type="dxa"/>
            <w:left w:w="108" w:type="dxa"/>
            <w:bottom w:w="0" w:type="dxa"/>
            <w:right w:w="108" w:type="dxa"/>
          </w:tblCellMar>
        </w:tblPrEx>
        <w:trPr>
          <w:trHeight w:val="270" w:hRule="atLeast"/>
        </w:trPr>
        <w:tc>
          <w:tcPr>
            <w:tcW w:w="9440" w:type="dxa"/>
            <w:gridSpan w:val="4"/>
            <w:tcBorders>
              <w:top w:val="nil"/>
              <w:left w:val="nil"/>
              <w:bottom w:val="nil"/>
              <w:right w:val="nil"/>
            </w:tcBorders>
            <w:shd w:val="clear" w:color="000000" w:fill="FFFFFF"/>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预算单位编码及名称：[314]宁晋县民政局</w:t>
            </w:r>
          </w:p>
        </w:tc>
        <w:tc>
          <w:tcPr>
            <w:tcW w:w="2160" w:type="dxa"/>
            <w:gridSpan w:val="2"/>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预算年度：2021</w:t>
            </w:r>
          </w:p>
        </w:tc>
        <w:tc>
          <w:tcPr>
            <w:tcW w:w="2160" w:type="dxa"/>
            <w:gridSpan w:val="2"/>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金额单位：万元</w:t>
            </w:r>
          </w:p>
        </w:tc>
      </w:tr>
      <w:tr>
        <w:tblPrEx>
          <w:tblLayout w:type="fixed"/>
          <w:tblCellMar>
            <w:top w:w="0" w:type="dxa"/>
            <w:left w:w="108" w:type="dxa"/>
            <w:bottom w:w="0" w:type="dxa"/>
            <w:right w:w="108" w:type="dxa"/>
          </w:tblCellMar>
        </w:tblPrEx>
        <w:trPr>
          <w:trHeight w:val="525" w:hRule="atLeast"/>
        </w:trPr>
        <w:tc>
          <w:tcPr>
            <w:tcW w:w="10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序号</w:t>
            </w:r>
          </w:p>
        </w:tc>
        <w:tc>
          <w:tcPr>
            <w:tcW w:w="4780" w:type="dxa"/>
            <w:gridSpan w:val="2"/>
            <w:tcBorders>
              <w:top w:val="single" w:color="auto" w:sz="4" w:space="0"/>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收入</w:t>
            </w:r>
          </w:p>
        </w:tc>
        <w:tc>
          <w:tcPr>
            <w:tcW w:w="7900" w:type="dxa"/>
            <w:gridSpan w:val="5"/>
            <w:tcBorders>
              <w:top w:val="single" w:color="auto" w:sz="4" w:space="0"/>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支出</w:t>
            </w:r>
          </w:p>
        </w:tc>
      </w:tr>
      <w:tr>
        <w:tblPrEx>
          <w:tblLayout w:type="fixed"/>
          <w:tblCellMar>
            <w:top w:w="0" w:type="dxa"/>
            <w:left w:w="108" w:type="dxa"/>
            <w:bottom w:w="0" w:type="dxa"/>
            <w:right w:w="108" w:type="dxa"/>
          </w:tblCellMar>
        </w:tblPrEx>
        <w:trPr>
          <w:trHeight w:val="675" w:hRule="atLeast"/>
        </w:trPr>
        <w:tc>
          <w:tcPr>
            <w:tcW w:w="108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294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项    目</w:t>
            </w:r>
          </w:p>
        </w:tc>
        <w:tc>
          <w:tcPr>
            <w:tcW w:w="184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金额</w:t>
            </w:r>
          </w:p>
        </w:tc>
        <w:tc>
          <w:tcPr>
            <w:tcW w:w="35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项    目</w:t>
            </w: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合计</w:t>
            </w: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一般公共预算财政拨款</w:t>
            </w: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政府性基金预算财政拨款</w:t>
            </w: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国有资本经营预算财政拨款</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栏次</w:t>
            </w:r>
          </w:p>
        </w:tc>
        <w:tc>
          <w:tcPr>
            <w:tcW w:w="294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w:t>
            </w:r>
          </w:p>
        </w:tc>
        <w:tc>
          <w:tcPr>
            <w:tcW w:w="184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w:t>
            </w:r>
          </w:p>
        </w:tc>
        <w:tc>
          <w:tcPr>
            <w:tcW w:w="35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w:t>
            </w: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w:t>
            </w: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5</w:t>
            </w: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6</w:t>
            </w: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7</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w:t>
            </w:r>
          </w:p>
        </w:tc>
        <w:tc>
          <w:tcPr>
            <w:tcW w:w="29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一、一般公共预算拨款</w:t>
            </w:r>
          </w:p>
        </w:tc>
        <w:tc>
          <w:tcPr>
            <w:tcW w:w="18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11008.36</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一、一般公共服务支出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w:t>
            </w:r>
          </w:p>
        </w:tc>
        <w:tc>
          <w:tcPr>
            <w:tcW w:w="29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二、政府性基金预算拨款</w:t>
            </w:r>
          </w:p>
        </w:tc>
        <w:tc>
          <w:tcPr>
            <w:tcW w:w="18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853.00</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二、外交支出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w:t>
            </w:r>
          </w:p>
        </w:tc>
        <w:tc>
          <w:tcPr>
            <w:tcW w:w="29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三、国有资本经营预算拨款</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三、国防支出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四、公共安全支出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5</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五、教育支出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6</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六、科学技术支出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7</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七、文化旅游体育与传媒支出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8</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八、社会保障和就业支出</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10982.49</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10982.49</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9</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九、社会保险基金支出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10</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十、卫生健康支出</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11</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十一、节能环保支出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12</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十二、城乡社区支出</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13</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十三、农林水支出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14</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十四、交通运输支出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15</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十五、资源勘探工业信息等支出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16</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十六、商业服务业等支出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17</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十七、金融支出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18</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十八、援助其他地区支出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19</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十九、自然资源海洋气象等支出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20</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二十、住房保障支出</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21</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二十一、粮油物资储备支出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22</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二十二、国有资本经营预算支出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23</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二十三、灾害防治及应急管理支出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24</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二十四、预备费</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25</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二十五、其他支出</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353.00</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353.00</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26</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二十六、转移性支出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27</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二十七、债务还本支出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28</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二十八、债务付息支出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29</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二十九、债务发行费用支出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30</w:t>
            </w:r>
          </w:p>
        </w:tc>
        <w:tc>
          <w:tcPr>
            <w:tcW w:w="29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三十、抗疫特别国债安排的支出</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31</w:t>
            </w:r>
          </w:p>
        </w:tc>
        <w:tc>
          <w:tcPr>
            <w:tcW w:w="29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本年收入合计</w:t>
            </w:r>
          </w:p>
        </w:tc>
        <w:tc>
          <w:tcPr>
            <w:tcW w:w="18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11861.36</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本年支出合计</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11861.36</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11008.36</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853.00</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32</w:t>
            </w:r>
          </w:p>
        </w:tc>
        <w:tc>
          <w:tcPr>
            <w:tcW w:w="29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年初财政拨款结转和结余</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年末财政拨款结转和结余</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33</w:t>
            </w:r>
          </w:p>
        </w:tc>
        <w:tc>
          <w:tcPr>
            <w:tcW w:w="29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一、一般公共预算拨款</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34</w:t>
            </w:r>
          </w:p>
        </w:tc>
        <w:tc>
          <w:tcPr>
            <w:tcW w:w="29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二、政府性基金预算拨款</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35</w:t>
            </w:r>
          </w:p>
        </w:tc>
        <w:tc>
          <w:tcPr>
            <w:tcW w:w="29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三、国有资本经营预算拨款</w:t>
            </w:r>
          </w:p>
        </w:tc>
        <w:tc>
          <w:tcPr>
            <w:tcW w:w="184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36</w:t>
            </w:r>
          </w:p>
        </w:tc>
        <w:tc>
          <w:tcPr>
            <w:tcW w:w="29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收入总计</w:t>
            </w:r>
          </w:p>
        </w:tc>
        <w:tc>
          <w:tcPr>
            <w:tcW w:w="18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11861.36</w:t>
            </w:r>
          </w:p>
        </w:tc>
        <w:tc>
          <w:tcPr>
            <w:tcW w:w="35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支出总计</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11861.36</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11008.36</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853.00</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bl>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tbl>
      <w:tblPr>
        <w:tblStyle w:val="8"/>
        <w:tblW w:w="13840" w:type="dxa"/>
        <w:tblInd w:w="93" w:type="dxa"/>
        <w:tblLayout w:type="fixed"/>
        <w:tblCellMar>
          <w:top w:w="0" w:type="dxa"/>
          <w:left w:w="108" w:type="dxa"/>
          <w:bottom w:w="0" w:type="dxa"/>
          <w:right w:w="108" w:type="dxa"/>
        </w:tblCellMar>
      </w:tblPr>
      <w:tblGrid>
        <w:gridCol w:w="1080"/>
        <w:gridCol w:w="1080"/>
        <w:gridCol w:w="3520"/>
        <w:gridCol w:w="1480"/>
        <w:gridCol w:w="1360"/>
        <w:gridCol w:w="1480"/>
        <w:gridCol w:w="1720"/>
        <w:gridCol w:w="2120"/>
      </w:tblGrid>
      <w:tr>
        <w:tblPrEx>
          <w:tblLayout w:type="fixed"/>
          <w:tblCellMar>
            <w:top w:w="0" w:type="dxa"/>
            <w:left w:w="108" w:type="dxa"/>
            <w:bottom w:w="0" w:type="dxa"/>
            <w:right w:w="108" w:type="dxa"/>
          </w:tblCellMar>
        </w:tblPrEx>
        <w:trPr>
          <w:trHeight w:val="975" w:hRule="atLeast"/>
        </w:trPr>
        <w:tc>
          <w:tcPr>
            <w:tcW w:w="13840" w:type="dxa"/>
            <w:gridSpan w:val="8"/>
            <w:tcBorders>
              <w:top w:val="nil"/>
              <w:left w:val="nil"/>
              <w:bottom w:val="nil"/>
              <w:right w:val="nil"/>
            </w:tcBorders>
            <w:shd w:val="clear" w:color="000000" w:fill="FFFFFF"/>
            <w:vAlign w:val="center"/>
          </w:tcPr>
          <w:p>
            <w:pPr>
              <w:adjustRightInd/>
              <w:snapToGrid/>
              <w:spacing w:after="0"/>
              <w:jc w:val="center"/>
              <w:rPr>
                <w:rFonts w:ascii="宋体" w:hAnsi="宋体" w:eastAsia="宋体" w:cs="宋体"/>
                <w:b/>
                <w:bCs/>
                <w:sz w:val="44"/>
                <w:szCs w:val="44"/>
              </w:rPr>
            </w:pPr>
            <w:r>
              <w:rPr>
                <w:rFonts w:hint="eastAsia" w:ascii="宋体" w:hAnsi="宋体" w:eastAsia="宋体" w:cs="宋体"/>
                <w:b/>
                <w:bCs/>
                <w:sz w:val="44"/>
                <w:szCs w:val="44"/>
              </w:rPr>
              <w:t>部门预算一般公共预算财政拨款支出表</w:t>
            </w:r>
          </w:p>
        </w:tc>
      </w:tr>
      <w:tr>
        <w:tblPrEx>
          <w:tblLayout w:type="fixed"/>
          <w:tblCellMar>
            <w:top w:w="0" w:type="dxa"/>
            <w:left w:w="108" w:type="dxa"/>
            <w:bottom w:w="0" w:type="dxa"/>
            <w:right w:w="108" w:type="dxa"/>
          </w:tblCellMar>
        </w:tblPrEx>
        <w:trPr>
          <w:trHeight w:val="270" w:hRule="atLeast"/>
        </w:trPr>
        <w:tc>
          <w:tcPr>
            <w:tcW w:w="8520" w:type="dxa"/>
            <w:gridSpan w:val="5"/>
            <w:tcBorders>
              <w:top w:val="nil"/>
              <w:left w:val="nil"/>
              <w:bottom w:val="nil"/>
              <w:right w:val="nil"/>
            </w:tcBorders>
            <w:shd w:val="clear" w:color="000000" w:fill="FFFFFF"/>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预算单位编码及名称：[314]宁晋县民政局</w:t>
            </w:r>
          </w:p>
        </w:tc>
        <w:tc>
          <w:tcPr>
            <w:tcW w:w="3200" w:type="dxa"/>
            <w:gridSpan w:val="2"/>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预算年度：2021</w:t>
            </w:r>
          </w:p>
        </w:tc>
        <w:tc>
          <w:tcPr>
            <w:tcW w:w="2120" w:type="dxa"/>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金额单位：万元</w:t>
            </w:r>
          </w:p>
        </w:tc>
      </w:tr>
      <w:tr>
        <w:tblPrEx>
          <w:tblLayout w:type="fixed"/>
          <w:tblCellMar>
            <w:top w:w="0" w:type="dxa"/>
            <w:left w:w="108" w:type="dxa"/>
            <w:bottom w:w="0" w:type="dxa"/>
            <w:right w:w="108" w:type="dxa"/>
          </w:tblCellMar>
        </w:tblPrEx>
        <w:trPr>
          <w:trHeight w:val="270" w:hRule="atLeast"/>
        </w:trPr>
        <w:tc>
          <w:tcPr>
            <w:tcW w:w="10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序号</w:t>
            </w:r>
          </w:p>
        </w:tc>
        <w:tc>
          <w:tcPr>
            <w:tcW w:w="4600" w:type="dxa"/>
            <w:gridSpan w:val="2"/>
            <w:tcBorders>
              <w:top w:val="single" w:color="auto" w:sz="4" w:space="0"/>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支出功能分类科目</w:t>
            </w:r>
          </w:p>
        </w:tc>
        <w:tc>
          <w:tcPr>
            <w:tcW w:w="14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合计</w:t>
            </w:r>
          </w:p>
        </w:tc>
        <w:tc>
          <w:tcPr>
            <w:tcW w:w="4560" w:type="dxa"/>
            <w:gridSpan w:val="3"/>
            <w:tcBorders>
              <w:top w:val="single" w:color="auto" w:sz="4" w:space="0"/>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基本支出</w:t>
            </w:r>
          </w:p>
        </w:tc>
        <w:tc>
          <w:tcPr>
            <w:tcW w:w="212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项目支出</w:t>
            </w:r>
          </w:p>
        </w:tc>
      </w:tr>
      <w:tr>
        <w:tblPrEx>
          <w:tblLayout w:type="fixed"/>
          <w:tblCellMar>
            <w:top w:w="0" w:type="dxa"/>
            <w:left w:w="108" w:type="dxa"/>
            <w:bottom w:w="0" w:type="dxa"/>
            <w:right w:w="108" w:type="dxa"/>
          </w:tblCellMar>
        </w:tblPrEx>
        <w:trPr>
          <w:trHeight w:val="270" w:hRule="atLeast"/>
        </w:trPr>
        <w:tc>
          <w:tcPr>
            <w:tcW w:w="108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科目编码</w:t>
            </w:r>
          </w:p>
        </w:tc>
        <w:tc>
          <w:tcPr>
            <w:tcW w:w="352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科目名称</w:t>
            </w:r>
          </w:p>
        </w:tc>
        <w:tc>
          <w:tcPr>
            <w:tcW w:w="148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136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小计</w:t>
            </w:r>
          </w:p>
        </w:tc>
        <w:tc>
          <w:tcPr>
            <w:tcW w:w="14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人员经费</w:t>
            </w:r>
          </w:p>
        </w:tc>
        <w:tc>
          <w:tcPr>
            <w:tcW w:w="172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公用经费</w:t>
            </w:r>
          </w:p>
        </w:tc>
        <w:tc>
          <w:tcPr>
            <w:tcW w:w="212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栏次</w:t>
            </w: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w:t>
            </w:r>
          </w:p>
        </w:tc>
        <w:tc>
          <w:tcPr>
            <w:tcW w:w="352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w:t>
            </w:r>
          </w:p>
        </w:tc>
        <w:tc>
          <w:tcPr>
            <w:tcW w:w="14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w:t>
            </w:r>
          </w:p>
        </w:tc>
        <w:tc>
          <w:tcPr>
            <w:tcW w:w="136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w:t>
            </w:r>
          </w:p>
        </w:tc>
        <w:tc>
          <w:tcPr>
            <w:tcW w:w="14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5</w:t>
            </w:r>
          </w:p>
        </w:tc>
        <w:tc>
          <w:tcPr>
            <w:tcW w:w="172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6</w:t>
            </w:r>
          </w:p>
        </w:tc>
        <w:tc>
          <w:tcPr>
            <w:tcW w:w="212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7</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合计</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11008.36</w:t>
            </w:r>
          </w:p>
        </w:tc>
        <w:tc>
          <w:tcPr>
            <w:tcW w:w="13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245.80</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219.76</w:t>
            </w:r>
          </w:p>
        </w:tc>
        <w:tc>
          <w:tcPr>
            <w:tcW w:w="17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26.04</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10762.56</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社会保障和就业支出</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10982.49</w:t>
            </w:r>
          </w:p>
        </w:tc>
        <w:tc>
          <w:tcPr>
            <w:tcW w:w="13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219.93</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193.89</w:t>
            </w:r>
          </w:p>
        </w:tc>
        <w:tc>
          <w:tcPr>
            <w:tcW w:w="17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26.04</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10762.56</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20802</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民政管理事务</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413.32</w:t>
            </w:r>
          </w:p>
        </w:tc>
        <w:tc>
          <w:tcPr>
            <w:tcW w:w="13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171.71</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146.17</w:t>
            </w:r>
          </w:p>
        </w:tc>
        <w:tc>
          <w:tcPr>
            <w:tcW w:w="17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25.54</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241.61</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2080201</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行政运行</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171.71</w:t>
            </w:r>
          </w:p>
        </w:tc>
        <w:tc>
          <w:tcPr>
            <w:tcW w:w="13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171.71</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146.17</w:t>
            </w:r>
          </w:p>
        </w:tc>
        <w:tc>
          <w:tcPr>
            <w:tcW w:w="17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25.54</w:t>
            </w:r>
          </w:p>
        </w:tc>
        <w:tc>
          <w:tcPr>
            <w:tcW w:w="21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5</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2080202</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一般行政管理事务</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185.48</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185.48</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6</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2080299</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其他民政管理事务支出</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56.13</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56.13</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7</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20805</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行政事业单位养老支出</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43.55</w:t>
            </w:r>
          </w:p>
        </w:tc>
        <w:tc>
          <w:tcPr>
            <w:tcW w:w="13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43.55</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43.05</w:t>
            </w:r>
          </w:p>
        </w:tc>
        <w:tc>
          <w:tcPr>
            <w:tcW w:w="17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0.50</w:t>
            </w:r>
          </w:p>
        </w:tc>
        <w:tc>
          <w:tcPr>
            <w:tcW w:w="21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8</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2080501</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行政单位离退休</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22.00</w:t>
            </w:r>
          </w:p>
        </w:tc>
        <w:tc>
          <w:tcPr>
            <w:tcW w:w="13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22.00</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21.50</w:t>
            </w:r>
          </w:p>
        </w:tc>
        <w:tc>
          <w:tcPr>
            <w:tcW w:w="17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0.50</w:t>
            </w:r>
          </w:p>
        </w:tc>
        <w:tc>
          <w:tcPr>
            <w:tcW w:w="21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9</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2080505</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机关事业单位基本养老保险缴费支出</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21.55</w:t>
            </w:r>
          </w:p>
        </w:tc>
        <w:tc>
          <w:tcPr>
            <w:tcW w:w="13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21.55</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21.55</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10</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20808</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抚恤</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13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11</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2080801</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死亡抚恤</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13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12</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社会福利</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2071.95</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2071.95</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13</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2081001</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儿童福利</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260.00</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260.00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14</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2081002</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老年福利</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113.40</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113.40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15</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2081004</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殡葬</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1462.82</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1462.82</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16</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2081005</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社会福利事业单位</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191.73</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191.73</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17</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2081006</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养老服务</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44.00</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44.00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18</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20811</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残疾人事业</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1200.00</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1200.00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19</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2081107</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残疾人生活和护理补贴</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1200.00</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1200.00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20</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20819</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最低生活保障</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5480.00</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5480.00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21</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2081901</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城市最低生活保障金支出</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409.00</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409.00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22</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2081902</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农村最低生活保障金支出</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5071.00</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5071.00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23</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20820</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临时救助</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130.00</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130.00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24</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2082001</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临时救助支出</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115.00</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115.00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25</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2082002</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流浪乞讨人员救助支出</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15.00</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15.00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26</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20821</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特困人员救助供养</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1639.00</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1639.00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27</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2082101</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城市特困人员救助供养支出</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20.00</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28</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2082102</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农村特困人员救助供养支出</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1619.00</w:t>
            </w:r>
          </w:p>
        </w:tc>
        <w:tc>
          <w:tcPr>
            <w:tcW w:w="13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1619.00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29</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20827</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财政对其他社会保险基金的补助</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13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30</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2082702</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财政对工伤保险基金的补助</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13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31</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210</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卫生健康支出</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3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32</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21012</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财政对基本医疗保险基金的补助</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3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33</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2101201</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财政对职工基本医疗保险基金的补助</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3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34</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221</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住房保障支出</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3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35</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22102</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住房改革支出</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3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36</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2210201</w:t>
            </w:r>
          </w:p>
        </w:tc>
        <w:tc>
          <w:tcPr>
            <w:tcW w:w="35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住房公积金</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3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7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bl>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tbl>
      <w:tblPr>
        <w:tblStyle w:val="8"/>
        <w:tblW w:w="11520" w:type="dxa"/>
        <w:tblInd w:w="93" w:type="dxa"/>
        <w:tblLayout w:type="fixed"/>
        <w:tblCellMar>
          <w:top w:w="0" w:type="dxa"/>
          <w:left w:w="108" w:type="dxa"/>
          <w:bottom w:w="0" w:type="dxa"/>
          <w:right w:w="108" w:type="dxa"/>
        </w:tblCellMar>
      </w:tblPr>
      <w:tblGrid>
        <w:gridCol w:w="1420"/>
        <w:gridCol w:w="1800"/>
        <w:gridCol w:w="3040"/>
        <w:gridCol w:w="1780"/>
        <w:gridCol w:w="1620"/>
        <w:gridCol w:w="1860"/>
      </w:tblGrid>
      <w:tr>
        <w:tblPrEx>
          <w:tblLayout w:type="fixed"/>
          <w:tblCellMar>
            <w:top w:w="0" w:type="dxa"/>
            <w:left w:w="108" w:type="dxa"/>
            <w:bottom w:w="0" w:type="dxa"/>
            <w:right w:w="108" w:type="dxa"/>
          </w:tblCellMar>
        </w:tblPrEx>
        <w:trPr>
          <w:trHeight w:val="1185" w:hRule="atLeast"/>
        </w:trPr>
        <w:tc>
          <w:tcPr>
            <w:tcW w:w="11520" w:type="dxa"/>
            <w:gridSpan w:val="6"/>
            <w:tcBorders>
              <w:top w:val="nil"/>
              <w:left w:val="nil"/>
              <w:bottom w:val="nil"/>
              <w:right w:val="nil"/>
            </w:tcBorders>
            <w:shd w:val="clear" w:color="000000" w:fill="FFFFFF"/>
            <w:vAlign w:val="center"/>
          </w:tcPr>
          <w:p>
            <w:pPr>
              <w:adjustRightInd/>
              <w:snapToGrid/>
              <w:spacing w:after="0"/>
              <w:jc w:val="center"/>
              <w:rPr>
                <w:rFonts w:ascii="宋体" w:hAnsi="宋体" w:eastAsia="宋体" w:cs="宋体"/>
                <w:b/>
                <w:bCs/>
                <w:sz w:val="44"/>
                <w:szCs w:val="44"/>
              </w:rPr>
            </w:pPr>
            <w:r>
              <w:rPr>
                <w:rFonts w:hint="eastAsia" w:ascii="宋体" w:hAnsi="宋体" w:eastAsia="宋体" w:cs="宋体"/>
                <w:b/>
                <w:bCs/>
                <w:sz w:val="44"/>
                <w:szCs w:val="44"/>
              </w:rPr>
              <w:t>部门预算一般公共预算财政拨款基本支出表</w:t>
            </w:r>
          </w:p>
        </w:tc>
      </w:tr>
      <w:tr>
        <w:tblPrEx>
          <w:tblLayout w:type="fixed"/>
          <w:tblCellMar>
            <w:top w:w="0" w:type="dxa"/>
            <w:left w:w="108" w:type="dxa"/>
            <w:bottom w:w="0" w:type="dxa"/>
            <w:right w:w="108" w:type="dxa"/>
          </w:tblCellMar>
        </w:tblPrEx>
        <w:trPr>
          <w:trHeight w:val="270" w:hRule="atLeast"/>
        </w:trPr>
        <w:tc>
          <w:tcPr>
            <w:tcW w:w="8040" w:type="dxa"/>
            <w:gridSpan w:val="4"/>
            <w:tcBorders>
              <w:top w:val="nil"/>
              <w:left w:val="nil"/>
              <w:bottom w:val="nil"/>
              <w:right w:val="nil"/>
            </w:tcBorders>
            <w:shd w:val="clear" w:color="000000" w:fill="FFFFFF"/>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预算单位编码及名称：[314]宁晋县民政局</w:t>
            </w:r>
          </w:p>
        </w:tc>
        <w:tc>
          <w:tcPr>
            <w:tcW w:w="1620" w:type="dxa"/>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预算年度：2021</w:t>
            </w:r>
          </w:p>
        </w:tc>
        <w:tc>
          <w:tcPr>
            <w:tcW w:w="1860" w:type="dxa"/>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金额单位：万元</w:t>
            </w:r>
          </w:p>
        </w:tc>
      </w:tr>
      <w:tr>
        <w:tblPrEx>
          <w:tblLayout w:type="fixed"/>
          <w:tblCellMar>
            <w:top w:w="0" w:type="dxa"/>
            <w:left w:w="108" w:type="dxa"/>
            <w:bottom w:w="0" w:type="dxa"/>
            <w:right w:w="108" w:type="dxa"/>
          </w:tblCellMar>
        </w:tblPrEx>
        <w:trPr>
          <w:trHeight w:val="270"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序号</w:t>
            </w:r>
          </w:p>
        </w:tc>
        <w:tc>
          <w:tcPr>
            <w:tcW w:w="4840" w:type="dxa"/>
            <w:gridSpan w:val="2"/>
            <w:tcBorders>
              <w:top w:val="single" w:color="auto" w:sz="4" w:space="0"/>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支出部门经济分类科目</w:t>
            </w:r>
          </w:p>
        </w:tc>
        <w:tc>
          <w:tcPr>
            <w:tcW w:w="5260" w:type="dxa"/>
            <w:gridSpan w:val="3"/>
            <w:tcBorders>
              <w:top w:val="single" w:color="auto" w:sz="4" w:space="0"/>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一般公共预算基本支出</w:t>
            </w:r>
          </w:p>
        </w:tc>
      </w:tr>
      <w:tr>
        <w:tblPrEx>
          <w:tblLayout w:type="fixed"/>
          <w:tblCellMar>
            <w:top w:w="0" w:type="dxa"/>
            <w:left w:w="108" w:type="dxa"/>
            <w:bottom w:w="0" w:type="dxa"/>
            <w:right w:w="108" w:type="dxa"/>
          </w:tblCellMar>
        </w:tblPrEx>
        <w:trPr>
          <w:trHeight w:val="270"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180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科目编码</w:t>
            </w:r>
          </w:p>
        </w:tc>
        <w:tc>
          <w:tcPr>
            <w:tcW w:w="304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科目名称</w:t>
            </w:r>
          </w:p>
        </w:tc>
        <w:tc>
          <w:tcPr>
            <w:tcW w:w="17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合计</w:t>
            </w:r>
          </w:p>
        </w:tc>
        <w:tc>
          <w:tcPr>
            <w:tcW w:w="162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人员经费</w:t>
            </w:r>
          </w:p>
        </w:tc>
        <w:tc>
          <w:tcPr>
            <w:tcW w:w="186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公用经费</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栏次</w:t>
            </w:r>
          </w:p>
        </w:tc>
        <w:tc>
          <w:tcPr>
            <w:tcW w:w="180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w:t>
            </w:r>
          </w:p>
        </w:tc>
        <w:tc>
          <w:tcPr>
            <w:tcW w:w="304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w:t>
            </w:r>
          </w:p>
        </w:tc>
        <w:tc>
          <w:tcPr>
            <w:tcW w:w="17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w:t>
            </w:r>
          </w:p>
        </w:tc>
        <w:tc>
          <w:tcPr>
            <w:tcW w:w="162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w:t>
            </w:r>
          </w:p>
        </w:tc>
        <w:tc>
          <w:tcPr>
            <w:tcW w:w="186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5</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w:t>
            </w:r>
          </w:p>
        </w:tc>
        <w:tc>
          <w:tcPr>
            <w:tcW w:w="18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合计</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245.80</w:t>
            </w:r>
          </w:p>
        </w:tc>
        <w:tc>
          <w:tcPr>
            <w:tcW w:w="16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219.76</w:t>
            </w:r>
          </w:p>
        </w:tc>
        <w:tc>
          <w:tcPr>
            <w:tcW w:w="18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26.04</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301</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工资福利支出</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194.26</w:t>
            </w:r>
          </w:p>
        </w:tc>
        <w:tc>
          <w:tcPr>
            <w:tcW w:w="16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194.26</w:t>
            </w:r>
          </w:p>
        </w:tc>
        <w:tc>
          <w:tcPr>
            <w:tcW w:w="18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30101</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基本工资</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146.17</w:t>
            </w:r>
          </w:p>
        </w:tc>
        <w:tc>
          <w:tcPr>
            <w:tcW w:w="16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146.17</w:t>
            </w:r>
          </w:p>
        </w:tc>
        <w:tc>
          <w:tcPr>
            <w:tcW w:w="18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30108</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机关事业单位基本养老保险缴费</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21.55</w:t>
            </w:r>
          </w:p>
        </w:tc>
        <w:tc>
          <w:tcPr>
            <w:tcW w:w="16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21.55</w:t>
            </w:r>
          </w:p>
        </w:tc>
        <w:tc>
          <w:tcPr>
            <w:tcW w:w="18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5</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30110</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城镇职工基本医疗保险缴费</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6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9.70</w:t>
            </w:r>
          </w:p>
        </w:tc>
        <w:tc>
          <w:tcPr>
            <w:tcW w:w="18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6</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30112</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其他社会保障缴费</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16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0.67</w:t>
            </w:r>
          </w:p>
        </w:tc>
        <w:tc>
          <w:tcPr>
            <w:tcW w:w="18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7</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30113</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住房公积金</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6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16.17</w:t>
            </w:r>
          </w:p>
        </w:tc>
        <w:tc>
          <w:tcPr>
            <w:tcW w:w="18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8</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302</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商品和服务支出</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25.49</w:t>
            </w:r>
          </w:p>
        </w:tc>
        <w:tc>
          <w:tcPr>
            <w:tcW w:w="16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25.49</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9</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30201</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办公费</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3.27</w:t>
            </w:r>
          </w:p>
        </w:tc>
        <w:tc>
          <w:tcPr>
            <w:tcW w:w="16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3.27</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10</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30205</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水费</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0.10</w:t>
            </w:r>
          </w:p>
        </w:tc>
        <w:tc>
          <w:tcPr>
            <w:tcW w:w="16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0.10</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11</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30207</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邮电费</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4.80</w:t>
            </w:r>
          </w:p>
        </w:tc>
        <w:tc>
          <w:tcPr>
            <w:tcW w:w="16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4.80</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12</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30211</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差旅费</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1.00</w:t>
            </w:r>
          </w:p>
        </w:tc>
        <w:tc>
          <w:tcPr>
            <w:tcW w:w="16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1.00</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13</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30215</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会议费</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0.50</w:t>
            </w:r>
          </w:p>
        </w:tc>
        <w:tc>
          <w:tcPr>
            <w:tcW w:w="16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0.50</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14</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30217</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公务接待费</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0.20</w:t>
            </w:r>
          </w:p>
        </w:tc>
        <w:tc>
          <w:tcPr>
            <w:tcW w:w="16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0.20</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15</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30228</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工会经费</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1.54</w:t>
            </w:r>
          </w:p>
        </w:tc>
        <w:tc>
          <w:tcPr>
            <w:tcW w:w="16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1.54</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16</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30229</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福利费</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2.08</w:t>
            </w:r>
          </w:p>
        </w:tc>
        <w:tc>
          <w:tcPr>
            <w:tcW w:w="16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2.08</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17</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30231</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公务用车运行维护费</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2.00</w:t>
            </w:r>
          </w:p>
        </w:tc>
        <w:tc>
          <w:tcPr>
            <w:tcW w:w="16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2.00</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18</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30239</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其他交通费用</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9.50</w:t>
            </w:r>
          </w:p>
        </w:tc>
        <w:tc>
          <w:tcPr>
            <w:tcW w:w="16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9.50</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19</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30299</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其他商品和服务支出</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0.50</w:t>
            </w:r>
          </w:p>
        </w:tc>
        <w:tc>
          <w:tcPr>
            <w:tcW w:w="16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0.50</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20</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303</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对个人和家庭的补助</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25.50</w:t>
            </w:r>
          </w:p>
        </w:tc>
        <w:tc>
          <w:tcPr>
            <w:tcW w:w="16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25.50</w:t>
            </w:r>
          </w:p>
        </w:tc>
        <w:tc>
          <w:tcPr>
            <w:tcW w:w="18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21</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30302</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退休费</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21.50</w:t>
            </w:r>
          </w:p>
        </w:tc>
        <w:tc>
          <w:tcPr>
            <w:tcW w:w="16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21.50</w:t>
            </w:r>
          </w:p>
        </w:tc>
        <w:tc>
          <w:tcPr>
            <w:tcW w:w="18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22</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30304</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抚恤金</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162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4.00</w:t>
            </w:r>
          </w:p>
        </w:tc>
        <w:tc>
          <w:tcPr>
            <w:tcW w:w="18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23</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310</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资本性支出</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0.55</w:t>
            </w:r>
          </w:p>
        </w:tc>
        <w:tc>
          <w:tcPr>
            <w:tcW w:w="16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0.55</w:t>
            </w:r>
          </w:p>
        </w:tc>
      </w:tr>
      <w:tr>
        <w:tblPrEx>
          <w:tblLayout w:type="fixed"/>
          <w:tblCellMar>
            <w:top w:w="0" w:type="dxa"/>
            <w:left w:w="108" w:type="dxa"/>
            <w:bottom w:w="0" w:type="dxa"/>
            <w:right w:w="108" w:type="dxa"/>
          </w:tblCellMar>
        </w:tblPrEx>
        <w:trPr>
          <w:trHeight w:val="270" w:hRule="atLeast"/>
        </w:trPr>
        <w:tc>
          <w:tcPr>
            <w:tcW w:w="142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24</w:t>
            </w:r>
          </w:p>
        </w:tc>
        <w:tc>
          <w:tcPr>
            <w:tcW w:w="18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31002</w:t>
            </w:r>
          </w:p>
        </w:tc>
        <w:tc>
          <w:tcPr>
            <w:tcW w:w="30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办公设备购置</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0.55</w:t>
            </w:r>
          </w:p>
        </w:tc>
        <w:tc>
          <w:tcPr>
            <w:tcW w:w="162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86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0.55</w:t>
            </w:r>
          </w:p>
        </w:tc>
      </w:tr>
    </w:tbl>
    <w:p>
      <w:pPr>
        <w:spacing w:line="220" w:lineRule="atLeast"/>
        <w:rPr>
          <w:rFonts w:hint="eastAsia"/>
        </w:rPr>
      </w:pPr>
    </w:p>
    <w:p>
      <w:pPr>
        <w:spacing w:line="220" w:lineRule="atLeast"/>
        <w:rPr>
          <w:rFonts w:hint="eastAsia"/>
        </w:rPr>
      </w:pPr>
    </w:p>
    <w:p>
      <w:pPr>
        <w:spacing w:line="220" w:lineRule="atLeast"/>
        <w:rPr>
          <w:rFonts w:hint="eastAsia"/>
        </w:rPr>
      </w:pPr>
    </w:p>
    <w:tbl>
      <w:tblPr>
        <w:tblStyle w:val="8"/>
        <w:tblW w:w="12800" w:type="dxa"/>
        <w:tblInd w:w="93" w:type="dxa"/>
        <w:tblLayout w:type="fixed"/>
        <w:tblCellMar>
          <w:top w:w="0" w:type="dxa"/>
          <w:left w:w="108" w:type="dxa"/>
          <w:bottom w:w="0" w:type="dxa"/>
          <w:right w:w="108" w:type="dxa"/>
        </w:tblCellMar>
      </w:tblPr>
      <w:tblGrid>
        <w:gridCol w:w="1080"/>
        <w:gridCol w:w="1080"/>
        <w:gridCol w:w="5680"/>
        <w:gridCol w:w="1740"/>
        <w:gridCol w:w="1080"/>
        <w:gridCol w:w="2140"/>
      </w:tblGrid>
      <w:tr>
        <w:tblPrEx>
          <w:tblLayout w:type="fixed"/>
          <w:tblCellMar>
            <w:top w:w="0" w:type="dxa"/>
            <w:left w:w="108" w:type="dxa"/>
            <w:bottom w:w="0" w:type="dxa"/>
            <w:right w:w="108" w:type="dxa"/>
          </w:tblCellMar>
        </w:tblPrEx>
        <w:trPr>
          <w:trHeight w:val="1290" w:hRule="atLeast"/>
        </w:trPr>
        <w:tc>
          <w:tcPr>
            <w:tcW w:w="12800" w:type="dxa"/>
            <w:gridSpan w:val="6"/>
            <w:tcBorders>
              <w:top w:val="nil"/>
              <w:left w:val="nil"/>
              <w:bottom w:val="nil"/>
              <w:right w:val="nil"/>
            </w:tcBorders>
            <w:shd w:val="clear" w:color="000000" w:fill="FFFFFF"/>
            <w:vAlign w:val="center"/>
          </w:tcPr>
          <w:p>
            <w:pPr>
              <w:adjustRightInd/>
              <w:snapToGrid/>
              <w:spacing w:after="0"/>
              <w:jc w:val="center"/>
              <w:rPr>
                <w:rFonts w:ascii="宋体" w:hAnsi="宋体" w:eastAsia="宋体" w:cs="宋体"/>
                <w:b/>
                <w:bCs/>
                <w:sz w:val="44"/>
                <w:szCs w:val="44"/>
              </w:rPr>
            </w:pPr>
            <w:r>
              <w:rPr>
                <w:rFonts w:hint="eastAsia" w:ascii="宋体" w:hAnsi="宋体" w:eastAsia="宋体" w:cs="宋体"/>
                <w:b/>
                <w:bCs/>
                <w:sz w:val="44"/>
                <w:szCs w:val="44"/>
              </w:rPr>
              <w:t>部门预算政府基金预算财政拨款支出表</w:t>
            </w:r>
          </w:p>
        </w:tc>
      </w:tr>
      <w:tr>
        <w:tblPrEx>
          <w:tblLayout w:type="fixed"/>
          <w:tblCellMar>
            <w:top w:w="0" w:type="dxa"/>
            <w:left w:w="108" w:type="dxa"/>
            <w:bottom w:w="0" w:type="dxa"/>
            <w:right w:w="108" w:type="dxa"/>
          </w:tblCellMar>
        </w:tblPrEx>
        <w:trPr>
          <w:trHeight w:val="450" w:hRule="atLeast"/>
        </w:trPr>
        <w:tc>
          <w:tcPr>
            <w:tcW w:w="9580" w:type="dxa"/>
            <w:gridSpan w:val="4"/>
            <w:tcBorders>
              <w:top w:val="nil"/>
              <w:left w:val="nil"/>
              <w:bottom w:val="nil"/>
              <w:right w:val="nil"/>
            </w:tcBorders>
            <w:shd w:val="clear" w:color="000000" w:fill="FFFFFF"/>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预算单位编码及名称：[314]宁晋县民政局</w:t>
            </w:r>
          </w:p>
        </w:tc>
        <w:tc>
          <w:tcPr>
            <w:tcW w:w="1080" w:type="dxa"/>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预算年度：2021</w:t>
            </w:r>
          </w:p>
        </w:tc>
        <w:tc>
          <w:tcPr>
            <w:tcW w:w="2140" w:type="dxa"/>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金额单位：万元</w:t>
            </w:r>
          </w:p>
        </w:tc>
      </w:tr>
      <w:tr>
        <w:tblPrEx>
          <w:tblLayout w:type="fixed"/>
          <w:tblCellMar>
            <w:top w:w="0" w:type="dxa"/>
            <w:left w:w="108" w:type="dxa"/>
            <w:bottom w:w="0" w:type="dxa"/>
            <w:right w:w="108" w:type="dxa"/>
          </w:tblCellMar>
        </w:tblPrEx>
        <w:trPr>
          <w:trHeight w:val="270" w:hRule="atLeast"/>
        </w:trPr>
        <w:tc>
          <w:tcPr>
            <w:tcW w:w="10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序号</w:t>
            </w:r>
          </w:p>
        </w:tc>
        <w:tc>
          <w:tcPr>
            <w:tcW w:w="6760" w:type="dxa"/>
            <w:gridSpan w:val="2"/>
            <w:tcBorders>
              <w:top w:val="single" w:color="auto" w:sz="4" w:space="0"/>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支出功能分类科目</w:t>
            </w:r>
          </w:p>
        </w:tc>
        <w:tc>
          <w:tcPr>
            <w:tcW w:w="174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合计</w:t>
            </w:r>
          </w:p>
        </w:tc>
        <w:tc>
          <w:tcPr>
            <w:tcW w:w="10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基本支出</w:t>
            </w:r>
          </w:p>
        </w:tc>
        <w:tc>
          <w:tcPr>
            <w:tcW w:w="214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项目支出</w:t>
            </w:r>
          </w:p>
        </w:tc>
      </w:tr>
      <w:tr>
        <w:tblPrEx>
          <w:tblLayout w:type="fixed"/>
          <w:tblCellMar>
            <w:top w:w="0" w:type="dxa"/>
            <w:left w:w="108" w:type="dxa"/>
            <w:bottom w:w="0" w:type="dxa"/>
            <w:right w:w="108" w:type="dxa"/>
          </w:tblCellMar>
        </w:tblPrEx>
        <w:trPr>
          <w:trHeight w:val="270" w:hRule="atLeast"/>
        </w:trPr>
        <w:tc>
          <w:tcPr>
            <w:tcW w:w="108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科目编码</w:t>
            </w:r>
          </w:p>
        </w:tc>
        <w:tc>
          <w:tcPr>
            <w:tcW w:w="56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科目名称</w:t>
            </w:r>
          </w:p>
        </w:tc>
        <w:tc>
          <w:tcPr>
            <w:tcW w:w="174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214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栏次</w:t>
            </w: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w:t>
            </w:r>
          </w:p>
        </w:tc>
        <w:tc>
          <w:tcPr>
            <w:tcW w:w="56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w:t>
            </w:r>
          </w:p>
        </w:tc>
        <w:tc>
          <w:tcPr>
            <w:tcW w:w="174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w:t>
            </w:r>
          </w:p>
        </w:tc>
        <w:tc>
          <w:tcPr>
            <w:tcW w:w="10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w:t>
            </w:r>
          </w:p>
        </w:tc>
        <w:tc>
          <w:tcPr>
            <w:tcW w:w="214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5</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56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合计</w:t>
            </w:r>
          </w:p>
        </w:tc>
        <w:tc>
          <w:tcPr>
            <w:tcW w:w="17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853.00</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853.00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212</w:t>
            </w:r>
          </w:p>
        </w:tc>
        <w:tc>
          <w:tcPr>
            <w:tcW w:w="56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城乡社区支出</w:t>
            </w:r>
          </w:p>
        </w:tc>
        <w:tc>
          <w:tcPr>
            <w:tcW w:w="17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21219</w:t>
            </w:r>
          </w:p>
        </w:tc>
        <w:tc>
          <w:tcPr>
            <w:tcW w:w="56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国有土地使用权出让收入对应专项债务收入安排的支出</w:t>
            </w:r>
          </w:p>
        </w:tc>
        <w:tc>
          <w:tcPr>
            <w:tcW w:w="17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2121999</w:t>
            </w:r>
          </w:p>
        </w:tc>
        <w:tc>
          <w:tcPr>
            <w:tcW w:w="56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其他国有土地使用权出让收入对应专项债务安排的支出</w:t>
            </w:r>
          </w:p>
        </w:tc>
        <w:tc>
          <w:tcPr>
            <w:tcW w:w="17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500.00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5</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w:t>
            </w:r>
          </w:p>
        </w:tc>
        <w:tc>
          <w:tcPr>
            <w:tcW w:w="56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其他支出</w:t>
            </w:r>
          </w:p>
        </w:tc>
        <w:tc>
          <w:tcPr>
            <w:tcW w:w="17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353.00</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353.00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6</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22908</w:t>
            </w:r>
          </w:p>
        </w:tc>
        <w:tc>
          <w:tcPr>
            <w:tcW w:w="56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彩票发行销售机构业务费安排的支出</w:t>
            </w:r>
          </w:p>
        </w:tc>
        <w:tc>
          <w:tcPr>
            <w:tcW w:w="17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32.00</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7</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2290804</w:t>
            </w:r>
          </w:p>
        </w:tc>
        <w:tc>
          <w:tcPr>
            <w:tcW w:w="56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福利彩票销售机构的业务费支出</w:t>
            </w:r>
          </w:p>
        </w:tc>
        <w:tc>
          <w:tcPr>
            <w:tcW w:w="17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32.00</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8</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22960</w:t>
            </w:r>
          </w:p>
        </w:tc>
        <w:tc>
          <w:tcPr>
            <w:tcW w:w="56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彩票公益金安排的支出</w:t>
            </w:r>
          </w:p>
        </w:tc>
        <w:tc>
          <w:tcPr>
            <w:tcW w:w="17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321.00</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321.00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9</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2296002</w:t>
            </w:r>
          </w:p>
        </w:tc>
        <w:tc>
          <w:tcPr>
            <w:tcW w:w="56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用于社会福利的彩票公益金支出</w:t>
            </w:r>
          </w:p>
        </w:tc>
        <w:tc>
          <w:tcPr>
            <w:tcW w:w="17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276.00</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276.00</w:t>
            </w:r>
          </w:p>
        </w:tc>
      </w:tr>
      <w:tr>
        <w:tblPrEx>
          <w:tblLayout w:type="fixed"/>
          <w:tblCellMar>
            <w:top w:w="0" w:type="dxa"/>
            <w:left w:w="108" w:type="dxa"/>
            <w:bottom w:w="0" w:type="dxa"/>
            <w:right w:w="108" w:type="dxa"/>
          </w:tblCellMar>
        </w:tblPrEx>
        <w:trPr>
          <w:trHeight w:val="270" w:hRule="atLeast"/>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10</w:t>
            </w:r>
          </w:p>
        </w:tc>
        <w:tc>
          <w:tcPr>
            <w:tcW w:w="10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2296099</w:t>
            </w:r>
          </w:p>
        </w:tc>
        <w:tc>
          <w:tcPr>
            <w:tcW w:w="56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用于其他社会公益事业的彩票公益金支出</w:t>
            </w:r>
          </w:p>
        </w:tc>
        <w:tc>
          <w:tcPr>
            <w:tcW w:w="17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45.00</w:t>
            </w:r>
          </w:p>
        </w:tc>
        <w:tc>
          <w:tcPr>
            <w:tcW w:w="10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4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45.00</w:t>
            </w:r>
          </w:p>
        </w:tc>
      </w:tr>
    </w:tbl>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tbl>
      <w:tblPr>
        <w:tblStyle w:val="8"/>
        <w:tblW w:w="9780" w:type="dxa"/>
        <w:jc w:val="center"/>
        <w:tblInd w:w="93" w:type="dxa"/>
        <w:tblLayout w:type="fixed"/>
        <w:tblCellMar>
          <w:top w:w="0" w:type="dxa"/>
          <w:left w:w="108" w:type="dxa"/>
          <w:bottom w:w="0" w:type="dxa"/>
          <w:right w:w="108" w:type="dxa"/>
        </w:tblCellMar>
      </w:tblPr>
      <w:tblGrid>
        <w:gridCol w:w="1080"/>
        <w:gridCol w:w="1420"/>
        <w:gridCol w:w="2140"/>
        <w:gridCol w:w="1780"/>
        <w:gridCol w:w="1660"/>
        <w:gridCol w:w="1700"/>
      </w:tblGrid>
      <w:tr>
        <w:tblPrEx>
          <w:tblLayout w:type="fixed"/>
          <w:tblCellMar>
            <w:top w:w="0" w:type="dxa"/>
            <w:left w:w="108" w:type="dxa"/>
            <w:bottom w:w="0" w:type="dxa"/>
            <w:right w:w="108" w:type="dxa"/>
          </w:tblCellMar>
        </w:tblPrEx>
        <w:trPr>
          <w:trHeight w:val="1125" w:hRule="atLeast"/>
          <w:jc w:val="center"/>
        </w:trPr>
        <w:tc>
          <w:tcPr>
            <w:tcW w:w="9780" w:type="dxa"/>
            <w:gridSpan w:val="6"/>
            <w:tcBorders>
              <w:top w:val="nil"/>
              <w:left w:val="nil"/>
              <w:bottom w:val="nil"/>
              <w:right w:val="nil"/>
            </w:tcBorders>
            <w:shd w:val="clear" w:color="000000" w:fill="FFFFFF"/>
            <w:vAlign w:val="center"/>
          </w:tcPr>
          <w:p>
            <w:pPr>
              <w:adjustRightInd/>
              <w:snapToGrid/>
              <w:spacing w:after="0"/>
              <w:jc w:val="center"/>
              <w:rPr>
                <w:rFonts w:ascii="宋体" w:hAnsi="宋体" w:eastAsia="宋体" w:cs="宋体"/>
                <w:b/>
                <w:bCs/>
                <w:sz w:val="44"/>
                <w:szCs w:val="44"/>
              </w:rPr>
            </w:pPr>
            <w:r>
              <w:rPr>
                <w:rFonts w:hint="eastAsia" w:ascii="宋体" w:hAnsi="宋体" w:eastAsia="宋体" w:cs="宋体"/>
                <w:b/>
                <w:bCs/>
                <w:sz w:val="44"/>
                <w:szCs w:val="44"/>
              </w:rPr>
              <w:t>部门预算国有资本经营预算财政拨款支出表</w:t>
            </w:r>
          </w:p>
        </w:tc>
      </w:tr>
      <w:tr>
        <w:tblPrEx>
          <w:tblLayout w:type="fixed"/>
          <w:tblCellMar>
            <w:top w:w="0" w:type="dxa"/>
            <w:left w:w="108" w:type="dxa"/>
            <w:bottom w:w="0" w:type="dxa"/>
            <w:right w:w="108" w:type="dxa"/>
          </w:tblCellMar>
        </w:tblPrEx>
        <w:trPr>
          <w:trHeight w:val="270" w:hRule="atLeast"/>
          <w:jc w:val="center"/>
        </w:trPr>
        <w:tc>
          <w:tcPr>
            <w:tcW w:w="6420" w:type="dxa"/>
            <w:gridSpan w:val="4"/>
            <w:tcBorders>
              <w:top w:val="nil"/>
              <w:left w:val="nil"/>
              <w:bottom w:val="nil"/>
              <w:right w:val="nil"/>
            </w:tcBorders>
            <w:shd w:val="clear" w:color="000000" w:fill="FFFFFF"/>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预算单位编码及名称：[314]宁晋县民政局</w:t>
            </w:r>
          </w:p>
        </w:tc>
        <w:tc>
          <w:tcPr>
            <w:tcW w:w="1660" w:type="dxa"/>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预算年度：2021</w:t>
            </w:r>
          </w:p>
        </w:tc>
        <w:tc>
          <w:tcPr>
            <w:tcW w:w="1700" w:type="dxa"/>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金额单位：万元</w:t>
            </w:r>
          </w:p>
        </w:tc>
      </w:tr>
      <w:tr>
        <w:tblPrEx>
          <w:tblLayout w:type="fixed"/>
          <w:tblCellMar>
            <w:top w:w="0" w:type="dxa"/>
            <w:left w:w="108" w:type="dxa"/>
            <w:bottom w:w="0" w:type="dxa"/>
            <w:right w:w="108" w:type="dxa"/>
          </w:tblCellMar>
        </w:tblPrEx>
        <w:trPr>
          <w:trHeight w:val="270" w:hRule="atLeast"/>
          <w:jc w:val="center"/>
        </w:trPr>
        <w:tc>
          <w:tcPr>
            <w:tcW w:w="10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序号</w:t>
            </w:r>
          </w:p>
        </w:tc>
        <w:tc>
          <w:tcPr>
            <w:tcW w:w="3560" w:type="dxa"/>
            <w:gridSpan w:val="2"/>
            <w:tcBorders>
              <w:top w:val="single" w:color="auto" w:sz="4" w:space="0"/>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支出功能分类科目</w:t>
            </w:r>
          </w:p>
        </w:tc>
        <w:tc>
          <w:tcPr>
            <w:tcW w:w="17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合计</w:t>
            </w:r>
          </w:p>
        </w:tc>
        <w:tc>
          <w:tcPr>
            <w:tcW w:w="166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基本支出</w:t>
            </w:r>
          </w:p>
        </w:tc>
        <w:tc>
          <w:tcPr>
            <w:tcW w:w="170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项目支出</w:t>
            </w:r>
          </w:p>
        </w:tc>
      </w:tr>
      <w:tr>
        <w:tblPrEx>
          <w:tblLayout w:type="fixed"/>
          <w:tblCellMar>
            <w:top w:w="0" w:type="dxa"/>
            <w:left w:w="108" w:type="dxa"/>
            <w:bottom w:w="0" w:type="dxa"/>
            <w:right w:w="108" w:type="dxa"/>
          </w:tblCellMar>
        </w:tblPrEx>
        <w:trPr>
          <w:trHeight w:val="270" w:hRule="atLeast"/>
          <w:jc w:val="center"/>
        </w:trPr>
        <w:tc>
          <w:tcPr>
            <w:tcW w:w="108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142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科目编码</w:t>
            </w:r>
          </w:p>
        </w:tc>
        <w:tc>
          <w:tcPr>
            <w:tcW w:w="214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科目名称</w:t>
            </w:r>
          </w:p>
        </w:tc>
        <w:tc>
          <w:tcPr>
            <w:tcW w:w="178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166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170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栏次</w:t>
            </w:r>
          </w:p>
        </w:tc>
        <w:tc>
          <w:tcPr>
            <w:tcW w:w="142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w:t>
            </w:r>
          </w:p>
        </w:tc>
        <w:tc>
          <w:tcPr>
            <w:tcW w:w="214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w:t>
            </w:r>
          </w:p>
        </w:tc>
        <w:tc>
          <w:tcPr>
            <w:tcW w:w="17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w:t>
            </w:r>
          </w:p>
        </w:tc>
        <w:tc>
          <w:tcPr>
            <w:tcW w:w="166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w:t>
            </w:r>
          </w:p>
        </w:tc>
        <w:tc>
          <w:tcPr>
            <w:tcW w:w="170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5</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21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66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7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21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66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7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42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214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7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66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c>
          <w:tcPr>
            <w:tcW w:w="170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rPr>
            </w:pPr>
            <w:r>
              <w:rPr>
                <w:rFonts w:hint="eastAsia" w:ascii="宋体" w:hAnsi="宋体" w:eastAsia="宋体" w:cs="宋体"/>
                <w:color w:val="000000"/>
              </w:rPr>
              <w:t>　</w:t>
            </w:r>
          </w:p>
        </w:tc>
      </w:tr>
      <w:tr>
        <w:tblPrEx>
          <w:tblLayout w:type="fixed"/>
          <w:tblCellMar>
            <w:top w:w="0" w:type="dxa"/>
            <w:left w:w="108" w:type="dxa"/>
            <w:bottom w:w="0" w:type="dxa"/>
            <w:right w:w="108" w:type="dxa"/>
          </w:tblCellMar>
        </w:tblPrEx>
        <w:trPr>
          <w:trHeight w:val="270" w:hRule="atLeast"/>
          <w:jc w:val="center"/>
        </w:trPr>
        <w:tc>
          <w:tcPr>
            <w:tcW w:w="9780" w:type="dxa"/>
            <w:gridSpan w:val="6"/>
            <w:tcBorders>
              <w:top w:val="single" w:color="auto" w:sz="4" w:space="0"/>
              <w:left w:val="nil"/>
              <w:bottom w:val="nil"/>
              <w:right w:val="nil"/>
            </w:tcBorders>
            <w:shd w:val="clear" w:color="auto" w:fill="auto"/>
            <w:noWrap/>
            <w:vAlign w:val="center"/>
          </w:tcPr>
          <w:p>
            <w:pPr>
              <w:adjustRightInd/>
              <w:snapToGrid/>
              <w:spacing w:after="0"/>
              <w:jc w:val="center"/>
              <w:rPr>
                <w:rFonts w:ascii="宋体" w:hAnsi="宋体" w:eastAsia="宋体" w:cs="宋体"/>
                <w:color w:val="000000"/>
              </w:rPr>
            </w:pPr>
            <w:r>
              <w:rPr>
                <w:rFonts w:hint="eastAsia" w:ascii="宋体" w:hAnsi="宋体" w:eastAsia="宋体" w:cs="宋体"/>
                <w:color w:val="000000"/>
              </w:rPr>
              <w:t>注：无国有资本经营预算，空表列示。</w:t>
            </w:r>
          </w:p>
        </w:tc>
      </w:tr>
    </w:tbl>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tbl>
      <w:tblPr>
        <w:tblStyle w:val="8"/>
        <w:tblW w:w="11180" w:type="dxa"/>
        <w:jc w:val="center"/>
        <w:tblInd w:w="93" w:type="dxa"/>
        <w:tblLayout w:type="fixed"/>
        <w:tblCellMar>
          <w:top w:w="0" w:type="dxa"/>
          <w:left w:w="108" w:type="dxa"/>
          <w:bottom w:w="0" w:type="dxa"/>
          <w:right w:w="108" w:type="dxa"/>
        </w:tblCellMar>
      </w:tblPr>
      <w:tblGrid>
        <w:gridCol w:w="1080"/>
        <w:gridCol w:w="2980"/>
        <w:gridCol w:w="1480"/>
        <w:gridCol w:w="2000"/>
        <w:gridCol w:w="1460"/>
        <w:gridCol w:w="2180"/>
      </w:tblGrid>
      <w:tr>
        <w:tblPrEx>
          <w:tblLayout w:type="fixed"/>
          <w:tblCellMar>
            <w:top w:w="0" w:type="dxa"/>
            <w:left w:w="108" w:type="dxa"/>
            <w:bottom w:w="0" w:type="dxa"/>
            <w:right w:w="108" w:type="dxa"/>
          </w:tblCellMar>
        </w:tblPrEx>
        <w:trPr>
          <w:trHeight w:val="1155" w:hRule="atLeast"/>
          <w:jc w:val="center"/>
        </w:trPr>
        <w:tc>
          <w:tcPr>
            <w:tcW w:w="11180" w:type="dxa"/>
            <w:gridSpan w:val="6"/>
            <w:tcBorders>
              <w:top w:val="nil"/>
              <w:left w:val="nil"/>
              <w:bottom w:val="nil"/>
              <w:right w:val="nil"/>
            </w:tcBorders>
            <w:shd w:val="clear" w:color="000000" w:fill="FFFFFF"/>
            <w:vAlign w:val="center"/>
          </w:tcPr>
          <w:p>
            <w:pPr>
              <w:adjustRightInd/>
              <w:snapToGrid/>
              <w:spacing w:after="0"/>
              <w:jc w:val="center"/>
              <w:rPr>
                <w:rFonts w:ascii="宋体" w:hAnsi="宋体" w:eastAsia="宋体" w:cs="宋体"/>
                <w:b/>
                <w:bCs/>
                <w:sz w:val="44"/>
                <w:szCs w:val="44"/>
              </w:rPr>
            </w:pPr>
            <w:r>
              <w:rPr>
                <w:rFonts w:hint="eastAsia" w:ascii="宋体" w:hAnsi="宋体" w:eastAsia="宋体" w:cs="宋体"/>
                <w:b/>
                <w:bCs/>
                <w:sz w:val="44"/>
                <w:szCs w:val="44"/>
              </w:rPr>
              <w:t>部门预算财政拨款“三公”经费支出表</w:t>
            </w:r>
          </w:p>
        </w:tc>
      </w:tr>
      <w:tr>
        <w:tblPrEx>
          <w:tblLayout w:type="fixed"/>
          <w:tblCellMar>
            <w:top w:w="0" w:type="dxa"/>
            <w:left w:w="108" w:type="dxa"/>
            <w:bottom w:w="0" w:type="dxa"/>
            <w:right w:w="108" w:type="dxa"/>
          </w:tblCellMar>
        </w:tblPrEx>
        <w:trPr>
          <w:trHeight w:val="270" w:hRule="atLeast"/>
          <w:jc w:val="center"/>
        </w:trPr>
        <w:tc>
          <w:tcPr>
            <w:tcW w:w="7540" w:type="dxa"/>
            <w:gridSpan w:val="4"/>
            <w:tcBorders>
              <w:top w:val="nil"/>
              <w:left w:val="nil"/>
              <w:bottom w:val="nil"/>
              <w:right w:val="nil"/>
            </w:tcBorders>
            <w:shd w:val="clear" w:color="000000" w:fill="FFFFFF"/>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预算单位编码及名称：[314]宁晋县民政局</w:t>
            </w:r>
          </w:p>
        </w:tc>
        <w:tc>
          <w:tcPr>
            <w:tcW w:w="1460" w:type="dxa"/>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预算年度：2021</w:t>
            </w:r>
          </w:p>
        </w:tc>
        <w:tc>
          <w:tcPr>
            <w:tcW w:w="2180" w:type="dxa"/>
            <w:tcBorders>
              <w:top w:val="nil"/>
              <w:left w:val="nil"/>
              <w:bottom w:val="nil"/>
              <w:right w:val="nil"/>
            </w:tcBorders>
            <w:shd w:val="clear" w:color="000000" w:fill="FFFFFF"/>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金额单位：万元</w:t>
            </w:r>
          </w:p>
        </w:tc>
      </w:tr>
      <w:tr>
        <w:tblPrEx>
          <w:tblLayout w:type="fixed"/>
          <w:tblCellMar>
            <w:top w:w="0" w:type="dxa"/>
            <w:left w:w="108" w:type="dxa"/>
            <w:bottom w:w="0" w:type="dxa"/>
            <w:right w:w="108" w:type="dxa"/>
          </w:tblCellMar>
        </w:tblPrEx>
        <w:trPr>
          <w:trHeight w:val="270" w:hRule="atLeast"/>
          <w:jc w:val="center"/>
        </w:trPr>
        <w:tc>
          <w:tcPr>
            <w:tcW w:w="10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序号</w:t>
            </w:r>
          </w:p>
        </w:tc>
        <w:tc>
          <w:tcPr>
            <w:tcW w:w="298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项  目</w:t>
            </w:r>
          </w:p>
        </w:tc>
        <w:tc>
          <w:tcPr>
            <w:tcW w:w="7120" w:type="dxa"/>
            <w:gridSpan w:val="4"/>
            <w:tcBorders>
              <w:top w:val="single" w:color="auto" w:sz="4" w:space="0"/>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资金性质</w:t>
            </w:r>
          </w:p>
        </w:tc>
      </w:tr>
      <w:tr>
        <w:tblPrEx>
          <w:tblLayout w:type="fixed"/>
          <w:tblCellMar>
            <w:top w:w="0" w:type="dxa"/>
            <w:left w:w="108" w:type="dxa"/>
            <w:bottom w:w="0" w:type="dxa"/>
            <w:right w:w="108" w:type="dxa"/>
          </w:tblCellMar>
        </w:tblPrEx>
        <w:trPr>
          <w:trHeight w:val="450" w:hRule="atLeast"/>
          <w:jc w:val="center"/>
        </w:trPr>
        <w:tc>
          <w:tcPr>
            <w:tcW w:w="108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2980"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sz w:val="18"/>
                <w:szCs w:val="18"/>
              </w:rPr>
            </w:pPr>
          </w:p>
        </w:tc>
        <w:tc>
          <w:tcPr>
            <w:tcW w:w="14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合计</w:t>
            </w:r>
          </w:p>
        </w:tc>
        <w:tc>
          <w:tcPr>
            <w:tcW w:w="200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一般公共预算财政拨款</w:t>
            </w:r>
          </w:p>
        </w:tc>
        <w:tc>
          <w:tcPr>
            <w:tcW w:w="146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政府性基金财政拨款</w:t>
            </w:r>
          </w:p>
        </w:tc>
        <w:tc>
          <w:tcPr>
            <w:tcW w:w="21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国有资本经营预算财政拨款</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栏次</w:t>
            </w:r>
          </w:p>
        </w:tc>
        <w:tc>
          <w:tcPr>
            <w:tcW w:w="29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w:t>
            </w:r>
          </w:p>
        </w:tc>
        <w:tc>
          <w:tcPr>
            <w:tcW w:w="14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2</w:t>
            </w:r>
          </w:p>
        </w:tc>
        <w:tc>
          <w:tcPr>
            <w:tcW w:w="200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3</w:t>
            </w:r>
          </w:p>
        </w:tc>
        <w:tc>
          <w:tcPr>
            <w:tcW w:w="146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4</w:t>
            </w:r>
          </w:p>
        </w:tc>
        <w:tc>
          <w:tcPr>
            <w:tcW w:w="2180" w:type="dxa"/>
            <w:tcBorders>
              <w:top w:val="nil"/>
              <w:left w:val="nil"/>
              <w:bottom w:val="single" w:color="auto" w:sz="4" w:space="0"/>
              <w:right w:val="single" w:color="auto" w:sz="4" w:space="0"/>
            </w:tcBorders>
            <w:shd w:val="clear" w:color="000000" w:fill="FFFFFF"/>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5</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6</w:t>
            </w:r>
          </w:p>
        </w:tc>
        <w:tc>
          <w:tcPr>
            <w:tcW w:w="29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合计</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7</w:t>
            </w:r>
          </w:p>
        </w:tc>
        <w:tc>
          <w:tcPr>
            <w:tcW w:w="29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一、因公出国（境）费</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8</w:t>
            </w:r>
          </w:p>
        </w:tc>
        <w:tc>
          <w:tcPr>
            <w:tcW w:w="29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二、公务用车购置及运维费</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9</w:t>
            </w:r>
          </w:p>
        </w:tc>
        <w:tc>
          <w:tcPr>
            <w:tcW w:w="29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 xml:space="preserve">    其中：公务用车购置费</w:t>
            </w:r>
          </w:p>
        </w:tc>
        <w:tc>
          <w:tcPr>
            <w:tcW w:w="14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00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14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10</w:t>
            </w:r>
          </w:p>
        </w:tc>
        <w:tc>
          <w:tcPr>
            <w:tcW w:w="29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 xml:space="preserve">          公务用车运行维护费</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2.00</w:t>
            </w:r>
          </w:p>
        </w:tc>
        <w:tc>
          <w:tcPr>
            <w:tcW w:w="200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2.00</w:t>
            </w:r>
          </w:p>
        </w:tc>
        <w:tc>
          <w:tcPr>
            <w:tcW w:w="14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sz w:val="18"/>
                <w:szCs w:val="18"/>
              </w:rPr>
            </w:pPr>
            <w:r>
              <w:rPr>
                <w:rFonts w:hint="eastAsia" w:ascii="宋体" w:hAnsi="宋体" w:eastAsia="宋体" w:cs="宋体"/>
                <w:sz w:val="18"/>
                <w:szCs w:val="18"/>
              </w:rPr>
              <w:t>11</w:t>
            </w:r>
          </w:p>
        </w:tc>
        <w:tc>
          <w:tcPr>
            <w:tcW w:w="2980"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sz w:val="18"/>
                <w:szCs w:val="18"/>
              </w:rPr>
            </w:pPr>
            <w:r>
              <w:rPr>
                <w:rFonts w:hint="eastAsia" w:ascii="宋体" w:hAnsi="宋体" w:eastAsia="宋体" w:cs="宋体"/>
                <w:sz w:val="18"/>
                <w:szCs w:val="18"/>
              </w:rPr>
              <w:t>三、公务接待费</w:t>
            </w:r>
          </w:p>
        </w:tc>
        <w:tc>
          <w:tcPr>
            <w:tcW w:w="148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0.20</w:t>
            </w:r>
          </w:p>
        </w:tc>
        <w:tc>
          <w:tcPr>
            <w:tcW w:w="2000" w:type="dxa"/>
            <w:tcBorders>
              <w:top w:val="nil"/>
              <w:left w:val="nil"/>
              <w:bottom w:val="single" w:color="auto" w:sz="4" w:space="0"/>
              <w:right w:val="single" w:color="auto" w:sz="4" w:space="0"/>
            </w:tcBorders>
            <w:shd w:val="clear" w:color="auto" w:fill="auto"/>
            <w:noWrap/>
            <w:vAlign w:val="center"/>
          </w:tcPr>
          <w:p>
            <w:pPr>
              <w:adjustRightInd/>
              <w:snapToGrid/>
              <w:spacing w:after="0"/>
              <w:jc w:val="right"/>
              <w:rPr>
                <w:rFonts w:ascii="宋体" w:hAnsi="宋体" w:eastAsia="宋体" w:cs="宋体"/>
                <w:sz w:val="18"/>
                <w:szCs w:val="18"/>
              </w:rPr>
            </w:pPr>
            <w:r>
              <w:rPr>
                <w:rFonts w:hint="eastAsia" w:ascii="宋体" w:hAnsi="宋体" w:eastAsia="宋体" w:cs="宋体"/>
                <w:sz w:val="18"/>
                <w:szCs w:val="18"/>
              </w:rPr>
              <w:t>0.20</w:t>
            </w:r>
          </w:p>
        </w:tc>
        <w:tc>
          <w:tcPr>
            <w:tcW w:w="146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c>
          <w:tcPr>
            <w:tcW w:w="2180" w:type="dxa"/>
            <w:tcBorders>
              <w:top w:val="nil"/>
              <w:left w:val="nil"/>
              <w:bottom w:val="single" w:color="auto" w:sz="4" w:space="0"/>
              <w:right w:val="single" w:color="auto" w:sz="4" w:space="0"/>
            </w:tcBorders>
            <w:shd w:val="clear" w:color="auto" w:fill="auto"/>
            <w:noWrap/>
          </w:tcPr>
          <w:p>
            <w:pPr>
              <w:adjustRightInd/>
              <w:snapToGrid/>
              <w:spacing w:after="0"/>
              <w:rPr>
                <w:rFonts w:ascii="宋体" w:hAnsi="宋体" w:eastAsia="宋体" w:cs="宋体"/>
                <w:sz w:val="18"/>
                <w:szCs w:val="18"/>
              </w:rPr>
            </w:pPr>
            <w:r>
              <w:rPr>
                <w:rFonts w:hint="eastAsia" w:ascii="宋体" w:hAnsi="宋体" w:eastAsia="宋体" w:cs="宋体"/>
                <w:sz w:val="18"/>
                <w:szCs w:val="18"/>
              </w:rPr>
              <w:t>　</w:t>
            </w:r>
          </w:p>
        </w:tc>
      </w:tr>
      <w:tr>
        <w:tblPrEx>
          <w:tblLayout w:type="fixed"/>
          <w:tblCellMar>
            <w:top w:w="0" w:type="dxa"/>
            <w:left w:w="108" w:type="dxa"/>
            <w:bottom w:w="0" w:type="dxa"/>
            <w:right w:w="108" w:type="dxa"/>
          </w:tblCellMar>
        </w:tblPrEx>
        <w:trPr>
          <w:trHeight w:val="270" w:hRule="atLeast"/>
          <w:jc w:val="center"/>
        </w:trPr>
        <w:tc>
          <w:tcPr>
            <w:tcW w:w="1080" w:type="dxa"/>
            <w:tcBorders>
              <w:top w:val="nil"/>
              <w:left w:val="nil"/>
              <w:bottom w:val="nil"/>
              <w:right w:val="nil"/>
            </w:tcBorders>
            <w:shd w:val="clear" w:color="auto" w:fill="auto"/>
            <w:noWrap/>
            <w:vAlign w:val="center"/>
          </w:tcPr>
          <w:p>
            <w:pPr>
              <w:adjustRightInd/>
              <w:snapToGrid/>
              <w:spacing w:after="0"/>
              <w:rPr>
                <w:rFonts w:ascii="宋体" w:hAnsi="宋体" w:eastAsia="宋体" w:cs="宋体"/>
                <w:color w:val="000000"/>
              </w:rPr>
            </w:pPr>
          </w:p>
        </w:tc>
        <w:tc>
          <w:tcPr>
            <w:tcW w:w="2980" w:type="dxa"/>
            <w:tcBorders>
              <w:top w:val="nil"/>
              <w:left w:val="nil"/>
              <w:bottom w:val="nil"/>
              <w:right w:val="nil"/>
            </w:tcBorders>
            <w:shd w:val="clear" w:color="auto" w:fill="auto"/>
            <w:noWrap/>
            <w:vAlign w:val="center"/>
          </w:tcPr>
          <w:p>
            <w:pPr>
              <w:adjustRightInd/>
              <w:snapToGrid/>
              <w:spacing w:after="0"/>
              <w:rPr>
                <w:rFonts w:ascii="宋体" w:hAnsi="宋体" w:eastAsia="宋体" w:cs="宋体"/>
                <w:color w:val="000000"/>
              </w:rPr>
            </w:pPr>
          </w:p>
        </w:tc>
        <w:tc>
          <w:tcPr>
            <w:tcW w:w="1480" w:type="dxa"/>
            <w:tcBorders>
              <w:top w:val="nil"/>
              <w:left w:val="nil"/>
              <w:bottom w:val="nil"/>
              <w:right w:val="nil"/>
            </w:tcBorders>
            <w:shd w:val="clear" w:color="auto" w:fill="auto"/>
            <w:noWrap/>
            <w:vAlign w:val="center"/>
          </w:tcPr>
          <w:p>
            <w:pPr>
              <w:adjustRightInd/>
              <w:snapToGrid/>
              <w:spacing w:after="0"/>
              <w:rPr>
                <w:rFonts w:ascii="宋体" w:hAnsi="宋体" w:eastAsia="宋体" w:cs="宋体"/>
                <w:color w:val="000000"/>
              </w:rPr>
            </w:pPr>
          </w:p>
        </w:tc>
        <w:tc>
          <w:tcPr>
            <w:tcW w:w="2000" w:type="dxa"/>
            <w:tcBorders>
              <w:top w:val="nil"/>
              <w:left w:val="nil"/>
              <w:bottom w:val="nil"/>
              <w:right w:val="nil"/>
            </w:tcBorders>
            <w:shd w:val="clear" w:color="auto" w:fill="auto"/>
            <w:noWrap/>
            <w:vAlign w:val="center"/>
          </w:tcPr>
          <w:p>
            <w:pPr>
              <w:adjustRightInd/>
              <w:snapToGrid/>
              <w:spacing w:after="0"/>
              <w:rPr>
                <w:rFonts w:ascii="宋体" w:hAnsi="宋体" w:eastAsia="宋体" w:cs="宋体"/>
                <w:color w:val="000000"/>
              </w:rPr>
            </w:pPr>
          </w:p>
        </w:tc>
        <w:tc>
          <w:tcPr>
            <w:tcW w:w="1460" w:type="dxa"/>
            <w:tcBorders>
              <w:top w:val="nil"/>
              <w:left w:val="nil"/>
              <w:bottom w:val="nil"/>
              <w:right w:val="nil"/>
            </w:tcBorders>
            <w:shd w:val="clear" w:color="auto" w:fill="auto"/>
            <w:noWrap/>
            <w:vAlign w:val="center"/>
          </w:tcPr>
          <w:p>
            <w:pPr>
              <w:adjustRightInd/>
              <w:snapToGrid/>
              <w:spacing w:after="0"/>
              <w:rPr>
                <w:rFonts w:ascii="宋体" w:hAnsi="宋体" w:eastAsia="宋体" w:cs="宋体"/>
                <w:color w:val="000000"/>
              </w:rPr>
            </w:pPr>
          </w:p>
        </w:tc>
        <w:tc>
          <w:tcPr>
            <w:tcW w:w="2180" w:type="dxa"/>
            <w:tcBorders>
              <w:top w:val="nil"/>
              <w:left w:val="nil"/>
              <w:bottom w:val="nil"/>
              <w:right w:val="nil"/>
            </w:tcBorders>
            <w:shd w:val="clear" w:color="auto" w:fill="auto"/>
            <w:noWrap/>
            <w:vAlign w:val="center"/>
          </w:tcPr>
          <w:p>
            <w:pPr>
              <w:adjustRightInd/>
              <w:snapToGrid/>
              <w:spacing w:after="0"/>
              <w:rPr>
                <w:rFonts w:ascii="宋体" w:hAnsi="宋体" w:eastAsia="宋体" w:cs="宋体"/>
                <w:color w:val="000000"/>
              </w:rPr>
            </w:pPr>
          </w:p>
        </w:tc>
      </w:tr>
    </w:tbl>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Pr>
        <w:spacing w:line="220" w:lineRule="atLeast"/>
        <w:rPr>
          <w:rFonts w:hint="eastAsia"/>
        </w:rPr>
      </w:pPr>
    </w:p>
    <w:p/>
    <w:p>
      <w:pPr>
        <w:spacing w:line="560" w:lineRule="exact"/>
        <w:rPr>
          <w:rFonts w:ascii="黑体" w:hAnsi="宋体" w:eastAsia="黑体"/>
          <w:b/>
          <w:sz w:val="44"/>
          <w:szCs w:val="44"/>
        </w:rPr>
      </w:pPr>
      <w:r>
        <w:rPr>
          <w:rFonts w:hint="eastAsia" w:ascii="黑体" w:hAnsi="宋体" w:eastAsia="黑体"/>
          <w:b/>
          <w:sz w:val="44"/>
          <w:szCs w:val="44"/>
        </w:rPr>
        <w:t xml:space="preserve">    </w:t>
      </w:r>
      <w:bookmarkStart w:id="0" w:name="OLE_LINK2"/>
      <w:bookmarkStart w:id="1" w:name="OLE_LINK1"/>
      <w:r>
        <w:rPr>
          <w:rFonts w:hint="eastAsia" w:ascii="黑体" w:hAnsi="宋体" w:eastAsia="黑体"/>
          <w:b/>
          <w:sz w:val="44"/>
          <w:szCs w:val="44"/>
        </w:rPr>
        <w:t xml:space="preserve">             宁晋县民政局2021年部门预算</w:t>
      </w:r>
    </w:p>
    <w:p>
      <w:pPr>
        <w:spacing w:line="560" w:lineRule="exact"/>
        <w:jc w:val="center"/>
        <w:rPr>
          <w:rFonts w:ascii="黑体" w:hAnsi="宋体" w:eastAsia="黑体"/>
          <w:b/>
          <w:sz w:val="44"/>
          <w:szCs w:val="44"/>
        </w:rPr>
      </w:pPr>
      <w:r>
        <w:rPr>
          <w:rFonts w:hint="eastAsia" w:ascii="黑体" w:hAnsi="宋体" w:eastAsia="黑体"/>
          <w:b/>
          <w:sz w:val="44"/>
          <w:szCs w:val="44"/>
        </w:rPr>
        <w:t>信息公开情况说明</w:t>
      </w:r>
    </w:p>
    <w:p>
      <w:pPr>
        <w:spacing w:line="560" w:lineRule="exact"/>
        <w:jc w:val="center"/>
        <w:rPr>
          <w:rFonts w:ascii="黑体" w:hAnsi="宋体" w:eastAsia="黑体"/>
          <w:b/>
          <w:sz w:val="36"/>
          <w:szCs w:val="36"/>
        </w:rPr>
      </w:pPr>
    </w:p>
    <w:p>
      <w:pPr>
        <w:spacing w:line="600" w:lineRule="atLeast"/>
        <w:ind w:firstLine="640"/>
        <w:rPr>
          <w:rFonts w:ascii="宋体" w:hAnsi="宋体" w:cs="宋体"/>
          <w:sz w:val="32"/>
          <w:szCs w:val="32"/>
        </w:rPr>
      </w:pPr>
      <w:r>
        <w:rPr>
          <w:rFonts w:hint="eastAsia" w:ascii="宋体" w:hAnsi="宋体" w:cs="宋体"/>
          <w:color w:val="000000"/>
          <w:sz w:val="32"/>
          <w:szCs w:val="32"/>
        </w:rPr>
        <w:t>按照《预算法》、《地方预决算公开操作规程》和《河北省省级预算公开办法》规定，现将宁晋县民政局2021年部门预算公开如下：</w:t>
      </w:r>
    </w:p>
    <w:p>
      <w:pPr>
        <w:ind w:firstLine="640"/>
        <w:rPr>
          <w:rFonts w:ascii="宋体" w:hAnsi="宋体" w:cs="宋体"/>
          <w:b/>
          <w:sz w:val="32"/>
          <w:szCs w:val="32"/>
        </w:rPr>
      </w:pPr>
      <w:r>
        <w:rPr>
          <w:rFonts w:hint="eastAsia" w:ascii="宋体" w:hAnsi="宋体" w:cs="宋体"/>
          <w:b/>
          <w:sz w:val="32"/>
          <w:szCs w:val="32"/>
        </w:rPr>
        <w:t>一、部门职责、机构设置等基本情况</w:t>
      </w:r>
    </w:p>
    <w:p>
      <w:pPr>
        <w:ind w:firstLine="640"/>
        <w:rPr>
          <w:rFonts w:asciiTheme="minorEastAsia" w:hAnsiTheme="minorEastAsia"/>
          <w:color w:val="000000"/>
          <w:sz w:val="32"/>
          <w:szCs w:val="32"/>
        </w:rPr>
      </w:pPr>
      <w:r>
        <w:rPr>
          <w:rFonts w:hint="eastAsia" w:asciiTheme="minorEastAsia" w:hAnsiTheme="minorEastAsia"/>
          <w:color w:val="000000"/>
          <w:sz w:val="32"/>
          <w:szCs w:val="32"/>
        </w:rPr>
        <w:t>部门职责</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1．主要职能</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（一）贯彻执行国家、省、市民政及扶贫开发事业发展法律法规、政策、规划,拟订政府规范性文件和政策、规划并组织实施。</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（二）拟订全县社会团体、社会服务机构等社会组织监督管理办法并组织实施,依法对全县社会组织进行监督管理;承担县社会组织党委日常工作。</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（三）拟订全县社会救助政策、标准,统筹社会救助体系建设。负责城乡居民最低生活保障、特困人员救助供养、临时救助、生活无着流浪乞讨人员救助工作。</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（四）拟订全县基层群众自治和城乡社区治理政策。指导城乡社区治理体系和能力建设,提出加强和改进基层政权建设的建议,推动基层民主政治建设。</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五）拟订全县行政区划、行政区域界线管理和地名管理政策、标准。配合上级部门做好县、乡行政区域及乡镇、街道办事处的设立、命名、变更和政府驻地迁移的调查论证、管理工作，指导村（居）委会的设立、命名和变更工作。负责全县地名管理和县级行政区域界线管理工作。组织、指导乡级行政区域界线的勘定和管理工作。负责地名命名、更名的管理工作。</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（六）拟订全县婚姻管理政策并组织实施,推进婚俗改革，指导婚姻服务机构管理工作。</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（七）拟订全县殡葬管理政策、服务规范并组织实施,推进殡葬改革,指导殡葬服务机构管理工作。</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（八）统筹推进、督促指导、监督管理全县养老服务工作。拟订全县养老服务体系建设规划、政策、标准并组织实施,承担老年人福利和特殊困难老年人救助工作。</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（九）拟订全县残疾人权益保护政策并组织实施。统筹推进残疾人福利制度建设和康复辅助器具产业发展。</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（十）拟订全县儿童福利、孤弃儿童保障、儿童收养、儿童救助保护政策、标准。健全农村留守儿童关爱服务体系和困境儿童保障制度。</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（十一）组织拟订促进全县慈善事业发展政策,指导社会捐助工作,负责福利彩票管理工作。</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（十二）拟订全县社会工作、志愿服务政策和标准,会同有关部门推进社会工作人才队伍建设和志愿者队伍建设。</w:t>
      </w:r>
    </w:p>
    <w:p>
      <w:pPr>
        <w:spacing w:line="560" w:lineRule="exact"/>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t>（十三）完成县委、县政府交办的其他任务。</w:t>
      </w:r>
    </w:p>
    <w:p>
      <w:pPr>
        <w:spacing w:line="560" w:lineRule="exact"/>
        <w:ind w:firstLine="640" w:firstLineChars="200"/>
        <w:rPr>
          <w:rFonts w:ascii="宋体" w:hAnsi="宋体" w:cs="宋体"/>
          <w:sz w:val="32"/>
          <w:szCs w:val="32"/>
        </w:rPr>
      </w:pPr>
      <w:r>
        <w:rPr>
          <w:rFonts w:hint="eastAsia" w:ascii="宋体" w:hAnsi="宋体" w:cs="宋体"/>
          <w:sz w:val="32"/>
          <w:szCs w:val="32"/>
        </w:rPr>
        <w:t>部门预算单位构成</w:t>
      </w:r>
    </w:p>
    <w:p>
      <w:pPr>
        <w:spacing w:line="560" w:lineRule="exact"/>
        <w:ind w:firstLine="640" w:firstLineChars="200"/>
        <w:rPr>
          <w:rFonts w:ascii="宋体" w:hAnsi="宋体" w:cs="宋体"/>
          <w:sz w:val="32"/>
          <w:szCs w:val="32"/>
        </w:rPr>
      </w:pPr>
      <w:r>
        <w:rPr>
          <w:rFonts w:hint="eastAsia" w:ascii="宋体" w:hAnsi="宋体" w:cs="宋体"/>
          <w:sz w:val="32"/>
          <w:szCs w:val="32"/>
        </w:rPr>
        <w:t>从预算单位构成看，宁晋县民政局2021年度部门预算包括局本级预算和局属事业单位预算</w:t>
      </w:r>
    </w:p>
    <w:p>
      <w:pPr>
        <w:spacing w:line="560" w:lineRule="exact"/>
        <w:ind w:firstLine="640" w:firstLineChars="200"/>
        <w:rPr>
          <w:rFonts w:ascii="宋体" w:hAnsi="宋体" w:cs="宋体"/>
          <w:sz w:val="32"/>
          <w:szCs w:val="32"/>
        </w:rPr>
      </w:pPr>
      <w:r>
        <w:rPr>
          <w:rFonts w:hint="eastAsia" w:ascii="宋体" w:hAnsi="宋体" w:cs="宋体"/>
          <w:sz w:val="32"/>
          <w:szCs w:val="32"/>
        </w:rPr>
        <w:t>纳入宁晋县民政局2021年度部门预算编制范围的单位共3个，详细情况见下表：</w:t>
      </w:r>
    </w:p>
    <w:p>
      <w:pPr>
        <w:jc w:val="center"/>
        <w:outlineLvl w:val="0"/>
        <w:rPr>
          <w:rFonts w:ascii="Times New Roman" w:hAnsi="Times New Roman" w:eastAsia="方正小标宋_GBK"/>
          <w:sz w:val="32"/>
        </w:rPr>
      </w:pPr>
    </w:p>
    <w:p>
      <w:pPr>
        <w:jc w:val="center"/>
        <w:outlineLvl w:val="0"/>
        <w:rPr>
          <w:rFonts w:ascii="Times New Roman" w:hAnsi="Times New Roman" w:eastAsia="方正小标宋_GBK"/>
          <w:sz w:val="32"/>
        </w:rPr>
      </w:pPr>
    </w:p>
    <w:p>
      <w:pPr>
        <w:jc w:val="center"/>
        <w:outlineLvl w:val="0"/>
        <w:rPr>
          <w:rFonts w:ascii="Times New Roman" w:hAnsi="Times New Roman" w:eastAsia="方正小标宋_GBK"/>
          <w:sz w:val="32"/>
        </w:rPr>
      </w:pPr>
      <w:r>
        <w:rPr>
          <w:rFonts w:ascii="Times New Roman" w:hAnsi="Times New Roman" w:eastAsia="方正小标宋_GBK"/>
          <w:sz w:val="32"/>
        </w:rPr>
        <w:t>部门</w:t>
      </w:r>
      <w:r>
        <w:rPr>
          <w:rFonts w:hint="eastAsia" w:ascii="Times New Roman" w:hAnsi="Times New Roman" w:eastAsia="方正小标宋_GBK"/>
          <w:sz w:val="32"/>
        </w:rPr>
        <w:t>机构设置情况</w:t>
      </w:r>
    </w:p>
    <w:tbl>
      <w:tblPr>
        <w:tblStyle w:val="8"/>
        <w:tblW w:w="9000" w:type="dxa"/>
        <w:jc w:val="center"/>
        <w:tblInd w:w="-5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86"/>
        <w:gridCol w:w="1049"/>
        <w:gridCol w:w="1180"/>
        <w:gridCol w:w="26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00" w:hRule="atLeast"/>
          <w:tblHeader/>
          <w:jc w:val="center"/>
        </w:trPr>
        <w:tc>
          <w:tcPr>
            <w:tcW w:w="4086" w:type="dxa"/>
            <w:vMerge w:val="restart"/>
            <w:vAlign w:val="center"/>
          </w:tcPr>
          <w:p>
            <w:pPr>
              <w:spacing w:line="300" w:lineRule="exact"/>
              <w:jc w:val="center"/>
              <w:rPr>
                <w:rFonts w:ascii="Times New Roman" w:hAnsi="Times New Roman" w:eastAsia="方正书宋_GBK"/>
                <w:b/>
              </w:rPr>
            </w:pPr>
            <w:r>
              <w:rPr>
                <w:rFonts w:ascii="Times New Roman" w:hAnsi="Times New Roman" w:eastAsia="方正书宋_GBK"/>
                <w:b/>
              </w:rPr>
              <w:t>单位名称</w:t>
            </w:r>
          </w:p>
        </w:tc>
        <w:tc>
          <w:tcPr>
            <w:tcW w:w="1049" w:type="dxa"/>
            <w:vMerge w:val="restart"/>
            <w:vAlign w:val="center"/>
          </w:tcPr>
          <w:p>
            <w:pPr>
              <w:spacing w:line="300" w:lineRule="exact"/>
              <w:jc w:val="center"/>
              <w:rPr>
                <w:rFonts w:ascii="Times New Roman" w:hAnsi="Times New Roman" w:eastAsia="方正书宋_GBK"/>
                <w:b/>
              </w:rPr>
            </w:pPr>
            <w:r>
              <w:rPr>
                <w:rFonts w:ascii="Times New Roman" w:hAnsi="Times New Roman" w:eastAsia="方正书宋_GBK"/>
                <w:b/>
              </w:rPr>
              <w:t>单位性质</w:t>
            </w:r>
          </w:p>
        </w:tc>
        <w:tc>
          <w:tcPr>
            <w:tcW w:w="1180" w:type="dxa"/>
            <w:vMerge w:val="restart"/>
            <w:vAlign w:val="center"/>
          </w:tcPr>
          <w:p>
            <w:pPr>
              <w:spacing w:line="300" w:lineRule="exact"/>
              <w:jc w:val="center"/>
              <w:rPr>
                <w:rFonts w:ascii="Times New Roman" w:hAnsi="Times New Roman" w:eastAsia="方正书宋_GBK"/>
                <w:b/>
              </w:rPr>
            </w:pPr>
            <w:r>
              <w:rPr>
                <w:rFonts w:ascii="Times New Roman" w:hAnsi="Times New Roman" w:eastAsia="方正书宋_GBK"/>
                <w:b/>
              </w:rPr>
              <w:t>单位规格</w:t>
            </w:r>
          </w:p>
        </w:tc>
        <w:tc>
          <w:tcPr>
            <w:tcW w:w="2685" w:type="dxa"/>
            <w:vMerge w:val="restart"/>
            <w:vAlign w:val="center"/>
          </w:tcPr>
          <w:p>
            <w:pPr>
              <w:spacing w:line="300" w:lineRule="exact"/>
              <w:jc w:val="center"/>
              <w:rPr>
                <w:rFonts w:ascii="Times New Roman" w:hAnsi="Times New Roman" w:eastAsia="方正书宋_GBK"/>
                <w:b/>
              </w:rPr>
            </w:pPr>
            <w:r>
              <w:rPr>
                <w:rFonts w:ascii="Times New Roman" w:hAnsi="Times New Roman"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00" w:hRule="atLeast"/>
          <w:tblHeader/>
          <w:jc w:val="center"/>
        </w:trPr>
        <w:tc>
          <w:tcPr>
            <w:tcW w:w="4086" w:type="dxa"/>
            <w:vMerge w:val="continue"/>
            <w:vAlign w:val="center"/>
          </w:tcPr>
          <w:p>
            <w:pPr>
              <w:spacing w:line="300" w:lineRule="exact"/>
              <w:outlineLvl w:val="0"/>
              <w:rPr>
                <w:rFonts w:ascii="Times New Roman" w:hAnsi="Times New Roman"/>
              </w:rPr>
            </w:pPr>
          </w:p>
        </w:tc>
        <w:tc>
          <w:tcPr>
            <w:tcW w:w="1049" w:type="dxa"/>
            <w:vMerge w:val="continue"/>
            <w:vAlign w:val="center"/>
          </w:tcPr>
          <w:p>
            <w:pPr>
              <w:spacing w:line="300" w:lineRule="exact"/>
              <w:outlineLvl w:val="0"/>
              <w:rPr>
                <w:rFonts w:ascii="Times New Roman" w:hAnsi="Times New Roman"/>
              </w:rPr>
            </w:pPr>
          </w:p>
        </w:tc>
        <w:tc>
          <w:tcPr>
            <w:tcW w:w="1180" w:type="dxa"/>
            <w:vMerge w:val="continue"/>
            <w:vAlign w:val="center"/>
          </w:tcPr>
          <w:p>
            <w:pPr>
              <w:spacing w:line="300" w:lineRule="exact"/>
              <w:outlineLvl w:val="0"/>
              <w:rPr>
                <w:rFonts w:ascii="Times New Roman" w:hAnsi="Times New Roman"/>
              </w:rPr>
            </w:pPr>
          </w:p>
        </w:tc>
        <w:tc>
          <w:tcPr>
            <w:tcW w:w="2685" w:type="dxa"/>
            <w:vMerge w:val="continue"/>
            <w:vAlign w:val="center"/>
          </w:tcPr>
          <w:p>
            <w:pPr>
              <w:spacing w:line="300" w:lineRule="exact"/>
              <w:outlineLvl w:val="0"/>
              <w:rPr>
                <w:rFonts w:ascii="Times New Roman" w:hAnsi="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086" w:type="dxa"/>
            <w:vAlign w:val="center"/>
          </w:tcPr>
          <w:p>
            <w:pPr>
              <w:spacing w:line="300" w:lineRule="exact"/>
              <w:rPr>
                <w:rFonts w:ascii="Times New Roman" w:hAnsi="Times New Roman" w:eastAsia="方正书宋_GBK"/>
              </w:rPr>
            </w:pPr>
            <w:r>
              <w:rPr>
                <w:rFonts w:hint="eastAsia" w:ascii="Times New Roman" w:hAnsi="Times New Roman" w:eastAsia="方正书宋_GBK"/>
              </w:rPr>
              <w:t>宁晋县民政局</w:t>
            </w:r>
          </w:p>
        </w:tc>
        <w:tc>
          <w:tcPr>
            <w:tcW w:w="1049" w:type="dxa"/>
            <w:vAlign w:val="center"/>
          </w:tcPr>
          <w:p>
            <w:pPr>
              <w:spacing w:line="300" w:lineRule="exact"/>
              <w:jc w:val="center"/>
              <w:rPr>
                <w:rFonts w:ascii="Times New Roman" w:hAnsi="Times New Roman" w:eastAsia="方正书宋_GBK"/>
              </w:rPr>
            </w:pPr>
            <w:r>
              <w:rPr>
                <w:rFonts w:hint="eastAsia" w:ascii="方正书宋_GBK" w:eastAsia="方正书宋_GBK"/>
              </w:rPr>
              <w:t>行政</w:t>
            </w:r>
          </w:p>
        </w:tc>
        <w:tc>
          <w:tcPr>
            <w:tcW w:w="1180" w:type="dxa"/>
            <w:vAlign w:val="center"/>
          </w:tcPr>
          <w:p>
            <w:pPr>
              <w:spacing w:line="300" w:lineRule="exact"/>
              <w:jc w:val="center"/>
              <w:rPr>
                <w:rFonts w:ascii="Times New Roman" w:hAnsi="Times New Roman" w:eastAsia="方正书宋_GBK"/>
              </w:rPr>
            </w:pPr>
            <w:r>
              <w:rPr>
                <w:rFonts w:hint="eastAsia" w:ascii="方正书宋_GBK" w:eastAsia="方正书宋_GBK"/>
              </w:rPr>
              <w:t>正科级</w:t>
            </w:r>
          </w:p>
        </w:tc>
        <w:tc>
          <w:tcPr>
            <w:tcW w:w="2685" w:type="dxa"/>
            <w:vAlign w:val="center"/>
          </w:tcPr>
          <w:p>
            <w:pPr>
              <w:spacing w:line="300" w:lineRule="exact"/>
              <w:jc w:val="center"/>
              <w:rPr>
                <w:rFonts w:ascii="Times New Roman" w:hAnsi="Times New Roman"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086" w:type="dxa"/>
            <w:vAlign w:val="center"/>
          </w:tcPr>
          <w:p>
            <w:pPr>
              <w:spacing w:line="300" w:lineRule="exact"/>
              <w:rPr>
                <w:rFonts w:ascii="Times New Roman" w:hAnsi="Times New Roman" w:eastAsia="方正书宋_GBK"/>
              </w:rPr>
            </w:pPr>
            <w:r>
              <w:rPr>
                <w:rFonts w:hint="eastAsia" w:ascii="Times New Roman" w:hAnsi="Times New Roman" w:eastAsia="方正书宋_GBK"/>
              </w:rPr>
              <w:t>宁晋县民政事业服务中心</w:t>
            </w:r>
          </w:p>
        </w:tc>
        <w:tc>
          <w:tcPr>
            <w:tcW w:w="1049" w:type="dxa"/>
            <w:vAlign w:val="center"/>
          </w:tcPr>
          <w:p>
            <w:pPr>
              <w:spacing w:line="300" w:lineRule="exact"/>
              <w:jc w:val="center"/>
              <w:rPr>
                <w:rFonts w:ascii="Times New Roman" w:hAnsi="Times New Roman" w:eastAsia="方正书宋_GBK"/>
              </w:rPr>
            </w:pPr>
            <w:r>
              <w:rPr>
                <w:rFonts w:hint="eastAsia" w:ascii="方正书宋_GBK" w:eastAsia="方正书宋_GBK"/>
              </w:rPr>
              <w:t>事业</w:t>
            </w:r>
          </w:p>
        </w:tc>
        <w:tc>
          <w:tcPr>
            <w:tcW w:w="1180" w:type="dxa"/>
            <w:vAlign w:val="center"/>
          </w:tcPr>
          <w:p>
            <w:pPr>
              <w:spacing w:line="300" w:lineRule="exact"/>
              <w:jc w:val="center"/>
              <w:rPr>
                <w:rFonts w:ascii="Times New Roman" w:hAnsi="Times New Roman" w:eastAsia="方正书宋_GBK"/>
              </w:rPr>
            </w:pPr>
            <w:r>
              <w:rPr>
                <w:rFonts w:hint="eastAsia" w:ascii="方正书宋_GBK" w:eastAsia="方正书宋_GBK"/>
              </w:rPr>
              <w:t>股级</w:t>
            </w:r>
          </w:p>
        </w:tc>
        <w:tc>
          <w:tcPr>
            <w:tcW w:w="2685" w:type="dxa"/>
            <w:vAlign w:val="center"/>
          </w:tcPr>
          <w:p>
            <w:pPr>
              <w:spacing w:line="300" w:lineRule="exact"/>
              <w:jc w:val="center"/>
              <w:rPr>
                <w:rFonts w:ascii="Times New Roman" w:hAnsi="Times New Roman"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086" w:type="dxa"/>
            <w:vAlign w:val="center"/>
          </w:tcPr>
          <w:p>
            <w:pPr>
              <w:spacing w:line="300" w:lineRule="exact"/>
              <w:rPr>
                <w:rFonts w:ascii="Times New Roman" w:hAnsi="Times New Roman" w:eastAsia="方正书宋_GBK"/>
              </w:rPr>
            </w:pPr>
            <w:r>
              <w:rPr>
                <w:rFonts w:hint="eastAsia" w:ascii="Times New Roman" w:hAnsi="Times New Roman" w:eastAsia="方正书宋_GBK"/>
              </w:rPr>
              <w:t>宁晋县殡葬管理所</w:t>
            </w:r>
          </w:p>
        </w:tc>
        <w:tc>
          <w:tcPr>
            <w:tcW w:w="1049" w:type="dxa"/>
            <w:vAlign w:val="center"/>
          </w:tcPr>
          <w:p>
            <w:pPr>
              <w:spacing w:line="300" w:lineRule="exact"/>
              <w:jc w:val="center"/>
              <w:rPr>
                <w:rFonts w:ascii="Times New Roman" w:hAnsi="Times New Roman" w:eastAsia="方正书宋_GBK"/>
              </w:rPr>
            </w:pPr>
            <w:r>
              <w:rPr>
                <w:rFonts w:hint="eastAsia" w:ascii="方正书宋_GBK" w:eastAsia="方正书宋_GBK"/>
              </w:rPr>
              <w:t>事业</w:t>
            </w:r>
          </w:p>
        </w:tc>
        <w:tc>
          <w:tcPr>
            <w:tcW w:w="1180" w:type="dxa"/>
            <w:vAlign w:val="center"/>
          </w:tcPr>
          <w:p>
            <w:pPr>
              <w:spacing w:line="300" w:lineRule="exact"/>
              <w:jc w:val="center"/>
              <w:rPr>
                <w:rFonts w:ascii="Times New Roman" w:hAnsi="Times New Roman" w:eastAsia="方正书宋_GBK"/>
              </w:rPr>
            </w:pPr>
            <w:r>
              <w:rPr>
                <w:rFonts w:hint="eastAsia" w:ascii="Times New Roman" w:hAnsi="Times New Roman" w:eastAsia="方正书宋_GBK"/>
              </w:rPr>
              <w:t>股级</w:t>
            </w:r>
          </w:p>
        </w:tc>
        <w:tc>
          <w:tcPr>
            <w:tcW w:w="2685" w:type="dxa"/>
            <w:vAlign w:val="center"/>
          </w:tcPr>
          <w:p>
            <w:pPr>
              <w:spacing w:line="300" w:lineRule="exact"/>
              <w:jc w:val="center"/>
              <w:rPr>
                <w:rFonts w:ascii="Times New Roman" w:hAnsi="Times New Roman" w:eastAsia="方正书宋_GBK"/>
              </w:rPr>
            </w:pPr>
            <w:r>
              <w:rPr>
                <w:rFonts w:hint="eastAsia" w:ascii="方正书宋_GBK" w:eastAsia="方正书宋_GBK"/>
              </w:rPr>
              <w:t>财政拨款</w:t>
            </w:r>
          </w:p>
        </w:tc>
      </w:tr>
    </w:tbl>
    <w:p>
      <w:pPr>
        <w:rPr>
          <w:rFonts w:asciiTheme="minorEastAsia" w:hAnsiTheme="minorEastAsia"/>
          <w:b/>
          <w:sz w:val="32"/>
          <w:szCs w:val="32"/>
        </w:rPr>
      </w:pPr>
    </w:p>
    <w:p>
      <w:pPr>
        <w:ind w:firstLine="643"/>
        <w:rPr>
          <w:rFonts w:asciiTheme="minorEastAsia" w:hAnsiTheme="minorEastAsia"/>
        </w:rPr>
      </w:pPr>
      <w:r>
        <w:rPr>
          <w:rFonts w:hint="eastAsia" w:asciiTheme="minorEastAsia" w:hAnsiTheme="minorEastAsia"/>
          <w:b/>
          <w:sz w:val="32"/>
          <w:szCs w:val="32"/>
        </w:rPr>
        <w:t>二、</w:t>
      </w:r>
      <w:r>
        <w:rPr>
          <w:rFonts w:cs="宋体" w:asciiTheme="minorEastAsia" w:hAnsiTheme="minorEastAsia"/>
          <w:b/>
          <w:sz w:val="32"/>
          <w:szCs w:val="32"/>
        </w:rPr>
        <w:t>部门预算安排总体情况</w:t>
      </w:r>
    </w:p>
    <w:p>
      <w:pPr>
        <w:spacing w:line="580" w:lineRule="atLeast"/>
        <w:ind w:firstLine="627"/>
        <w:rPr>
          <w:rFonts w:ascii="宋体" w:hAnsi="宋体" w:cs="宋体"/>
          <w:sz w:val="32"/>
          <w:szCs w:val="32"/>
        </w:rPr>
      </w:pPr>
      <w:r>
        <w:rPr>
          <w:rFonts w:hint="eastAsia" w:ascii="宋体" w:hAnsi="宋体" w:cs="宋体"/>
          <w:sz w:val="32"/>
          <w:szCs w:val="32"/>
        </w:rPr>
        <w:t>1.收入说明</w:t>
      </w:r>
    </w:p>
    <w:p>
      <w:pPr>
        <w:spacing w:line="580" w:lineRule="atLeast"/>
        <w:ind w:firstLine="627"/>
        <w:rPr>
          <w:rFonts w:ascii="宋体" w:hAnsi="宋体" w:cs="宋体"/>
          <w:color w:val="000000"/>
          <w:sz w:val="32"/>
          <w:szCs w:val="32"/>
        </w:rPr>
      </w:pPr>
      <w:r>
        <w:rPr>
          <w:rFonts w:hint="eastAsia" w:ascii="宋体" w:hAnsi="宋体" w:cs="宋体"/>
          <w:sz w:val="32"/>
          <w:szCs w:val="32"/>
        </w:rPr>
        <w:t>根据宁晋县财政局《关于2021年县级部门预算的批复》（宁财字〔2021〕19号），</w:t>
      </w:r>
      <w:r>
        <w:rPr>
          <w:rFonts w:hint="eastAsia" w:ascii="宋体" w:hAnsi="宋体" w:cs="宋体"/>
          <w:color w:val="000000"/>
          <w:sz w:val="32"/>
          <w:szCs w:val="32"/>
        </w:rPr>
        <w:t>我部门2021年预算总收入</w:t>
      </w:r>
      <w:r>
        <w:rPr>
          <w:rFonts w:hint="eastAsia" w:cs="FZFSK--GBK1-0" w:asciiTheme="minorEastAsia" w:hAnsiTheme="minorEastAsia"/>
          <w:sz w:val="32"/>
          <w:szCs w:val="32"/>
        </w:rPr>
        <w:t>11861.36</w:t>
      </w:r>
      <w:r>
        <w:rPr>
          <w:rFonts w:hint="eastAsia" w:ascii="宋体" w:hAnsi="宋体" w:cs="宋体"/>
          <w:color w:val="000000"/>
          <w:sz w:val="32"/>
          <w:szCs w:val="32"/>
        </w:rPr>
        <w:t>万元（包括一般预算11008.36万元，基金预算拨款853万元）。</w:t>
      </w:r>
    </w:p>
    <w:p>
      <w:pPr>
        <w:spacing w:line="580" w:lineRule="atLeast"/>
        <w:ind w:firstLine="627"/>
        <w:rPr>
          <w:rFonts w:ascii="宋体" w:hAnsi="宋体" w:cs="宋体"/>
          <w:sz w:val="32"/>
          <w:szCs w:val="32"/>
        </w:rPr>
      </w:pPr>
      <w:r>
        <w:rPr>
          <w:rFonts w:hint="eastAsia" w:ascii="宋体" w:hAnsi="宋体" w:cs="宋体"/>
          <w:sz w:val="32"/>
          <w:szCs w:val="32"/>
        </w:rPr>
        <w:t>2.支出说明</w:t>
      </w:r>
    </w:p>
    <w:p>
      <w:pPr>
        <w:spacing w:line="580" w:lineRule="atLeast"/>
        <w:ind w:firstLine="627"/>
        <w:rPr>
          <w:rFonts w:ascii="宋体" w:hAnsi="宋体" w:cs="宋体"/>
          <w:sz w:val="32"/>
          <w:szCs w:val="32"/>
        </w:rPr>
      </w:pPr>
      <w:r>
        <w:rPr>
          <w:rFonts w:hint="eastAsia" w:ascii="宋体" w:hAnsi="宋体" w:cs="宋体"/>
          <w:sz w:val="32"/>
          <w:szCs w:val="32"/>
        </w:rPr>
        <w:t>收支预算总表支出栏、基本支出表、项目支出表按经济分类和支出功能分类科目编制，反映宁晋县民政局年度部门预算中支出预算的总体情况。2021年支出预算11861.36万元，其中基本支出245.8万元，包括人员经费219.76万元和日常公用经费26.04万元；项目支出11615.56万元，主要为城乡低保金、城乡特困供养金、孤儿生活补助金、残疾人两项生活补贴、高龄补贴、养老服务体系建设资金，农村公墓建设资金、民政事业服务中心经费、殡管所经费、康乐老年公寓工程款、社会服务兜底工程（殡管所搬迁）工程款等。</w:t>
      </w:r>
    </w:p>
    <w:p>
      <w:pPr>
        <w:spacing w:line="580" w:lineRule="atLeast"/>
        <w:ind w:firstLine="627"/>
        <w:rPr>
          <w:rFonts w:ascii="宋体" w:hAnsi="宋体" w:cs="宋体"/>
          <w:sz w:val="32"/>
          <w:szCs w:val="32"/>
        </w:rPr>
      </w:pPr>
      <w:r>
        <w:rPr>
          <w:rFonts w:hint="eastAsia" w:ascii="宋体" w:hAnsi="宋体" w:cs="宋体"/>
          <w:sz w:val="32"/>
          <w:szCs w:val="32"/>
        </w:rPr>
        <w:t>3.比上年增减情况</w:t>
      </w:r>
    </w:p>
    <w:p>
      <w:pPr>
        <w:spacing w:line="580" w:lineRule="atLeast"/>
        <w:ind w:firstLine="627"/>
        <w:rPr>
          <w:rFonts w:ascii="宋体" w:hAnsi="宋体" w:cs="宋体"/>
          <w:sz w:val="32"/>
          <w:szCs w:val="32"/>
        </w:rPr>
      </w:pPr>
      <w:r>
        <w:rPr>
          <w:rFonts w:hint="eastAsia" w:ascii="宋体" w:hAnsi="宋体" w:cs="宋体"/>
          <w:color w:val="000000"/>
          <w:sz w:val="32"/>
          <w:szCs w:val="32"/>
        </w:rPr>
        <w:t>2021年预算总收入11861.36万元</w:t>
      </w:r>
      <w:r>
        <w:rPr>
          <w:rFonts w:hint="eastAsia" w:ascii="宋体" w:hAnsi="宋体" w:cs="宋体"/>
          <w:sz w:val="32"/>
          <w:szCs w:val="32"/>
        </w:rPr>
        <w:t>较2020年预算总收入（14519.1万元）减少2657.74万元，减少18.31%，主要为上级专款和康乐老年公寓建设资金减少。</w:t>
      </w:r>
    </w:p>
    <w:p>
      <w:pPr>
        <w:ind w:firstLine="640"/>
        <w:rPr>
          <w:rFonts w:asciiTheme="minorEastAsia" w:hAnsiTheme="minorEastAsia"/>
          <w:b/>
        </w:rPr>
      </w:pPr>
      <w:r>
        <w:rPr>
          <w:rFonts w:cs="宋体" w:asciiTheme="minorEastAsia" w:hAnsiTheme="minorEastAsia"/>
          <w:b/>
          <w:sz w:val="32"/>
          <w:szCs w:val="32"/>
        </w:rPr>
        <w:t>三、机关运行经费预算安排情况</w:t>
      </w:r>
    </w:p>
    <w:p>
      <w:pPr>
        <w:spacing w:line="580" w:lineRule="atLeast"/>
        <w:ind w:firstLine="640" w:firstLineChars="200"/>
        <w:rPr>
          <w:rFonts w:ascii="宋体" w:hAnsi="宋体" w:cs="宋体"/>
          <w:color w:val="000000"/>
          <w:sz w:val="32"/>
          <w:szCs w:val="32"/>
        </w:rPr>
      </w:pPr>
      <w:r>
        <w:rPr>
          <w:rFonts w:hint="eastAsia" w:cs="FZFSK--GBK1-0" w:asciiTheme="minorEastAsia" w:hAnsiTheme="minorEastAsia"/>
          <w:sz w:val="32"/>
          <w:szCs w:val="32"/>
        </w:rPr>
        <w:t>2021年单位机关运行费26.04万元，主要用于日常维修、办公用房水电费、办公用房取暖费、办公费、差旅费、邮电费、交通费等日常运行支出。</w:t>
      </w:r>
    </w:p>
    <w:p>
      <w:pPr>
        <w:ind w:firstLine="640"/>
        <w:rPr>
          <w:rFonts w:asciiTheme="minorEastAsia" w:hAnsiTheme="minorEastAsia"/>
          <w:b/>
        </w:rPr>
      </w:pPr>
      <w:r>
        <w:rPr>
          <w:rFonts w:cs="宋体" w:asciiTheme="minorEastAsia" w:hAnsiTheme="minorEastAsia"/>
          <w:b/>
          <w:sz w:val="32"/>
          <w:szCs w:val="32"/>
        </w:rPr>
        <w:t>四、财政拨款“三公”经费预算安排情况</w:t>
      </w:r>
    </w:p>
    <w:p>
      <w:pPr>
        <w:spacing w:line="560" w:lineRule="exact"/>
        <w:ind w:firstLine="645"/>
        <w:rPr>
          <w:rFonts w:cs="FZFSK--GBK1-0" w:asciiTheme="minorEastAsia" w:hAnsiTheme="minorEastAsia"/>
          <w:sz w:val="32"/>
          <w:szCs w:val="32"/>
        </w:rPr>
      </w:pPr>
      <w:r>
        <w:rPr>
          <w:rFonts w:hint="eastAsia" w:cs="FZFSK--GBK1-0" w:asciiTheme="minorEastAsia" w:hAnsiTheme="minorEastAsia"/>
          <w:sz w:val="32"/>
          <w:szCs w:val="32"/>
        </w:rPr>
        <w:t>2021年 “三公”经费2.2万元，其中公车运行维护费2万元，公务接待费0.2万元，跟2020年预算持平。无增减变化。</w:t>
      </w:r>
    </w:p>
    <w:p>
      <w:pPr>
        <w:pStyle w:val="15"/>
        <w:ind w:left="720" w:firstLine="0" w:firstLineChars="0"/>
        <w:rPr>
          <w:rFonts w:cs="FZFSK--GBK1-0" w:asciiTheme="minorEastAsia" w:hAnsiTheme="minorEastAsia" w:eastAsiaTheme="minorEastAsia"/>
          <w:b/>
          <w:kern w:val="0"/>
          <w:sz w:val="32"/>
          <w:szCs w:val="32"/>
        </w:rPr>
      </w:pPr>
      <w:r>
        <w:rPr>
          <w:rFonts w:hint="eastAsia" w:cs="FZFSK--GBK1-0" w:asciiTheme="minorEastAsia" w:hAnsiTheme="minorEastAsia" w:eastAsiaTheme="minorEastAsia"/>
          <w:b/>
          <w:kern w:val="0"/>
          <w:sz w:val="32"/>
          <w:szCs w:val="32"/>
        </w:rPr>
        <w:t>五、绩效预算信息情况</w:t>
      </w:r>
    </w:p>
    <w:p>
      <w:pPr>
        <w:pStyle w:val="15"/>
        <w:ind w:left="720" w:firstLine="0" w:firstLineChars="0"/>
        <w:rPr>
          <w:rFonts w:asciiTheme="minorEastAsia" w:hAnsiTheme="minorEastAsia" w:eastAsiaTheme="minorEastAsia"/>
          <w:b/>
          <w:sz w:val="32"/>
          <w:szCs w:val="32"/>
        </w:rPr>
      </w:pPr>
      <w:r>
        <w:rPr>
          <w:rFonts w:hint="eastAsia" w:asciiTheme="minorEastAsia" w:hAnsiTheme="minorEastAsia" w:eastAsiaTheme="minorEastAsia"/>
          <w:b/>
          <w:sz w:val="32"/>
          <w:szCs w:val="32"/>
        </w:rPr>
        <w:t>第一部分部门整体绩效目标</w:t>
      </w:r>
    </w:p>
    <w:p>
      <w:pPr>
        <w:spacing w:line="560" w:lineRule="exact"/>
        <w:ind w:firstLine="640" w:firstLineChars="200"/>
        <w:rPr>
          <w:rFonts w:cs="Times New Roman" w:asciiTheme="minorEastAsia" w:hAnsiTheme="minorEastAsia"/>
          <w:b/>
          <w:sz w:val="32"/>
          <w:szCs w:val="32"/>
        </w:rPr>
      </w:pPr>
      <w:r>
        <w:rPr>
          <w:rFonts w:hint="eastAsia" w:cs="Times New Roman" w:asciiTheme="minorEastAsia" w:hAnsiTheme="minorEastAsia"/>
          <w:b/>
          <w:sz w:val="32"/>
          <w:szCs w:val="32"/>
        </w:rPr>
        <w:t>一、总体绩效目标</w:t>
      </w:r>
    </w:p>
    <w:p>
      <w:pPr>
        <w:spacing w:line="560" w:lineRule="exact"/>
        <w:ind w:firstLine="640" w:firstLineChars="200"/>
        <w:rPr>
          <w:rFonts w:cs="Times New Roman" w:asciiTheme="minorEastAsia" w:hAnsiTheme="minorEastAsia"/>
          <w:b/>
          <w:sz w:val="32"/>
          <w:szCs w:val="32"/>
        </w:rPr>
      </w:pPr>
      <w:r>
        <w:rPr>
          <w:rFonts w:hint="eastAsia" w:cs="FZFSK--GBK1-0" w:asciiTheme="minorEastAsia" w:hAnsiTheme="minorEastAsia"/>
          <w:sz w:val="32"/>
          <w:szCs w:val="32"/>
        </w:rPr>
        <w:t xml:space="preserve">严格落实救助保障政策，巩固深化脱贫兜底保障成果。改革完善社会救助制度，构建综合救助格局，提升基层社会救助经办服务能力。充分发挥社会救助基金作用，补齐现行保障政策短板。提升流浪乞讨人员救助服务能力和水平。加强留守儿童、困境儿童、孤儿等不同类型儿童的关爱保护，兜牢生活底线和监护底线。保障残疾人福利，落实两项补贴政策.积极推进养老服务体系建设。深化殡葬改革，合理调整火葬区和土葬改革区。推进婚俗改革，推进婚姻信息共享。推进物业管理与城乡社区治理融合发展，健全“六位一体”机制。夯实社会组织党建，巩固脱钩改革成果。        </w:t>
      </w:r>
    </w:p>
    <w:p>
      <w:pPr>
        <w:spacing w:line="560" w:lineRule="exact"/>
        <w:ind w:firstLine="640" w:firstLineChars="200"/>
        <w:rPr>
          <w:rFonts w:cs="Times New Roman" w:asciiTheme="minorEastAsia" w:hAnsiTheme="minorEastAsia"/>
          <w:b/>
          <w:sz w:val="32"/>
          <w:szCs w:val="32"/>
        </w:rPr>
      </w:pPr>
      <w:r>
        <w:rPr>
          <w:rFonts w:hint="eastAsia" w:cs="Times New Roman" w:asciiTheme="minorEastAsia" w:hAnsiTheme="minorEastAsia"/>
          <w:b/>
          <w:sz w:val="32"/>
          <w:szCs w:val="32"/>
        </w:rPr>
        <w:t>二、分项绩效目标</w:t>
      </w:r>
    </w:p>
    <w:p>
      <w:pPr>
        <w:spacing w:line="560" w:lineRule="exact"/>
        <w:ind w:firstLine="640" w:firstLineChars="200"/>
        <w:rPr>
          <w:rFonts w:cs="FZFSK--GBK1-0" w:asciiTheme="minorEastAsia" w:hAnsiTheme="minorEastAsia"/>
          <w:sz w:val="32"/>
          <w:szCs w:val="32"/>
        </w:rPr>
      </w:pPr>
      <w:r>
        <w:rPr>
          <w:rFonts w:hint="eastAsia" w:cs="FZFSK--GBK1-0" w:asciiTheme="minorEastAsia" w:hAnsiTheme="minorEastAsia"/>
          <w:sz w:val="32"/>
          <w:szCs w:val="32"/>
        </w:rPr>
        <w:t>1.聚焦困难群众，托住基本民生兜底保障线</w:t>
      </w:r>
    </w:p>
    <w:p>
      <w:pPr>
        <w:spacing w:line="560" w:lineRule="exact"/>
        <w:ind w:firstLine="640" w:firstLineChars="200"/>
        <w:rPr>
          <w:rFonts w:cs="FZFSK--GBK1-0" w:asciiTheme="minorEastAsia" w:hAnsiTheme="minorEastAsia"/>
          <w:sz w:val="32"/>
          <w:szCs w:val="32"/>
        </w:rPr>
      </w:pPr>
      <w:r>
        <w:rPr>
          <w:rFonts w:hint="eastAsia" w:cs="FZFSK--GBK1-0" w:asciiTheme="minorEastAsia" w:hAnsiTheme="minorEastAsia"/>
          <w:sz w:val="32"/>
          <w:szCs w:val="32"/>
        </w:rPr>
        <w:t>绩效目标：稳步推进城乡低保提标，精准落实农村困难群体特惠政策。落实特困人员供养制度，按标准发放基本生活费和护理费。</w:t>
      </w:r>
    </w:p>
    <w:p>
      <w:pPr>
        <w:spacing w:line="560" w:lineRule="exact"/>
        <w:ind w:firstLine="640" w:firstLineChars="200"/>
        <w:rPr>
          <w:rFonts w:cs="FZFSK--GBK1-0" w:asciiTheme="minorEastAsia" w:hAnsiTheme="minorEastAsia"/>
          <w:sz w:val="32"/>
          <w:szCs w:val="32"/>
        </w:rPr>
      </w:pPr>
      <w:r>
        <w:rPr>
          <w:rFonts w:hint="eastAsia" w:cs="FZFSK--GBK1-0" w:asciiTheme="minorEastAsia" w:hAnsiTheme="minorEastAsia"/>
          <w:sz w:val="32"/>
          <w:szCs w:val="32"/>
        </w:rPr>
        <w:t xml:space="preserve">  2.聚焦特殊群体，筑牢生活救助管理安全线</w:t>
      </w:r>
    </w:p>
    <w:p>
      <w:pPr>
        <w:spacing w:line="560" w:lineRule="exact"/>
        <w:ind w:firstLine="640" w:firstLineChars="200"/>
        <w:rPr>
          <w:rFonts w:cs="FZFSK--GBK1-0" w:asciiTheme="minorEastAsia" w:hAnsiTheme="minorEastAsia"/>
          <w:sz w:val="32"/>
          <w:szCs w:val="32"/>
        </w:rPr>
      </w:pPr>
      <w:r>
        <w:rPr>
          <w:rFonts w:hint="eastAsia" w:cs="FZFSK--GBK1-0" w:asciiTheme="minorEastAsia" w:hAnsiTheme="minorEastAsia"/>
          <w:sz w:val="32"/>
          <w:szCs w:val="32"/>
        </w:rPr>
        <w:t>绩效目标：加强孤儿和事实无人抚养儿童基本生活保障，按照标准做好保障对象基本生活补贴发放。强化对生活无着流浪乞讨人员的救助服务，维护受助人员合法权益。落实困难残疾人生活补贴和重度残疾人护理补贴制度，持续解决残疾人特殊生活困难和长期照护困难。</w:t>
      </w:r>
    </w:p>
    <w:p>
      <w:pPr>
        <w:spacing w:line="560" w:lineRule="exact"/>
        <w:ind w:firstLine="640" w:firstLineChars="200"/>
        <w:rPr>
          <w:rFonts w:cs="FZFSK--GBK1-0" w:asciiTheme="minorEastAsia" w:hAnsiTheme="minorEastAsia"/>
          <w:sz w:val="32"/>
          <w:szCs w:val="32"/>
        </w:rPr>
      </w:pPr>
      <w:r>
        <w:rPr>
          <w:rFonts w:hint="eastAsia" w:cs="FZFSK--GBK1-0" w:asciiTheme="minorEastAsia" w:hAnsiTheme="minorEastAsia"/>
          <w:sz w:val="32"/>
          <w:szCs w:val="32"/>
        </w:rPr>
        <w:t xml:space="preserve"> 3.聚焦群众关切，提高基本社会服务幸福线</w:t>
      </w:r>
    </w:p>
    <w:p>
      <w:pPr>
        <w:spacing w:line="560" w:lineRule="exact"/>
        <w:ind w:firstLine="640" w:firstLineChars="200"/>
        <w:rPr>
          <w:rFonts w:cs="FZFSK--GBK1-0" w:asciiTheme="minorEastAsia" w:hAnsiTheme="minorEastAsia"/>
          <w:sz w:val="32"/>
          <w:szCs w:val="32"/>
        </w:rPr>
      </w:pPr>
      <w:r>
        <w:rPr>
          <w:rFonts w:hint="eastAsia" w:cs="FZFSK--GBK1-0" w:asciiTheme="minorEastAsia" w:hAnsiTheme="minorEastAsia"/>
          <w:sz w:val="32"/>
          <w:szCs w:val="32"/>
        </w:rPr>
        <w:t>绩效目标：实施社区和居家养老工程，提高养老服务质量，加快推进居家社区机构相协调、医养相结合的养老服务体系建设。加强和改进殡葬管理工作，加快殡葬服务设施和农村公益性公墓建设。</w:t>
      </w:r>
    </w:p>
    <w:p>
      <w:pPr>
        <w:spacing w:line="560" w:lineRule="exact"/>
        <w:ind w:firstLine="640" w:firstLineChars="200"/>
        <w:rPr>
          <w:rFonts w:cs="FZFSK--GBK1-0" w:asciiTheme="minorEastAsia" w:hAnsiTheme="minorEastAsia"/>
          <w:sz w:val="32"/>
          <w:szCs w:val="32"/>
        </w:rPr>
      </w:pPr>
      <w:r>
        <w:rPr>
          <w:rFonts w:hint="eastAsia" w:cs="FZFSK--GBK1-0" w:asciiTheme="minorEastAsia" w:hAnsiTheme="minorEastAsia"/>
          <w:sz w:val="32"/>
          <w:szCs w:val="32"/>
        </w:rPr>
        <w:t xml:space="preserve"> 4.着眼强基固本，构建基层社会治理和谐线</w:t>
      </w:r>
    </w:p>
    <w:p>
      <w:pPr>
        <w:spacing w:line="560" w:lineRule="exact"/>
        <w:ind w:firstLine="640" w:firstLineChars="200"/>
        <w:rPr>
          <w:rFonts w:cs="FZFSK--GBK1-0" w:asciiTheme="minorEastAsia" w:hAnsiTheme="minorEastAsia"/>
          <w:sz w:val="32"/>
          <w:szCs w:val="32"/>
        </w:rPr>
      </w:pPr>
      <w:r>
        <w:rPr>
          <w:rFonts w:hint="eastAsia" w:cs="FZFSK--GBK1-0" w:asciiTheme="minorEastAsia" w:hAnsiTheme="minorEastAsia"/>
          <w:sz w:val="32"/>
          <w:szCs w:val="32"/>
        </w:rPr>
        <w:t>绩效目标：加强城乡社区建设，积极开展农村社区建设实验工作。促进全县社会组织高质量发展，加强社区社会工作专业人才队伍建设，积极推动政府购买社会组织服务和社会工作岗位。</w:t>
      </w:r>
    </w:p>
    <w:p>
      <w:pPr>
        <w:spacing w:line="560" w:lineRule="exact"/>
        <w:ind w:firstLine="640" w:firstLineChars="200"/>
        <w:rPr>
          <w:rFonts w:cs="Times New Roman" w:asciiTheme="minorEastAsia" w:hAnsiTheme="minorEastAsia"/>
          <w:b/>
          <w:sz w:val="32"/>
          <w:szCs w:val="32"/>
        </w:rPr>
      </w:pPr>
      <w:r>
        <w:rPr>
          <w:rFonts w:hint="eastAsia" w:cs="Times New Roman" w:asciiTheme="minorEastAsia" w:hAnsiTheme="minorEastAsia"/>
          <w:b/>
          <w:sz w:val="32"/>
          <w:szCs w:val="32"/>
        </w:rPr>
        <w:t>三、工作保障措施</w:t>
      </w:r>
    </w:p>
    <w:p>
      <w:pPr>
        <w:spacing w:line="560" w:lineRule="exact"/>
        <w:ind w:firstLine="640" w:firstLineChars="200"/>
        <w:rPr>
          <w:rFonts w:cs="FZFSK--GBK1-0" w:asciiTheme="minorEastAsia" w:hAnsiTheme="minorEastAsia"/>
          <w:sz w:val="32"/>
          <w:szCs w:val="32"/>
        </w:rPr>
      </w:pPr>
      <w:r>
        <w:rPr>
          <w:rFonts w:hint="eastAsia" w:cs="FZFSK--GBK1-0" w:asciiTheme="minorEastAsia" w:hAnsiTheme="minorEastAsia"/>
          <w:sz w:val="32"/>
          <w:szCs w:val="32"/>
        </w:rPr>
        <w:t>1.完善制度，建立高效工作机制。通过完善困难群众基本保障协调机制、精准认定精准核查机制、保障标准自然增长机制、养老服务机构星级评定机制、基层社会治理创新机制等，逐渐建立起适应我县经济与社会发展，适应人民群众生活需求的比较完善的城乡社会保障、社会服务和社会治理体系，促进全县经济与社会又好又快发展。</w:t>
      </w:r>
    </w:p>
    <w:p>
      <w:pPr>
        <w:spacing w:line="560" w:lineRule="exact"/>
        <w:ind w:firstLine="640" w:firstLineChars="200"/>
        <w:rPr>
          <w:rFonts w:cs="FZFSK--GBK1-0" w:asciiTheme="minorEastAsia" w:hAnsiTheme="minorEastAsia"/>
          <w:sz w:val="32"/>
          <w:szCs w:val="32"/>
        </w:rPr>
      </w:pPr>
      <w:r>
        <w:rPr>
          <w:rFonts w:hint="eastAsia" w:cs="FZFSK--GBK1-0" w:asciiTheme="minorEastAsia" w:hAnsiTheme="minorEastAsia"/>
          <w:sz w:val="32"/>
          <w:szCs w:val="32"/>
        </w:rPr>
        <w:t>2.注重实效，加强预算绩效管理。落实全面预算绩效管理要求，将事前绩效评估、绩效目标设定、绩效跟踪、绩效评价及结果运用纳入预算编制、执行、监督全过程。围绕部门职责和事业发展规划设定绩效目标，准确衡量部门整体及核心业务实施效果，按要求开展部门预算绩效实时监控、绩效自评和重点评价工作，对评价中发现的问题及时整改，推动提高部门整体绩效管理水平。</w:t>
      </w:r>
    </w:p>
    <w:p>
      <w:pPr>
        <w:spacing w:line="560" w:lineRule="exact"/>
        <w:ind w:firstLine="640" w:firstLineChars="200"/>
        <w:rPr>
          <w:rFonts w:cs="FZFSK--GBK1-0" w:asciiTheme="minorEastAsia" w:hAnsiTheme="minorEastAsia"/>
          <w:sz w:val="32"/>
          <w:szCs w:val="32"/>
        </w:rPr>
      </w:pPr>
      <w:r>
        <w:rPr>
          <w:rFonts w:hint="eastAsia" w:cs="FZFSK--GBK1-0" w:asciiTheme="minorEastAsia" w:hAnsiTheme="minorEastAsia"/>
          <w:sz w:val="32"/>
          <w:szCs w:val="32"/>
        </w:rPr>
        <w:t>3.精编预算，做好专项资金保障。预算安排首先要落实党和国家的各项民生政策，突出重点、注重绩效，合理安排一般公共预算、政府性基金和部门其他收入。对涉及个人和家庭补贴等方面有明确政策规定和标准调整的支出据实编制，确保城乡困难群众基本生活。对落实政策的奖补类项目、保障部门履行职责所需经费、政府购买社会服务项目和一些绩效评估结果较好的专项项目，区分轻重缓急，统筹安排。下属单位承担着部分民生保障任务和管理职能，其履行职责所需专项资金给予基本保障，建设所需经费给予必要的资金支持。通过编细编实预算，优化支出结构，加快履行政府采购手续，按规定及时下达资金等多种措施，确保支出进度达标，及时发挥财政资金效益。</w:t>
      </w:r>
    </w:p>
    <w:p>
      <w:pPr>
        <w:spacing w:line="560" w:lineRule="exact"/>
        <w:ind w:firstLine="640" w:firstLineChars="200"/>
        <w:rPr>
          <w:rFonts w:cs="FZFSK--GBK1-0" w:asciiTheme="minorEastAsia" w:hAnsiTheme="minorEastAsia"/>
          <w:sz w:val="32"/>
          <w:szCs w:val="32"/>
        </w:rPr>
      </w:pPr>
      <w:r>
        <w:rPr>
          <w:rFonts w:hint="eastAsia" w:cs="FZFSK--GBK1-0" w:asciiTheme="minorEastAsia" w:hAnsiTheme="minorEastAsia"/>
          <w:sz w:val="32"/>
          <w:szCs w:val="32"/>
        </w:rPr>
        <w:t>4.补齐短板，加强基础设施建设。认真贯彻落实国务院关于保持基础设施领域补短板力度的指导意见，按照“科学规划、合理布局，统筹资金、突出重点，量力而行、适度发展”的原则，充分发挥中央预算内投资政策，统筹中央和省级福彩公益金，加强政策引导和组织实施，稳步推进民政公共服务设施建设，改善基础条件，提升防风险能力，提高服务质量。</w:t>
      </w:r>
    </w:p>
    <w:p>
      <w:pPr>
        <w:spacing w:line="560" w:lineRule="exact"/>
        <w:ind w:firstLine="640" w:firstLineChars="200"/>
        <w:rPr>
          <w:rFonts w:cs="FZFSK--GBK1-0" w:asciiTheme="minorEastAsia" w:hAnsiTheme="minorEastAsia"/>
          <w:sz w:val="32"/>
          <w:szCs w:val="32"/>
        </w:rPr>
      </w:pPr>
      <w:r>
        <w:rPr>
          <w:rFonts w:hint="eastAsia" w:cs="FZFSK--GBK1-0" w:asciiTheme="minorEastAsia" w:hAnsiTheme="minorEastAsia"/>
          <w:sz w:val="32"/>
          <w:szCs w:val="32"/>
        </w:rPr>
        <w:t xml:space="preserve">5.加强培训，提高基层服务能力。随着党和政府对民生工作的重视程度不断加强，人民群众期的盼也越来越高，民政干部在履职尽责过程中不同程度地存在“能力不足”、“本领恐慌”问题。因此，通过对基层民政工作人员，如低保核查管理员、养老院工作人员、婚姻收养登记员、救助管理机构工作人员、未成年人救助保护机构工作人员、儿童福利院工作人员，殡仪馆工作人员等开展业务技能专项培训，不断提高基层民政队伍素质和服务能力。 </w:t>
      </w:r>
    </w:p>
    <w:p>
      <w:pPr>
        <w:spacing w:line="560" w:lineRule="exact"/>
        <w:ind w:firstLine="640" w:firstLineChars="200"/>
        <w:rPr>
          <w:rFonts w:cs="FZFSK--GBK1-0" w:asciiTheme="minorEastAsia" w:hAnsiTheme="minorEastAsia"/>
          <w:sz w:val="32"/>
          <w:szCs w:val="32"/>
        </w:rPr>
      </w:pPr>
      <w:r>
        <w:rPr>
          <w:rFonts w:hint="eastAsia" w:cs="FZFSK--GBK1-0" w:asciiTheme="minorEastAsia" w:hAnsiTheme="minorEastAsia"/>
          <w:sz w:val="32"/>
          <w:szCs w:val="32"/>
        </w:rPr>
        <w:t>6.丰富手段，提高信息化水平。通过社会救助信息管理平台建设，集成养老信息管理系统、基层政权和社区建设系统、互联网+民政服务平台、民政数据共享服务一体化信息管理平台，加强新媒体宣传及公众号发布等现代化信息手段，推动民政管理创新和公共服务方式转变，完满完成各项任务目标。</w:t>
      </w:r>
    </w:p>
    <w:p>
      <w:pPr>
        <w:spacing w:line="560" w:lineRule="exact"/>
        <w:ind w:firstLine="640" w:firstLineChars="200"/>
        <w:rPr>
          <w:rFonts w:cs="FZFSK--GBK1-0" w:asciiTheme="minorEastAsia" w:hAnsiTheme="minorEastAsia"/>
          <w:sz w:val="32"/>
          <w:szCs w:val="32"/>
        </w:rPr>
      </w:pPr>
      <w:r>
        <w:rPr>
          <w:rFonts w:hint="eastAsia" w:cs="FZFSK--GBK1-0" w:asciiTheme="minorEastAsia" w:hAnsiTheme="minorEastAsia"/>
          <w:sz w:val="32"/>
          <w:szCs w:val="32"/>
        </w:rPr>
        <w:t>7.加强内控，规范财务资产管理。加强内部监督制度建设，设立内审机构，对绩效运行情况、重大支出决策、资产处置及其他重要经济业务事项的决策和执行进行监督，对会计资料进行内部审计，并配合做好审计、财政监督等外部监督工作，确保财政资金安全有效。完善财务管理制度，严格审批程序，加强固定资产登记、使用和报废处置管理，做到支出合理，物尽其用。</w:t>
      </w:r>
    </w:p>
    <w:p>
      <w:pPr>
        <w:spacing w:line="560" w:lineRule="exact"/>
        <w:ind w:firstLine="640" w:firstLineChars="200"/>
        <w:rPr>
          <w:rFonts w:cs="FZFSK--GBK1-0" w:asciiTheme="minorEastAsia" w:hAnsiTheme="minorEastAsia"/>
          <w:sz w:val="32"/>
          <w:szCs w:val="32"/>
        </w:rPr>
      </w:pPr>
      <w:r>
        <w:rPr>
          <w:rFonts w:hint="eastAsia" w:cs="宋体" w:asciiTheme="minorEastAsia" w:hAnsiTheme="minorEastAsia"/>
          <w:b/>
          <w:sz w:val="32"/>
          <w:szCs w:val="32"/>
        </w:rPr>
        <w:t>第二部分 预算项目绩效目标</w:t>
      </w:r>
    </w:p>
    <w:p/>
    <w:p/>
    <w:p/>
    <w:p/>
    <w:p/>
    <w:p/>
    <w:p/>
    <w:p/>
    <w:p/>
    <w:p/>
    <w:p/>
    <w:p/>
    <w:p/>
    <w:p>
      <w:pPr>
        <w:ind w:firstLine="562" w:firstLineChars="200"/>
        <w:outlineLvl w:val="3"/>
        <w:rPr>
          <w:rFonts w:hAnsi="宋体"/>
          <w:b/>
          <w:sz w:val="28"/>
        </w:rPr>
      </w:pPr>
      <w:bookmarkStart w:id="2" w:name="_Toc70667878"/>
      <w:r>
        <w:rPr>
          <w:rFonts w:hint="eastAsia" w:ascii="方正仿宋_GBK" w:eastAsia="方正仿宋_GBK"/>
          <w:b/>
          <w:sz w:val="28"/>
        </w:rPr>
        <w:t>1.2020年度目标绩效奖绩效目标表</w:t>
      </w:r>
      <w:bookmarkEnd w:id="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1、2020年度目标绩效奖绩效目标表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130528210ATMPHE576I18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ascii="方正书宋_GBK" w:eastAsia="方正书宋_GBK"/>
              </w:rPr>
              <w:t>2020</w:t>
            </w:r>
            <w:r>
              <w:rPr>
                <w:rFonts w:hint="eastAsia" w:ascii="方正书宋_GBK" w:eastAsia="方正书宋_GBK"/>
              </w:rPr>
              <w:t>年度目标绩效奖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10.48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10.48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用于发放职工</w:t>
            </w:r>
            <w:r>
              <w:rPr>
                <w:rFonts w:ascii="方正书宋_GBK" w:eastAsia="方正书宋_GBK"/>
              </w:rPr>
              <w:t>2020</w:t>
            </w:r>
            <w:r>
              <w:rPr>
                <w:rFonts w:hint="eastAsia" w:ascii="方正书宋_GBK" w:eastAsia="方正书宋_GBK"/>
              </w:rPr>
              <w:t>年度目标绩效奖。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落实人员待遇</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保障职工权益</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在职人员数量</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在职人员数量</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19</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待遇落实文件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资金保障率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资金保障率</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待遇落实文件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按时发放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待遇落实文件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在职</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人，退休</w:t>
            </w:r>
            <w:r>
              <w:rPr>
                <w:rFonts w:ascii="方正书宋_GBK" w:eastAsia="方正书宋_GBK"/>
              </w:rPr>
              <w:t>1800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待遇落实文件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提高职工生活水平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提高职工生活水平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待遇落实文件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保障职工权益</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保障职工权益</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待遇落实文件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改善职工生活质量</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改善职工生活质量</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有效改善</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待遇落实文件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提高人员工作积极性</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提高人员工作积极性</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待遇落实文件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职工满意度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职工满意度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待遇落实文件</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3" w:name="_Toc70667879"/>
      <w:r>
        <w:rPr>
          <w:rFonts w:hint="eastAsia" w:ascii="方正仿宋_GBK" w:eastAsia="方正仿宋_GBK"/>
          <w:b/>
          <w:sz w:val="28"/>
        </w:rPr>
        <w:t>2.特困供养金绩效目标表</w:t>
      </w:r>
      <w:bookmarkEnd w:id="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2、特困供养金绩效目标表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130528212Z61DP10GPDXQ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特困供养金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359.00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359.00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用于发放特困供养人员特困供养金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落实特困供养人员政策</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保障特困供养人员基本生活</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特困供养人数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特困供养人数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特困供养保障率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特困供养保障率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特困供养金发放时效</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特困供养金发放时效</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特困供养发放标准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特困供养发放标准</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有效提高特困供养户生活水平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有效提高特困供养户生活水平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困难群众救助政策知晓率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困难群众救助政策知晓率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有效保障特困供养人员基本生活</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有效保障特困供养人员基本生活</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有效落实特困供养人员政策</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有效落实特困供养人员政策</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特困供养人员满意度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特困供养人员满意度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4" w:name="_Toc70667880"/>
      <w:r>
        <w:rPr>
          <w:rFonts w:hint="eastAsia" w:ascii="方正仿宋_GBK" w:eastAsia="方正仿宋_GBK"/>
          <w:b/>
          <w:sz w:val="28"/>
        </w:rPr>
        <w:t>3.代管退休人员退休费、遗属补助绩效目标表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3、代管退休人员退休费、遗属补助绩效目标表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1305282130KU2IO0L867Z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代管退休人员退休费、遗属补助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18.43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18.43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用于发放代管退休人员退休金、遗属补助。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落实退休人员、遗属人员待遇</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保障退休、遗属人员基本权益</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享受遗属补助人员数量</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享受遗属补助人员数量</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14</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每月</w:t>
            </w:r>
            <w:r>
              <w:rPr>
                <w:rFonts w:ascii="方正书宋_GBK" w:eastAsia="方正书宋_GBK"/>
              </w:rPr>
              <w:t>700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提高遗属人员生活水平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提高遗属人员生活水平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有效保障人员基本生活</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有效保障人员基本生活</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改善退休人员的生活水平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改善退休人员的生活水平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有效改善</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政策知晓率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服务对象满意程度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5" w:name="_Toc70667881"/>
      <w:r>
        <w:rPr>
          <w:rFonts w:hint="eastAsia" w:ascii="方正仿宋_GBK" w:eastAsia="方正仿宋_GBK"/>
          <w:b/>
          <w:sz w:val="28"/>
        </w:rPr>
        <w:t>4.2021年省级养老服务体系建设经费（冀财社[2020]215号）绩效目标表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4、2021年省级养老服务体系建设经费（冀财社[2020]215号）绩效目标表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13052821337GL938VM4XG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ascii="方正书宋_GBK" w:eastAsia="方正书宋_GBK"/>
              </w:rPr>
              <w:t>2021</w:t>
            </w:r>
            <w:r>
              <w:rPr>
                <w:rFonts w:hint="eastAsia" w:ascii="方正书宋_GBK" w:eastAsia="方正书宋_GBK"/>
              </w:rPr>
              <w:t>年省级养老服务体系建设经费（冀财社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107.00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用于养老服务体系建设资金支出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推进养老服务体系建设</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保障老年人晚年生活</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补贴民办养老机构运营补贴数量</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补贴民办养老机构运营补贴数量</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所</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补贴资金保障率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补贴资金保障率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按时发放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补贴标准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补贴标准</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按文件规定标准补贴</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有效提高供养老人生活水平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有效提高供养老人生活水平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有效促进我县养老服务设施水平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有效促进我县养老服务设施水平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有效促进</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保障集中供养老人生活</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保障集中供养老人生活</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有效推动养老服务体系建设发展</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有效推动养老服务体系建设发展</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有效推进</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住院老人满意度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住院老人满意度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[2020]215</w:t>
            </w:r>
            <w:r>
              <w:rPr>
                <w:rFonts w:hint="eastAsia" w:ascii="方正书宋_GBK" w:eastAsia="方正书宋_GBK"/>
              </w:rPr>
              <w:t>号</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6" w:name="_Toc70667882"/>
      <w:r>
        <w:rPr>
          <w:rFonts w:hint="eastAsia" w:ascii="方正仿宋_GBK" w:eastAsia="方正仿宋_GBK"/>
          <w:b/>
          <w:sz w:val="28"/>
        </w:rPr>
        <w:t>5.养老服务体系建设经费绩效目标表</w:t>
      </w:r>
      <w:bookmarkEnd w:id="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5、养老服务体系建设经费绩效目标表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130528215YQGH5F5RQU7A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养老服务体系建设经费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85.00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85.00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用于失能、半失能老人能力评估费支出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落实养老服务体系政策</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及时的为失能、半失能老年人能力进行评估</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评估老年人人数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评估老年人人数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&gt;400</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养老服务体系建设政策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评估完成率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评估完成率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养老服务体系建设政策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评估工作完成及时率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评估工作完成及时率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养老服务体系建设政策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评估费标准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评估费标准</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240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养老服务体系建设政策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评估准确率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评估准确率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养老服务体系建设政策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提高老年人幸福指数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提高老年人幸福指数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明显提高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养老服务体系建设政策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保障养老服务发展</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保障养老服务发展</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养老服务体系建设政策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及时评估老年人自理能力</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及时评估老年人自理能力</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及时评估</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养老服务体系建设政策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被评估对象满意度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被评估对象满意度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养老服务体系建设政策</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7" w:name="_Toc70667883"/>
      <w:r>
        <w:rPr>
          <w:rFonts w:hint="eastAsia" w:ascii="方正仿宋_GBK" w:eastAsia="方正仿宋_GBK"/>
          <w:b/>
          <w:sz w:val="28"/>
        </w:rPr>
        <w:t>6.社会服务兜底工程（以前年度）（冀财建[2019]71号）绩效目标表</w:t>
      </w:r>
      <w:bookmarkEnd w:id="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6、社会服务兜底工程（以前年度）（冀财建[2019]71号）绩效目标表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130528216B4ULO31MGR4O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社会服务兜底工程（以前年度）（冀财建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用于建设殡仪馆、公益性骨灰堂支出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保障项目顺利建设</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促进我县殡葬事业发展</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总占地面积</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总占地面积</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16926.9</w:t>
            </w:r>
            <w:r>
              <w:rPr>
                <w:rFonts w:hint="eastAsia" w:ascii="方正书宋_GBK" w:eastAsia="方正书宋_GBK"/>
              </w:rPr>
              <w:t>平方米</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工程质量达标率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工程质量达标率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工程完工率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工程完工率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项目实际成本</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项目实际成本</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节约群众殡葬成本</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节约群众殡葬成本</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有效节约</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倡导殡葬文明新风尚</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倡导殡葬文明新风尚</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有力倡导</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有效节约用地和保护环境</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有效节约用地和保护环境</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有效节约</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推动我县殡葬事业发展</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推动我县殡葬事业发展</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有效推动</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8" w:name="_Toc70667884"/>
      <w:r>
        <w:rPr>
          <w:rFonts w:hint="eastAsia" w:ascii="方正仿宋_GBK" w:eastAsia="方正仿宋_GBK"/>
          <w:b/>
          <w:sz w:val="28"/>
        </w:rPr>
        <w:t>7.2021年中央集中彩票公益金支技社会福利事业专项资金（冀财社[2020]178号）绩效目标表</w:t>
      </w:r>
      <w:bookmarkEnd w:id="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7、2021年中央集中彩票公益金支技社会福利事业专项资金（冀财社[2020]178号）绩效目标表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130528219BQGIQSBFTGQG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ascii="方正书宋_GBK" w:eastAsia="方正书宋_GBK"/>
              </w:rPr>
              <w:t>2021</w:t>
            </w:r>
            <w:r>
              <w:rPr>
                <w:rFonts w:hint="eastAsia" w:ascii="方正书宋_GBK" w:eastAsia="方正书宋_GBK"/>
              </w:rPr>
              <w:t>年中央集中彩票公益金支技社会福利事业专项资金（冀财社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用于发放孤儿助学金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顺利开展孤儿助学工程</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资助考上普通全日制本科、专科等学校的孤儿完成学业</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享受孤儿助学人数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享受孤儿助学人数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14</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孤儿助学保障率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孤儿助学保障率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按季发放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每学年</w:t>
            </w:r>
            <w:r>
              <w:rPr>
                <w:rFonts w:ascii="方正书宋_GBK" w:eastAsia="方正书宋_GBK"/>
              </w:rPr>
              <w:t>10000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提高孤儿生活水平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提高孤儿生活水平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回应服务需求，改善生活境况</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回应服务需求，改善生活境况</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效果显著</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保障工作顺利开展</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保障工作顺利开展</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帮助孤儿完成学业</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帮助孤儿完成学业</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有效帮助</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孤儿满意度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孤儿满意度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[2020]178</w:t>
            </w:r>
            <w:r>
              <w:rPr>
                <w:rFonts w:hint="eastAsia" w:ascii="方正书宋_GBK" w:eastAsia="方正书宋_GBK"/>
              </w:rPr>
              <w:t>号</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9" w:name="_Toc70667885"/>
      <w:r>
        <w:rPr>
          <w:rFonts w:hint="eastAsia" w:ascii="方正仿宋_GBK" w:eastAsia="方正仿宋_GBK"/>
          <w:b/>
          <w:sz w:val="28"/>
        </w:rPr>
        <w:t>8.民政事业服务中心消防提升改造项目绩效目标表</w:t>
      </w:r>
      <w:bookmarkEnd w:id="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8、民政事业服务中心消防提升改造项目绩效目标表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13052821APY4YF1BFFR2I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民政事业服务中心消防提升改造项目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60.00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60.00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用于民政事业中心消防提升改造项目支出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加强民政事业服务中心的消防力量，强化日常消防安全管理</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消除安全隐患，提升办院条件。</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民政中心建筑面积</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民政中心建筑面积</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10800</w:t>
            </w:r>
            <w:r>
              <w:rPr>
                <w:rFonts w:hint="eastAsia" w:ascii="方正书宋_GBK" w:eastAsia="方正书宋_GBK"/>
              </w:rPr>
              <w:t>平方米</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老年人照料设施建筑设计标准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项目质量合格率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项目质量合格率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老年人照料设施建筑设计标准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项目建设期限</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项目建设期限</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3</w:t>
            </w:r>
            <w:r>
              <w:rPr>
                <w:rFonts w:hint="eastAsia" w:ascii="方正书宋_GBK" w:eastAsia="方正书宋_GBK"/>
              </w:rPr>
              <w:t>个月</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老年人照料设施建筑设计标准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项目建设成本</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项目建设成本</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按审计结果结算</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老年人照料设施建筑设计标准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提升服务设施水平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提升民政中心服务设施水平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有效提升</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老年人照料设施建筑设计标准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消除安全隐患，提升办院条件</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消除安全隐患，提升办院条件</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有效提升</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老年人照料设施建筑设计标准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提升火灾防控能力和应急处置能力</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提升火灾防控能力和应急处置能力</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有效提升</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老年人照料设施建筑设计标准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提高民政中心消防力量</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提高民政中心消防力量</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老年人照料设施建筑设计标准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入院院民满意度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入院院民满意度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老年人照料设施建筑设计标准</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10" w:name="_Toc70667886"/>
      <w:r>
        <w:rPr>
          <w:rFonts w:hint="eastAsia" w:ascii="方正仿宋_GBK" w:eastAsia="方正仿宋_GBK"/>
          <w:b/>
          <w:sz w:val="28"/>
        </w:rPr>
        <w:t>9.宁晋县老促会编印《宁晋县革命老区发展史》经费绩效目标表</w:t>
      </w:r>
      <w:bookmarkEnd w:id="1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9、宁晋县老促会编印《宁晋县革命老区发展史》经费绩效目标表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13052821CIBPU7FSHRPKC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宁晋县老促会编印《宁晋县革命老区发展史》经费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19.70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19.70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用于编印《宁晋县革命老区发展史》经费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发扬红色资源优势</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保障《宁晋县革命老区发展史》顺利出版</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印刷发展史本数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印刷发展史本数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2000</w:t>
            </w:r>
            <w:r>
              <w:rPr>
                <w:rFonts w:hint="eastAsia" w:ascii="方正书宋_GBK" w:eastAsia="方正书宋_GBK"/>
              </w:rPr>
              <w:t>本</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资金到位率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资金到位率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项目预算控制数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项目预算控制数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19.7</w:t>
            </w:r>
            <w:r>
              <w:rPr>
                <w:rFonts w:hint="eastAsia" w:ascii="方正书宋_GBK" w:eastAsia="方正书宋_GBK"/>
              </w:rPr>
              <w:t>万元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发展老区革命史传统教育</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发展老区革命史传统教育</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有力发展</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促进我县红色基因代代相传</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促进我县红色基因代代相传</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明显促进</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发扬传统、代代相传</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发扬传统、代代相传</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大力发扬</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发扬红色资源优势</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发扬红色资源优势</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有效发扬</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宁办文</w:t>
            </w:r>
            <w:r>
              <w:rPr>
                <w:rFonts w:ascii="方正书宋_GBK" w:eastAsia="方正书宋_GBK"/>
              </w:rPr>
              <w:t>[2018]10</w:t>
            </w:r>
            <w:r>
              <w:rPr>
                <w:rFonts w:hint="eastAsia" w:ascii="方正书宋_GBK" w:eastAsia="方正书宋_GBK"/>
              </w:rPr>
              <w:t>号</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11" w:name="_Toc70667887"/>
      <w:r>
        <w:rPr>
          <w:rFonts w:hint="eastAsia" w:ascii="方正仿宋_GBK" w:eastAsia="方正仿宋_GBK"/>
          <w:b/>
          <w:sz w:val="28"/>
        </w:rPr>
        <w:t>10.行政区划和地名管理绩效目标表</w:t>
      </w:r>
      <w:bookmarkEnd w:id="1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10、行政区划和地名管理绩效目标表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13052821DV57RIM1Q1EGU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行政区划和地名管理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用于街路牌制作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提高我县地名服务管理质量和水平</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保障地名公共服务工作顺利开展</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制作街路牌数量</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制作街路牌数量</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块</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地名标志设置工作方案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街路牌完好率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街路牌完好率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地名标志设置工作方案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工作任务完成及时率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工作任务完成及时率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地名标志设置工作方案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预算控制数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地名标志设置工作方案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加快我县城镇化建设步伐</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加快我县城镇化建设步伐</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加快推进</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地名标志设置工作方案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推进我县撤县设市工作</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推进我县撤县设市工作</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有效推进</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地名标志设置工作方案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推进我县创城工作</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推进我县创城工作</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有效推进</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地名标志设置工作方案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提高我县地名服务管理水平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提高我县地名服务管理水平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地名标志设置工作方案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地名标志设置工作方案</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12" w:name="_Toc70667888"/>
      <w:r>
        <w:rPr>
          <w:rFonts w:hint="eastAsia" w:ascii="方正仿宋_GBK" w:eastAsia="方正仿宋_GBK"/>
          <w:b/>
          <w:sz w:val="28"/>
        </w:rPr>
        <w:t>11.局自收自支人员工资、社会保险绩效目标表</w:t>
      </w:r>
      <w:bookmarkEnd w:id="1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11、局自收自支人员工资、社会保险绩效目标表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13052821DXV0WHGTB9ELM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局自收自支人员工资、社会保险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123.53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123.53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用于发放自收自支人员工资、缴纳社会保险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落实职工工资待遇</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保障职工基本权益</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职工人数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职工人数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24</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人社局调资方案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资金支付合规率（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资金支付合规率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人社局调资方案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人社局调资方案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职工工资标准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职工工资标准</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按标准发放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人社局调资方案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有效保障职工生活水平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有效保障职工生活水平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人社局调资方案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提高职工工作积极性</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提高职工工作积极性</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人社局调资方案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社会发展保障力</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促进社会发展</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有效促进</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人社局调资方案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工作水平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提高我局工作水平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明显提高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人社局调资方案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职工满意度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职工满意程度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人社局调资方案</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13" w:name="_Toc70667889"/>
      <w:r>
        <w:rPr>
          <w:rFonts w:hint="eastAsia" w:ascii="方正仿宋_GBK" w:eastAsia="方正仿宋_GBK"/>
          <w:b/>
          <w:sz w:val="28"/>
        </w:rPr>
        <w:t>12.福彩中心业务费绩效目标表</w:t>
      </w:r>
      <w:bookmarkEnd w:id="1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12、福彩中心业务费绩效目标表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13052821IOLV89MXQFZMC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福彩中心业务费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32.00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32.00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用于福彩中心工作经费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保障福彩中心工作顺利开展</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有效促进我县福彩事业发展</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完成福彩站点销售培训次数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完成福彩站点销售培训次数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福彩中心工作任务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福彩工作完成率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福彩工作完成率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福彩中心工作任务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彩票兑奖及时率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彩票兑奖及时率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福彩中心工作任务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预算控制数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福彩中心工作任务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为国家筹集更多的公益金</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为国家筹集更多的公益金</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积极筹集</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福彩中心工作任务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提升福彩工作社会满意度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提升福彩工作社会满意度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有力提升</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福彩中心工作任务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充分践行福彩发行宗旨</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充分践行福彩发行宗旨</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充分践行</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福彩中心工作任务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提升福彩形象</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提升福彩形象</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有效提升</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福彩中心工作任务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彩民满意度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彩民满意度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福彩中心工作任务</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14" w:name="_Toc70667890"/>
      <w:r>
        <w:rPr>
          <w:rFonts w:hint="eastAsia" w:ascii="方正仿宋_GBK" w:eastAsia="方正仿宋_GBK"/>
          <w:b/>
          <w:sz w:val="28"/>
        </w:rPr>
        <w:t>13.高龄补贴绩效目标表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13、高龄补贴绩效目标表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13052821KO46DY1E90FT2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高龄补贴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113.40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113.40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用于发放高龄老人补贴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落实高龄补贴政策</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保障高龄老人合法权益</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低保家庭中</w:t>
            </w:r>
            <w:r>
              <w:rPr>
                <w:rFonts w:ascii="方正书宋_GBK" w:eastAsia="方正书宋_GBK"/>
              </w:rPr>
              <w:t>80</w:t>
            </w:r>
            <w:r>
              <w:rPr>
                <w:rFonts w:hint="eastAsia" w:ascii="方正书宋_GBK" w:eastAsia="方正书宋_GBK"/>
              </w:rPr>
              <w:t>岁老年人人数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低保家庭中</w:t>
            </w:r>
            <w:r>
              <w:rPr>
                <w:rFonts w:ascii="方正书宋_GBK" w:eastAsia="方正书宋_GBK"/>
              </w:rPr>
              <w:t>80</w:t>
            </w:r>
            <w:r>
              <w:rPr>
                <w:rFonts w:hint="eastAsia" w:ascii="方正书宋_GBK" w:eastAsia="方正书宋_GBK"/>
              </w:rPr>
              <w:t>岁老年人人数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3274</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高龄老人补贴政策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低保家庭中高龄补贴保障率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低保家庭中高龄补贴保障率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高龄老人补贴政策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按季发放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高龄老人补贴政策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80-99</w:t>
            </w:r>
            <w:r>
              <w:rPr>
                <w:rFonts w:hint="eastAsia" w:ascii="方正书宋_GBK" w:eastAsia="方正书宋_GBK"/>
              </w:rPr>
              <w:t>岁每人月</w:t>
            </w:r>
            <w:r>
              <w:rPr>
                <w:rFonts w:ascii="方正书宋_GBK" w:eastAsia="方正书宋_GBK"/>
              </w:rPr>
              <w:t>30</w:t>
            </w:r>
            <w:r>
              <w:rPr>
                <w:rFonts w:hint="eastAsia" w:ascii="方正书宋_GBK" w:eastAsia="方正书宋_GBK"/>
              </w:rPr>
              <w:t>元，</w:t>
            </w:r>
            <w:r>
              <w:rPr>
                <w:rFonts w:ascii="方正书宋_GBK" w:eastAsia="方正书宋_GBK"/>
              </w:rPr>
              <w:t>100</w:t>
            </w:r>
            <w:r>
              <w:rPr>
                <w:rFonts w:hint="eastAsia" w:ascii="方正书宋_GBK" w:eastAsia="方正书宋_GBK"/>
              </w:rPr>
              <w:t>岁月</w:t>
            </w:r>
            <w:r>
              <w:rPr>
                <w:rFonts w:ascii="方正书宋_GBK" w:eastAsia="方正书宋_GBK"/>
              </w:rPr>
              <w:t>300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高龄老人补贴政策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有效提高高龄老人生活水平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有效提高高龄老人生活水平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高龄老人补贴政策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保障老年人合法权益</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保障老年人合法权益</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高龄老人补贴政策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促进我县老年人事业发展</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促进我县老年人事业发展</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有效促进</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高龄老人补贴政策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政策知晓率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&gt;90%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高龄老人补贴政策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高龄老年人满意度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高龄老年人满意度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高龄老人补贴政策</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15" w:name="_Toc70667891"/>
      <w:r>
        <w:rPr>
          <w:rFonts w:hint="eastAsia" w:ascii="方正仿宋_GBK" w:eastAsia="方正仿宋_GBK"/>
          <w:b/>
          <w:sz w:val="28"/>
        </w:rPr>
        <w:t>14.社会服务兜底工程资金绩效目标表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14、社会服务兜底工程资金绩效目标表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13052821L25RN8AWDSMQX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社会服务兜底工程资金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200.00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用于火化设备购置、殡仪馆、公益性骨灰堂建设支出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保障项目顺利建设</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促进我县殡葬事业发展</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购置火化机数量</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购置火化机数量</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4</w:t>
            </w:r>
            <w:r>
              <w:rPr>
                <w:rFonts w:hint="eastAsia" w:ascii="方正书宋_GBK" w:eastAsia="方正书宋_GBK"/>
              </w:rPr>
              <w:t>套</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购置设备质量达标率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购置设备质量达标率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安装完工率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安装完工率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建设成本</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建设成本</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提高火化效率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提高火化效率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倡导殡葬文明新风尚</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倡导殡葬文明新风尚</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有效倡导</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有效提高保护生态环境</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有效提高保护生态环境</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推动我县殡葬事业发展</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推动我县殡葬事业发展</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有效推动</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冀财建</w:t>
            </w:r>
            <w:r>
              <w:rPr>
                <w:rFonts w:ascii="方正书宋_GBK" w:eastAsia="方正书宋_GBK"/>
              </w:rPr>
              <w:t>[2019]71</w:t>
            </w:r>
            <w:r>
              <w:rPr>
                <w:rFonts w:hint="eastAsia" w:ascii="方正书宋_GBK" w:eastAsia="方正书宋_GBK"/>
              </w:rPr>
              <w:t>号</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16" w:name="_Toc70667892"/>
      <w:r>
        <w:rPr>
          <w:rFonts w:hint="eastAsia" w:ascii="方正仿宋_GBK" w:eastAsia="方正仿宋_GBK"/>
          <w:b/>
          <w:sz w:val="28"/>
        </w:rPr>
        <w:t>15.废旧衣物回收经费绩效目标表</w:t>
      </w:r>
      <w:bookmarkEnd w:id="1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15、废旧衣物回收经费绩效目标表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13052821L8IWAL749QY55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废旧衣物回收经费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用于宁晋县慈善总会废旧衣物回收工作经费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保障废旧衣物回收项目顺利开展</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促进我县慈善事业发展</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废旧衣物回收件数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废旧衣物回收件数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件</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废旧衣物回收工作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废旧衣物清洗、消毒合格率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废旧衣物清洗、消毒合格率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废旧衣物回收工作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工作任务完成及时率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工作任务完成及时率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废旧衣物回收工作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预算控制数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w:t>
            </w:r>
            <w:r>
              <w:rPr>
                <w:rFonts w:hint="eastAsia" w:ascii="方正书宋_GBK" w:eastAsia="方正书宋_GBK"/>
              </w:rPr>
              <w:t>万元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废旧衣物回收工作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改善贫困群众生活</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改善贫困群众生活</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明显改善</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废旧衣物回收工作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推动慈善文化发展</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推动慈善文化发展</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有效推动</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废旧衣物回收工作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加强节约集约利用</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加强节约集约利用</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有效促进</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废旧衣物回收工作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营造浓厚舆论氛围</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营造浓厚舆论氛围</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促进营造</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废旧衣物回收工作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废旧衣物回收工作</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17" w:name="_Toc70667893"/>
      <w:r>
        <w:rPr>
          <w:rFonts w:hint="eastAsia" w:ascii="方正仿宋_GBK" w:eastAsia="方正仿宋_GBK"/>
          <w:b/>
          <w:sz w:val="28"/>
        </w:rPr>
        <w:t>16.2021年省级专项福利彩票公益金（冀财社[2020]217号）绩效目标表</w:t>
      </w:r>
      <w:bookmarkEnd w:id="1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16、2021年省级专项福利彩票公益金（冀财社[2020]217号）绩效目标表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13052821O6U9QGROTBGW6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ascii="方正书宋_GBK" w:eastAsia="方正书宋_GBK"/>
              </w:rPr>
              <w:t>2021</w:t>
            </w:r>
            <w:r>
              <w:rPr>
                <w:rFonts w:hint="eastAsia" w:ascii="方正书宋_GBK" w:eastAsia="方正书宋_GBK"/>
              </w:rPr>
              <w:t>年省级专项福利彩票公益金（冀财社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113.00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113.00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用于农村公益性公墓建设支出，宁晋县民政事业服务中心护理型床位改造项目支出。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保障项目顺利开展</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促进我县社会福利事业发展</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新建公益性公墓数量</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新建公益性公墓数量</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4</w:t>
            </w:r>
            <w:r>
              <w:rPr>
                <w:rFonts w:hint="eastAsia" w:ascii="方正书宋_GBK" w:eastAsia="方正书宋_GBK"/>
              </w:rPr>
              <w:t>所</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工程质量是否达标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工程质量是否达标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达标</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工程完成率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工程完成率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50%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工程是否超预算</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工程是否超预算</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有效节约丧葬费用</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有效节约丧葬费用</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有效节约</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有效推进殡葬改革</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有效推进殡葬改革</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有效推进</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有力改善生态环境</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有力改善生态环境</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有力改善</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改善民政中心设施</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改善民政中心设施</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明显改善</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冀财社</w:t>
            </w:r>
            <w:r>
              <w:rPr>
                <w:rFonts w:ascii="方正书宋_GBK" w:eastAsia="方正书宋_GBK"/>
              </w:rPr>
              <w:t>[2020]217</w:t>
            </w:r>
            <w:r>
              <w:rPr>
                <w:rFonts w:hint="eastAsia" w:ascii="方正书宋_GBK" w:eastAsia="方正书宋_GBK"/>
              </w:rPr>
              <w:t>号</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18" w:name="_Toc70667894"/>
      <w:r>
        <w:rPr>
          <w:rFonts w:hint="eastAsia" w:ascii="方正仿宋_GBK" w:eastAsia="方正仿宋_GBK"/>
          <w:b/>
          <w:sz w:val="28"/>
        </w:rPr>
        <w:t>17.城镇最低生活保障绩效目标表</w:t>
      </w:r>
      <w:bookmarkEnd w:id="1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17、城镇最低生活保障绩效目标表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13052821OI4A3XZ5IF0GW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城镇最低生活保障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129.00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129.00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用于发放城镇最低生活保障金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落实困难群众救助政策</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保障困难群众基本生活</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城保人数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城保人数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有效提高困难群众生活水平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有效提高困难群众生活水平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政策知晓率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保障群众稳定脱贫</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保障群众稳定脱贫</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保障困难群众基本生活</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保障困难群众基本生活</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19" w:name="_Toc70667895"/>
      <w:r>
        <w:rPr>
          <w:rFonts w:hint="eastAsia" w:ascii="方正仿宋_GBK" w:eastAsia="方正仿宋_GBK"/>
          <w:b/>
          <w:sz w:val="28"/>
        </w:rPr>
        <w:t>18.社会救济（精简退职人员救济费）绩效目标表</w:t>
      </w:r>
      <w:bookmarkEnd w:id="1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18、社会救济（精简退职人员救济费）绩效目标表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13052821QXT8OZNQ5KQA8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社会救济（精简退职人员救济费）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用于发放精简退职人员救济费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落实国家政策</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保障精简退职人员权益</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精简退职人数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精简退职人数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168</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精简退职人员救济政策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精简退职人员保障率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精简退职人员保障率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精简退职人员救济政策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精简退职人员救济政策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每月</w:t>
            </w:r>
            <w:r>
              <w:rPr>
                <w:rFonts w:ascii="方正书宋_GBK" w:eastAsia="方正书宋_GBK"/>
              </w:rPr>
              <w:t>20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精简退职人员救济政策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有效提高精简退职人员生活水平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有效提高精简退职人员生活水平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精简退职人员救济政策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有效保障精简退职人员权益</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有效保障精简退职人员权益</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精简退职人员救济政策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有效保障社会发展</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有效保障社会发展</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精简退职人员救济政策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政策知晓率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精简退职人员救济政策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精简退职人员满意度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精简退职人员满意程度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精简退职人员救济政策</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20" w:name="_Toc70667896"/>
      <w:r>
        <w:rPr>
          <w:rFonts w:hint="eastAsia" w:ascii="方正仿宋_GBK" w:eastAsia="方正仿宋_GBK"/>
          <w:b/>
          <w:sz w:val="28"/>
        </w:rPr>
        <w:t>19.康乐老年公寓主体建设资金绩效目标表</w:t>
      </w:r>
      <w:bookmarkEnd w:id="2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19、康乐老年公寓主体建设资金绩效目标表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13052821SSFXCPC34WQSV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康乐老年公寓主体建设资金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用于康乐老年公寓主体建设支出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保障康乐老年公寓项目顺利建设</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有效促进我县养老事业发展</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建筑面积</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康乐老年公寓建筑面积</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21250</w:t>
            </w:r>
            <w:r>
              <w:rPr>
                <w:rFonts w:hint="eastAsia" w:ascii="方正书宋_GBK" w:eastAsia="方正书宋_GBK"/>
              </w:rPr>
              <w:t>平方米</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工程质量是否达标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工程质量是否达标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达标</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建设期限</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建设期限</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24</w:t>
            </w:r>
            <w:r>
              <w:rPr>
                <w:rFonts w:hint="eastAsia" w:ascii="方正书宋_GBK" w:eastAsia="方正书宋_GBK"/>
              </w:rPr>
              <w:t>个月</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建设成本</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建设成本</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不超预算</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建成后可容纳床位数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建成后可容纳床位数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500</w:t>
            </w:r>
            <w:r>
              <w:rPr>
                <w:rFonts w:hint="eastAsia" w:ascii="方正书宋_GBK" w:eastAsia="方正书宋_GBK"/>
              </w:rPr>
              <w:t>张</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有效保进我县养老事业发展</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有效保进我县养老事业发展</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有效促进</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有力解决社会养老问题</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有力解决社会养老问题</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有力解决</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有力提高养老服务水平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有力提高养老服务水平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有力提高</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社会公众满意程度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社会公众满意程度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21" w:name="_Toc70667897"/>
      <w:r>
        <w:rPr>
          <w:rFonts w:hint="eastAsia" w:ascii="方正仿宋_GBK" w:eastAsia="方正仿宋_GBK"/>
          <w:b/>
          <w:sz w:val="28"/>
        </w:rPr>
        <w:t>20.民政综合事务绩效目标表</w:t>
      </w:r>
      <w:bookmarkEnd w:id="2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20、民政综合事务绩效目标表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13052821TXKB15O86VO2A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民政综合事务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用于民政工作支出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保障民政工作顺利开展</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促进我县民政事业发展</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费用及时支付率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费用及时支付率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民政工作完成率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民政工作完成率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民政工作完成及时率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民政工作完成及时率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按照预算执行</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按照预算执行</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按照预算执行</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保障民政工作正常运转</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保障民政工作正常运转</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利于社会稳定发展</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利于社会稳定发展</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有利</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保障社会发展</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保障社会发展</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提升民政工作水平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提升民政工作水平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有利提升</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年度工作计划</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22" w:name="_Toc70667898"/>
      <w:r>
        <w:rPr>
          <w:rFonts w:hint="eastAsia" w:ascii="方正仿宋_GBK" w:eastAsia="方正仿宋_GBK"/>
          <w:b/>
          <w:sz w:val="28"/>
        </w:rPr>
        <w:t>21.中央财政困难群众救助补助（冀财社[2020]187号）绩效目标表</w:t>
      </w:r>
      <w:bookmarkEnd w:id="2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21、中央财政困难群众救助补助（冀财社[2020]187号）绩效目标表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13052821U69LT21DNC8EE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中央财政困难群众救助补助（冀财社</w:t>
            </w:r>
            <w:r>
              <w:rPr>
                <w:rFonts w:ascii="方正书宋_GBK" w:eastAsia="方正书宋_GBK"/>
              </w:rPr>
              <w:t>[2020]187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5387.00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5387.00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用于发放城乡低保、城乡特困供养人员救助金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落实困难群众救助政策</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保障困难群众基本生活</w:t>
            </w:r>
          </w:p>
          <w:p>
            <w:pPr>
              <w:spacing w:line="300" w:lineRule="exact"/>
              <w:rPr>
                <w:rFonts w:ascii="方正书宋_GBK" w:eastAsia="方正书宋_GBK"/>
              </w:rPr>
            </w:pPr>
            <w:r>
              <w:rPr>
                <w:rFonts w:ascii="方正书宋_GBK" w:eastAsia="方正书宋_GBK"/>
              </w:rPr>
              <w:t>3.</w:t>
            </w:r>
            <w:r>
              <w:rPr>
                <w:rFonts w:hint="eastAsia" w:ascii="方正书宋_GBK" w:eastAsia="方正书宋_GBK"/>
              </w:rPr>
              <w:t>保障孤残儿童基本生活</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城乡低保人数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城乡低保人数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&gt;22821</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城乡低保保障率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城乡低保保障率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应保尽保</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孤儿生活补助发放标准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孤儿生活补助发放标准</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困难群众生活条件有所改善</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困难群众生活条件有所改善</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有所改善</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有效保障困难群众基本生活</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有效保障困难群众基本生活</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困难群众生活水平情况</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困难群众生活水平情况</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有所提升</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困难群众救助保障制度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困难群众救助保障制度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进一步完善</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困难群众满意度</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&gt;95%</w:t>
            </w:r>
          </w:p>
        </w:tc>
        <w:tc>
          <w:tcPr>
            <w:tcW w:w="1701" w:type="dxa"/>
            <w:shd w:val="clear" w:color="auto" w:fill="auto"/>
            <w:vAlign w:val="center"/>
          </w:tcPr>
          <w:p>
            <w:pPr>
              <w:spacing w:line="300" w:lineRule="exact"/>
              <w:rPr>
                <w:rFonts w:ascii="方正书宋_GBK" w:eastAsia="方正书宋_GBK"/>
              </w:rPr>
            </w:pP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23" w:name="_Toc70667899"/>
      <w:r>
        <w:rPr>
          <w:rFonts w:hint="eastAsia" w:ascii="方正仿宋_GBK" w:eastAsia="方正仿宋_GBK"/>
          <w:b/>
          <w:sz w:val="28"/>
        </w:rPr>
        <w:t>22.农村最低生活保障绩效目标表</w:t>
      </w:r>
      <w:bookmarkEnd w:id="2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22、农村最低生活保障绩效目标表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13052821V9IRHQGM3DSFU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农村最低生活保障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571.00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571.00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用于发放农村最低生活保障金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落实困难群众救助政策</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保障困难群众基本生活</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农村最低生活保障人数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农村最低生活保障人数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农村最低生活保障率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农村最低生活保障率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有效提高困难群众生活水平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有效提高困难群众生活水平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群众政策知晓度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群众政策知晓度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有效保障困难群众基本生活</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有效保障困难群众基本生活</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发挥兜底保障群众稳定脱贫</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发挥兜底政策保障群众稳定脱贫</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困难群众救助政策</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24" w:name="_Toc70667900"/>
      <w:r>
        <w:rPr>
          <w:rFonts w:hint="eastAsia" w:ascii="方正仿宋_GBK" w:eastAsia="方正仿宋_GBK"/>
          <w:b/>
          <w:sz w:val="28"/>
        </w:rPr>
        <w:t>23.殡葬补助绩效目标表</w:t>
      </w:r>
      <w:bookmarkEnd w:id="2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23、殡葬补助绩效目标表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13052821VLNUZE2GUO6UY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殡葬补助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26.00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用于发放火化家属殡葬补助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保障殡葬工作顺利开展</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提高我县火化率</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发放殡葬补助人数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发放殡葬补助人数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按实际火化数量补助</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宁晋县殡改政策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资金保障率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资金保障率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宁晋县殡改政策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补助时效</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补助时效</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及时补助</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宁晋县殡改政策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预算控制数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26</w:t>
            </w:r>
            <w:r>
              <w:rPr>
                <w:rFonts w:hint="eastAsia" w:ascii="方正书宋_GBK" w:eastAsia="方正书宋_GBK"/>
              </w:rPr>
              <w:t>万元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宁晋县殡改政策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有效降低群众丧葬成本</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有效降低群众丧葬成本</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有效降低</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宁晋县殡改政策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火化率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火化率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宁晋县殡改政策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减少占地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减少占地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明显减少</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宁晋县殡改政策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有效保障殡葬事业发展</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有效保障殡葬事业发展</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宁晋县殡改政策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服务对象满意程度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宁晋县殡改政策</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25" w:name="_Toc70667901"/>
      <w:r>
        <w:rPr>
          <w:rFonts w:hint="eastAsia" w:ascii="方正仿宋_GBK" w:eastAsia="方正仿宋_GBK"/>
          <w:b/>
          <w:sz w:val="28"/>
        </w:rPr>
        <w:t>24.福彩公益活动绩效目标表</w:t>
      </w:r>
      <w:bookmarkEnd w:id="2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24、福彩公益活动绩效目标表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13052821VM4Z7163O0EAL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福彩公益活动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用于福彩公益活动支出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落实福彩宗旨</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保障贫困学生顺利完成学业</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福彩助学活动次数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福彩助学活动次数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福彩公益活动方案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对符合条件人员资助率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对符合条件人员资助率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福彩公益活动方案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资金发放及时率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资金发放及时率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福彩公益活动方案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预算控制数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w:t>
            </w:r>
            <w:r>
              <w:rPr>
                <w:rFonts w:hint="eastAsia" w:ascii="方正书宋_GBK" w:eastAsia="方正书宋_GBK"/>
              </w:rPr>
              <w:t>万元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福彩公益活动方案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改善贫困学生的生活境况</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改善贫困学生的生活境况</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明显改善</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福彩公益活动方案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发扬福彩公益金的宗旨</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发扬福彩公益金的宗旨</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有力发扬</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福彩公益活动方案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改善学生生活水平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改善学生生活水平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明显改善</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福彩公益活动方案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保障贫困学生顺利完成学业</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保障贫困学生顺利完成学业</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福彩公益活动方案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救助对象满意度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救助对象满意度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福彩公益活动方案</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26" w:name="_Toc70667902"/>
      <w:r>
        <w:rPr>
          <w:rFonts w:hint="eastAsia" w:ascii="方正仿宋_GBK" w:eastAsia="方正仿宋_GBK"/>
          <w:b/>
          <w:sz w:val="28"/>
        </w:rPr>
        <w:t>25.财政代扣合同制工人统筹外项目绩效目标表</w:t>
      </w:r>
      <w:bookmarkEnd w:id="2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25、财政代扣合同制工人统筹外项目绩效目标表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13052821XPGKIGGQ103PD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财政代扣合同制工人统筹外项目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8.47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8.47</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用于发放财政代扣合同制工人取暖费、精神文明奖、平安建设奖、目标绩效奖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落实退休工人待遇</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保障退休工人合法权益</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退休工人人数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退休工人人数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6</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保障率</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按时发放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按规定标准发放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提高退休人员的生活水平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提高退休人员的生活水平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保障退休人员的基本生活</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保障退休人员的基本生活</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改善退休人员的生活水平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改善退休人员的生活水平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有效改善</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促进社会发展</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促进社会发展</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有效促进</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退休人员满意度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工资待遇政策</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27" w:name="_Toc70667903"/>
      <w:r>
        <w:rPr>
          <w:rFonts w:hint="eastAsia" w:ascii="方正仿宋_GBK" w:eastAsia="方正仿宋_GBK"/>
          <w:b/>
          <w:sz w:val="28"/>
        </w:rPr>
        <w:t>26.2020年精神文明奖及平安建设奖绩效目标表</w:t>
      </w:r>
      <w:bookmarkEnd w:id="2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26、2020年精神文明奖及平安建设奖绩效目标表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13052821Y19UHFGKUTZ6N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ascii="方正书宋_GBK" w:eastAsia="方正书宋_GBK"/>
              </w:rPr>
              <w:t>2020</w:t>
            </w:r>
            <w:r>
              <w:rPr>
                <w:rFonts w:hint="eastAsia" w:ascii="方正书宋_GBK" w:eastAsia="方正书宋_GBK"/>
              </w:rPr>
              <w:t>年精神文明奖及平安建设奖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43.00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43.00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用于发放职工</w:t>
            </w:r>
            <w:r>
              <w:rPr>
                <w:rFonts w:ascii="方正书宋_GBK" w:eastAsia="方正书宋_GBK"/>
              </w:rPr>
              <w:t>2020</w:t>
            </w:r>
            <w:r>
              <w:rPr>
                <w:rFonts w:hint="eastAsia" w:ascii="方正书宋_GBK" w:eastAsia="方正书宋_GBK"/>
              </w:rPr>
              <w:t>年度精神文明奖及平安建设奖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落实工资待遇</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保障职工合法权益</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享受人数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享受人数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54</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保障率</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资金发放及时率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资金发放及时率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发放标准</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精神文明奖</w:t>
            </w:r>
            <w:r>
              <w:rPr>
                <w:rFonts w:ascii="方正书宋_GBK" w:eastAsia="方正书宋_GBK"/>
              </w:rPr>
              <w:t>8000</w:t>
            </w:r>
            <w:r>
              <w:rPr>
                <w:rFonts w:hint="eastAsia" w:ascii="方正书宋_GBK" w:eastAsia="方正书宋_GBK"/>
              </w:rPr>
              <w:t>元，平安建设奖</w:t>
            </w:r>
            <w:r>
              <w:rPr>
                <w:rFonts w:ascii="方正书宋_GBK" w:eastAsia="方正书宋_GBK"/>
              </w:rPr>
              <w:t>1000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保障职工工资水平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保障职工工资水平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保障职工合法权益</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保障职工合法权益</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精神文明及平安建设达标率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全县精神文明及平安建设再上新台阶</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达标</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提高职工工作积极性</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提高职工工作积极性</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明显提高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职工满意度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职工满意度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工资待遇文件</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28" w:name="_Toc70667904"/>
      <w:r>
        <w:rPr>
          <w:rFonts w:hint="eastAsia" w:ascii="方正仿宋_GBK" w:eastAsia="方正仿宋_GBK"/>
          <w:b/>
          <w:sz w:val="28"/>
        </w:rPr>
        <w:t>27.困难群众基本生活救助（冀财社[2020]210号）绩效目标表</w:t>
      </w:r>
      <w:bookmarkEnd w:id="2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27、困难群众基本生活救助（冀财社[2020]210号）绩效目标表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314001</w:t>
            </w:r>
            <w:r>
              <w:rPr>
                <w:rFonts w:hint="eastAsia" w:ascii="方正书宋_GBK" w:eastAsia="方正书宋_GBK"/>
                <w:b/>
              </w:rPr>
              <w:t>宁晋县民政局本级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13052821YXD31HUS2540C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困难群众基本生活救助（冀财社</w:t>
            </w:r>
            <w:r>
              <w:rPr>
                <w:rFonts w:ascii="方正书宋_GBK" w:eastAsia="方正书宋_GBK"/>
              </w:rPr>
              <w:t>[2020]210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2263.00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2263.00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用于农村特困供养、临时救助、孤儿补助、残疾人两项补贴、流浪乞讨救助支出。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落实困难群众救助政策</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保障困难群众基本生活</w:t>
            </w:r>
          </w:p>
          <w:p>
            <w:pPr>
              <w:spacing w:line="300" w:lineRule="exact"/>
              <w:rPr>
                <w:rFonts w:ascii="方正书宋_GBK" w:eastAsia="方正书宋_GBK"/>
              </w:rPr>
            </w:pPr>
            <w:r>
              <w:rPr>
                <w:rFonts w:ascii="方正书宋_GBK" w:eastAsia="方正书宋_GBK"/>
              </w:rPr>
              <w:t>3.</w:t>
            </w:r>
            <w:r>
              <w:rPr>
                <w:rFonts w:hint="eastAsia" w:ascii="方正书宋_GBK" w:eastAsia="方正书宋_GBK"/>
              </w:rPr>
              <w:t>做好这生活无着流浪乞讨人员提供及时救助</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临时救助人次</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临时救助人次</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适度提高</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城乡特困人员救助供养标准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城乡特困人员救助供养标准</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残疾人两项补贴标准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残疾人两项补贴标准</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困难残疾人月</w:t>
            </w:r>
            <w:r>
              <w:rPr>
                <w:rFonts w:ascii="方正书宋_GBK" w:eastAsia="方正书宋_GBK"/>
              </w:rPr>
              <w:t>66</w:t>
            </w:r>
            <w:r>
              <w:rPr>
                <w:rFonts w:hint="eastAsia" w:ascii="方正书宋_GBK" w:eastAsia="方正书宋_GBK"/>
              </w:rPr>
              <w:t>元，重度残疾人月</w:t>
            </w:r>
            <w:r>
              <w:rPr>
                <w:rFonts w:ascii="方正书宋_GBK" w:eastAsia="方正书宋_GBK"/>
              </w:rPr>
              <w:t>60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困难群众生活水平情况</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困难群众生活水平情况</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有所提升</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帮助查明原因浪乞讨返乡情况</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帮助查明身份滞留流浪乞讨人员返乡情况</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及时送返</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提升困难群众幸福指数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提升困难群众幸福指数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有效提升</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困难群众基本生活救助保障制度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困难群众基本生活救助和孤儿基本生活保障制度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进一步完善</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政策知晓率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救助对象满意度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救助对象满意度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vAlign w:val="center"/>
          </w:tcPr>
          <w:p>
            <w:pPr>
              <w:spacing w:line="300" w:lineRule="exact"/>
              <w:rPr>
                <w:rFonts w:ascii="方正书宋_GBK" w:eastAsia="方正书宋_GBK"/>
              </w:rPr>
            </w:pP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29" w:name="_Toc70667905"/>
      <w:r>
        <w:rPr>
          <w:rFonts w:hint="eastAsia" w:ascii="方正仿宋_GBK" w:eastAsia="方正仿宋_GBK"/>
          <w:b/>
          <w:sz w:val="28"/>
        </w:rPr>
        <w:t>28.民政事业服务中心经费绩效目标表</w:t>
      </w:r>
      <w:bookmarkEnd w:id="2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28、民政事业服务中心经费绩效目标表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314003</w:t>
            </w:r>
            <w:r>
              <w:rPr>
                <w:rFonts w:hint="eastAsia" w:ascii="方正书宋_GBK" w:eastAsia="方正书宋_GBK"/>
                <w:b/>
              </w:rPr>
              <w:t>宁晋县民政事业服务中心</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13052821K6MUSNSR1UFVV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民政事业服务中心经费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用于民政事业服务中心日常工作经费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保障民政事业服务中心工作正常运转</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促进民政事业服务工作民展，为院民提供更好的服务</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护理人员培训次数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护理人员培训次数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民政中心工作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民政中心工作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工作完成及时率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工作完成及时率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民政中心工作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bookmarkStart w:id="33" w:name="_GoBack"/>
            <w:bookmarkEnd w:id="33"/>
            <w:r>
              <w:rPr>
                <w:rFonts w:hint="eastAsia" w:ascii="方正书宋_GBK" w:eastAsia="方正书宋_GBK"/>
                <w:lang w:eastAsia="zh-CN"/>
              </w:rPr>
              <w:t>安排</w:t>
            </w:r>
            <w:r>
              <w:rPr>
                <w:rFonts w:hint="eastAsia" w:ascii="方正书宋_GBK" w:eastAsia="方正书宋_GBK"/>
              </w:rPr>
              <w:t>预算资金</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lang w:eastAsia="zh-CN"/>
              </w:rPr>
              <w:t>安排</w:t>
            </w:r>
            <w:r>
              <w:rPr>
                <w:rFonts w:hint="eastAsia" w:ascii="方正书宋_GBK" w:eastAsia="方正书宋_GBK"/>
              </w:rPr>
              <w:t>预算资金</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120</w:t>
            </w:r>
            <w:r>
              <w:rPr>
                <w:rFonts w:hint="eastAsia" w:ascii="方正书宋_GBK" w:eastAsia="方正书宋_GBK"/>
              </w:rPr>
              <w:t>万元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民政中心工作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改善院民生活质量</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改善院民生活质量</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明显改善</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民政中心工作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保障养老服务机构正常运转</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保障养老服务机构正常运转</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民政中心工作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改善院民生活环境</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改善院民生活环境</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明显改善</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民政中心工作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提高养老服务水平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提高养老服务水平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明显提高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民政中心工作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入院院民满意度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入院院民满意度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民政中心工作</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30" w:name="_Toc70667906"/>
      <w:r>
        <w:rPr>
          <w:rFonts w:hint="eastAsia" w:ascii="方正仿宋_GBK" w:eastAsia="方正仿宋_GBK"/>
          <w:b/>
          <w:sz w:val="28"/>
        </w:rPr>
        <w:t>29.民政事业服务中心人员工资、保险绩效目标表</w:t>
      </w:r>
      <w:bookmarkEnd w:id="3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29、民政事业服务中心人员工资、保险绩效目标表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314003</w:t>
            </w:r>
            <w:r>
              <w:rPr>
                <w:rFonts w:hint="eastAsia" w:ascii="方正书宋_GBK" w:eastAsia="方正书宋_GBK"/>
                <w:b/>
              </w:rPr>
              <w:t>宁晋县民政事业服务中心</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13052821VLMNT5ZUF7QBT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民政事业服务中心人员工资、保险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11.73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11.73</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用于民政中心自收自支职工工资、社会保险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落实职工工资待遇</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保障职工工资权益</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自收自支职工人数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自收自支职工人数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资金到位率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资金到位率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工资标准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工资标准</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按人社局调资方案比例</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保障职工工资水平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保障职工工资水平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保障职工稳定工资收入</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保障职工稳定工资收入</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保障社会发展</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保障社会发展</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提高工作积极性</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提高职工工作积极性</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明显提高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职工满意度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职工满意度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31" w:name="_Toc70667907"/>
      <w:r>
        <w:rPr>
          <w:rFonts w:hint="eastAsia" w:ascii="方正仿宋_GBK" w:eastAsia="方正仿宋_GBK"/>
          <w:b/>
          <w:sz w:val="28"/>
        </w:rPr>
        <w:t>30.殡管所自收自支人员工资、社会保险绩效目标表</w:t>
      </w:r>
      <w:bookmarkEnd w:id="3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30、殡管所自收自支人员工资、社会保险绩效目标表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314005</w:t>
            </w:r>
            <w:r>
              <w:rPr>
                <w:rFonts w:hint="eastAsia" w:ascii="方正书宋_GBK" w:eastAsia="方正书宋_GBK"/>
                <w:b/>
              </w:rPr>
              <w:t>宁晋县殡葬管理所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13052821825TU1GSHE3C7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殡管所自收自支人员工资、社会保险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82.5521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82.5521</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用于发放自收自支职工工资、缴纳社会保险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落实职工工资待遇</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保障职工工资权益</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自收自支职工人数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自收自支职工人数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11</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资金到位率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资金到位率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发放时效</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按月发放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预算控制数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50.15</w:t>
            </w:r>
            <w:r>
              <w:rPr>
                <w:rFonts w:hint="eastAsia" w:ascii="方正书宋_GBK" w:eastAsia="方正书宋_GBK"/>
              </w:rPr>
              <w:t>万元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提高职工生活</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提高职工生活</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保障职工稳定工资收入</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保障职工稳定工资收入</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改善职工生活水平</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改善职工生活水平</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明显改善</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保障职工工资权益</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保障职工工资权益</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职工满意度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职工满意度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绩效自评</w:t>
            </w:r>
          </w:p>
        </w:tc>
      </w:tr>
    </w:tbl>
    <w:p>
      <w:pPr>
        <w:spacing w:line="300" w:lineRule="exact"/>
        <w:sectPr>
          <w:pgSz w:w="16839" w:h="11907" w:orient="landscape"/>
          <w:pgMar w:top="1304" w:right="1134" w:bottom="1304" w:left="1984" w:header="851" w:footer="992" w:gutter="0"/>
          <w:cols w:space="425" w:num="1"/>
          <w:docGrid w:type="lines" w:linePitch="312" w:charSpace="0"/>
        </w:sectPr>
      </w:pPr>
    </w:p>
    <w:p>
      <w:pPr>
        <w:spacing w:line="300" w:lineRule="exact"/>
      </w:pPr>
    </w:p>
    <w:p>
      <w:pPr>
        <w:ind w:firstLine="562" w:firstLineChars="200"/>
        <w:outlineLvl w:val="3"/>
        <w:rPr>
          <w:rFonts w:hAnsi="宋体"/>
          <w:b/>
          <w:sz w:val="28"/>
        </w:rPr>
      </w:pPr>
      <w:bookmarkStart w:id="32" w:name="_Toc70667908"/>
      <w:r>
        <w:rPr>
          <w:rFonts w:hint="eastAsia" w:ascii="方正仿宋_GBK" w:eastAsia="方正仿宋_GBK"/>
          <w:b/>
          <w:sz w:val="28"/>
        </w:rPr>
        <w:t>31.殡葬管理所经费绩效目标表</w:t>
      </w:r>
      <w:bookmarkEnd w:id="3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31、殡葬管理所经费绩效目标表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314005</w:t>
            </w:r>
            <w:r>
              <w:rPr>
                <w:rFonts w:hint="eastAsia" w:ascii="方正书宋_GBK" w:eastAsia="方正书宋_GBK"/>
                <w:b/>
              </w:rPr>
              <w:t>宁晋县殡葬管理所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13052821Q5BZBFFCGEK49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殡葬管理所经费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154.2679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154.2679</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用于殡管所日常工作支出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保障殡葬工作顺利开展</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提高我县火化率</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殡葬工作完成率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殡葬工作完成率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殡葬工作方案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火化率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火化率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殡葬工作方案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完成工作及时率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完成工作及时率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殡葬工作方案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预算控制数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180</w:t>
            </w:r>
            <w:r>
              <w:rPr>
                <w:rFonts w:hint="eastAsia" w:ascii="方正书宋_GBK" w:eastAsia="方正书宋_GBK"/>
              </w:rPr>
              <w:t>万元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殡葬工作方案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降低群众丧葬成本</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降低群众丧葬成本</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明显降低</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殡葬工作方案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提高我县火化率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提高我县火化率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明显提高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殡葬工作方案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加强节约用地，促进生态文明建设</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加强节约用地，促进生态文明建设</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有效促进</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殡葬工作方案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保障我县火化率不断提高</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保障我县火化率不断提高</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有力保障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殡葬工作方案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殡葬工作方案</w:t>
            </w:r>
          </w:p>
        </w:tc>
      </w:tr>
    </w:tbl>
    <w:p>
      <w:pPr>
        <w:spacing w:line="300" w:lineRule="exact"/>
        <w:sectPr>
          <w:pgSz w:w="16839" w:h="11907" w:orient="landscape"/>
          <w:pgMar w:top="1304" w:right="1134" w:bottom="1304" w:left="1984" w:header="851" w:footer="992" w:gutter="0"/>
          <w:cols w:space="425" w:num="1"/>
          <w:docGrid w:type="lines" w:linePitch="312" w:charSpace="0"/>
        </w:sectPr>
      </w:pPr>
    </w:p>
    <w:p/>
    <w:p>
      <w:pPr>
        <w:spacing w:line="560" w:lineRule="exact"/>
        <w:ind w:firstLine="628" w:firstLineChars="196"/>
        <w:rPr>
          <w:rFonts w:cs="FZFSK--GBK1-0" w:asciiTheme="minorEastAsia" w:hAnsiTheme="minorEastAsia"/>
          <w:b/>
          <w:sz w:val="32"/>
          <w:szCs w:val="32"/>
        </w:rPr>
      </w:pPr>
      <w:r>
        <w:rPr>
          <w:rFonts w:hint="eastAsia" w:cs="FZFSK--GBK1-0" w:asciiTheme="minorEastAsia" w:hAnsiTheme="minorEastAsia"/>
          <w:b/>
          <w:sz w:val="32"/>
          <w:szCs w:val="32"/>
        </w:rPr>
        <w:t>六、政府采购预算情况</w:t>
      </w:r>
    </w:p>
    <w:p>
      <w:pPr>
        <w:spacing w:line="560" w:lineRule="exact"/>
        <w:ind w:firstLine="628" w:firstLineChars="196"/>
        <w:rPr>
          <w:rFonts w:cs="FZFSK--GBK1-0" w:asciiTheme="minorEastAsia" w:hAnsiTheme="minorEastAsia"/>
          <w:b/>
          <w:sz w:val="32"/>
          <w:szCs w:val="32"/>
        </w:rPr>
      </w:pPr>
      <w:r>
        <w:rPr>
          <w:rFonts w:hint="eastAsia" w:cs="FZFSK--GBK1-0" w:asciiTheme="minorEastAsia" w:hAnsiTheme="minorEastAsia"/>
          <w:b/>
          <w:sz w:val="32"/>
          <w:szCs w:val="32"/>
        </w:rPr>
        <w:t>2021年我单位无政府采购项目</w:t>
      </w:r>
    </w:p>
    <w:p>
      <w:pPr>
        <w:spacing w:line="560" w:lineRule="exact"/>
        <w:ind w:firstLine="628" w:firstLineChars="196"/>
        <w:rPr>
          <w:rFonts w:cs="FZFSK--GBK1-0" w:asciiTheme="minorEastAsia" w:hAnsiTheme="minorEastAsia"/>
          <w:b/>
          <w:sz w:val="32"/>
          <w:szCs w:val="32"/>
        </w:rPr>
      </w:pPr>
      <w:r>
        <w:rPr>
          <w:rFonts w:hint="eastAsia" w:cs="FZFSK--GBK1-0" w:asciiTheme="minorEastAsia" w:hAnsiTheme="minorEastAsia"/>
          <w:b/>
          <w:sz w:val="32"/>
          <w:szCs w:val="32"/>
        </w:rPr>
        <w:t>七、 国有资产信息</w:t>
      </w:r>
    </w:p>
    <w:p>
      <w:pPr>
        <w:spacing w:line="560" w:lineRule="exact"/>
        <w:rPr>
          <w:rFonts w:cs="FZFSK--GBK1-0" w:asciiTheme="minorEastAsia" w:hAnsiTheme="minorEastAsia"/>
          <w:b/>
          <w:sz w:val="32"/>
          <w:szCs w:val="32"/>
        </w:rPr>
      </w:pPr>
      <w:r>
        <w:rPr>
          <w:rFonts w:hint="eastAsia" w:ascii="宋体" w:hAnsi="宋体" w:cs="宋体"/>
          <w:color w:val="000000"/>
          <w:sz w:val="32"/>
          <w:szCs w:val="32"/>
        </w:rPr>
        <w:t>我单位2020年末固定资产金额为</w:t>
      </w:r>
      <w:r>
        <w:rPr>
          <w:rFonts w:hint="eastAsia" w:ascii="仿宋_GB2312"/>
          <w:color w:val="000000"/>
          <w:sz w:val="32"/>
          <w:szCs w:val="32"/>
        </w:rPr>
        <w:t>186.48万元，详见下表。</w:t>
      </w:r>
    </w:p>
    <w:tbl>
      <w:tblPr>
        <w:tblStyle w:val="8"/>
        <w:tblW w:w="8216" w:type="dxa"/>
        <w:tblInd w:w="93" w:type="dxa"/>
        <w:tblLayout w:type="fixed"/>
        <w:tblCellMar>
          <w:top w:w="0" w:type="dxa"/>
          <w:left w:w="108" w:type="dxa"/>
          <w:bottom w:w="0" w:type="dxa"/>
          <w:right w:w="108" w:type="dxa"/>
        </w:tblCellMar>
      </w:tblPr>
      <w:tblGrid>
        <w:gridCol w:w="3054"/>
        <w:gridCol w:w="2108"/>
        <w:gridCol w:w="3054"/>
      </w:tblGrid>
      <w:tr>
        <w:tblPrEx>
          <w:tblLayout w:type="fixed"/>
          <w:tblCellMar>
            <w:top w:w="0" w:type="dxa"/>
            <w:left w:w="108" w:type="dxa"/>
            <w:bottom w:w="0" w:type="dxa"/>
            <w:right w:w="108" w:type="dxa"/>
          </w:tblCellMar>
        </w:tblPrEx>
        <w:trPr>
          <w:trHeight w:val="708" w:hRule="atLeast"/>
        </w:trPr>
        <w:tc>
          <w:tcPr>
            <w:tcW w:w="305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ascii="宋体" w:hAnsi="宋体" w:cs="宋体"/>
                <w:b/>
                <w:bCs/>
                <w:sz w:val="20"/>
                <w:szCs w:val="20"/>
              </w:rPr>
            </w:pPr>
            <w:r>
              <w:rPr>
                <w:rFonts w:hint="eastAsia" w:ascii="宋体" w:hAnsi="宋体" w:cs="宋体"/>
                <w:b/>
                <w:bCs/>
                <w:sz w:val="20"/>
                <w:szCs w:val="20"/>
              </w:rPr>
              <w:t>项目</w:t>
            </w:r>
          </w:p>
        </w:tc>
        <w:tc>
          <w:tcPr>
            <w:tcW w:w="2108" w:type="dxa"/>
            <w:tcBorders>
              <w:top w:val="single" w:color="auto" w:sz="4" w:space="0"/>
              <w:left w:val="nil"/>
              <w:bottom w:val="single" w:color="auto" w:sz="4" w:space="0"/>
              <w:right w:val="single" w:color="auto" w:sz="4" w:space="0"/>
            </w:tcBorders>
            <w:shd w:val="clear" w:color="auto" w:fill="auto"/>
            <w:vAlign w:val="center"/>
          </w:tcPr>
          <w:p>
            <w:pPr>
              <w:jc w:val="center"/>
              <w:rPr>
                <w:rFonts w:ascii="宋体" w:hAnsi="宋体" w:cs="宋体"/>
                <w:b/>
                <w:bCs/>
                <w:sz w:val="20"/>
                <w:szCs w:val="20"/>
              </w:rPr>
            </w:pPr>
            <w:r>
              <w:rPr>
                <w:rFonts w:hint="eastAsia" w:ascii="宋体" w:hAnsi="宋体" w:cs="宋体"/>
                <w:b/>
                <w:bCs/>
                <w:sz w:val="20"/>
                <w:szCs w:val="20"/>
              </w:rPr>
              <w:t>数量</w:t>
            </w:r>
          </w:p>
        </w:tc>
        <w:tc>
          <w:tcPr>
            <w:tcW w:w="3054" w:type="dxa"/>
            <w:tcBorders>
              <w:top w:val="single" w:color="auto" w:sz="4" w:space="0"/>
              <w:left w:val="nil"/>
              <w:bottom w:val="single" w:color="auto" w:sz="4" w:space="0"/>
              <w:right w:val="single" w:color="auto" w:sz="4" w:space="0"/>
            </w:tcBorders>
            <w:shd w:val="clear" w:color="auto" w:fill="auto"/>
            <w:vAlign w:val="center"/>
          </w:tcPr>
          <w:p>
            <w:pPr>
              <w:jc w:val="center"/>
              <w:rPr>
                <w:rFonts w:ascii="宋体" w:hAnsi="宋体" w:cs="宋体"/>
                <w:b/>
                <w:bCs/>
                <w:sz w:val="20"/>
                <w:szCs w:val="20"/>
              </w:rPr>
            </w:pPr>
            <w:r>
              <w:rPr>
                <w:rFonts w:hint="eastAsia" w:ascii="宋体" w:hAnsi="宋体" w:cs="宋体"/>
                <w:b/>
                <w:bCs/>
                <w:sz w:val="20"/>
                <w:szCs w:val="20"/>
              </w:rPr>
              <w:t>价值（金额单位：万元）</w:t>
            </w:r>
          </w:p>
        </w:tc>
      </w:tr>
      <w:tr>
        <w:tblPrEx>
          <w:tblLayout w:type="fixed"/>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jc w:val="center"/>
              <w:rPr>
                <w:rFonts w:ascii="宋体" w:hAnsi="宋体" w:cs="宋体"/>
                <w:b/>
                <w:bCs/>
                <w:sz w:val="20"/>
                <w:szCs w:val="20"/>
              </w:rPr>
            </w:pPr>
            <w:r>
              <w:rPr>
                <w:rFonts w:hint="eastAsia" w:ascii="宋体" w:hAnsi="宋体" w:cs="宋体"/>
                <w:b/>
                <w:bCs/>
                <w:sz w:val="20"/>
                <w:szCs w:val="20"/>
              </w:rPr>
              <w:t>固定资产总额</w:t>
            </w:r>
          </w:p>
        </w:tc>
        <w:tc>
          <w:tcPr>
            <w:tcW w:w="2108" w:type="dxa"/>
            <w:tcBorders>
              <w:top w:val="nil"/>
              <w:left w:val="nil"/>
              <w:bottom w:val="single" w:color="auto" w:sz="4" w:space="0"/>
              <w:right w:val="single" w:color="auto" w:sz="4" w:space="0"/>
            </w:tcBorders>
            <w:shd w:val="clear" w:color="auto" w:fill="auto"/>
            <w:vAlign w:val="center"/>
          </w:tcPr>
          <w:p>
            <w:pPr>
              <w:jc w:val="center"/>
              <w:rPr>
                <w:rFonts w:ascii="宋体" w:hAnsi="宋体" w:cs="宋体"/>
                <w:b/>
                <w:bCs/>
                <w:sz w:val="20"/>
                <w:szCs w:val="20"/>
              </w:rPr>
            </w:pPr>
            <w:r>
              <w:rPr>
                <w:rFonts w:hint="eastAsia" w:ascii="宋体" w:hAnsi="宋体" w:cs="宋体"/>
                <w:b/>
                <w:bCs/>
                <w:sz w:val="20"/>
                <w:szCs w:val="20"/>
              </w:rPr>
              <w:t>——</w:t>
            </w:r>
          </w:p>
        </w:tc>
        <w:tc>
          <w:tcPr>
            <w:tcW w:w="3054" w:type="dxa"/>
            <w:tcBorders>
              <w:top w:val="nil"/>
              <w:left w:val="nil"/>
              <w:bottom w:val="single" w:color="auto" w:sz="4" w:space="0"/>
              <w:right w:val="single" w:color="auto" w:sz="4" w:space="0"/>
            </w:tcBorders>
            <w:shd w:val="clear" w:color="auto" w:fill="auto"/>
            <w:vAlign w:val="center"/>
          </w:tcPr>
          <w:p>
            <w:pPr>
              <w:jc w:val="right"/>
              <w:rPr>
                <w:rFonts w:ascii="宋体" w:hAnsi="宋体" w:cs="宋体"/>
                <w:b/>
                <w:bCs/>
                <w:sz w:val="20"/>
                <w:szCs w:val="20"/>
              </w:rPr>
            </w:pPr>
            <w:r>
              <w:rPr>
                <w:rFonts w:hint="eastAsia" w:ascii="宋体" w:hAnsi="宋体" w:cs="宋体"/>
                <w:b/>
                <w:bCs/>
                <w:sz w:val="20"/>
                <w:szCs w:val="20"/>
              </w:rPr>
              <w:t>186.48</w:t>
            </w:r>
          </w:p>
        </w:tc>
      </w:tr>
      <w:tr>
        <w:tblPrEx>
          <w:tblLayout w:type="fixed"/>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rPr>
                <w:rFonts w:ascii="宋体" w:hAnsi="宋体" w:cs="宋体"/>
                <w:sz w:val="20"/>
                <w:szCs w:val="20"/>
              </w:rPr>
            </w:pPr>
            <w:r>
              <w:rPr>
                <w:rFonts w:hint="eastAsia" w:ascii="宋体" w:hAnsi="宋体" w:cs="宋体"/>
                <w:sz w:val="20"/>
                <w:szCs w:val="20"/>
              </w:rPr>
              <w:t>1.房屋（平方米）</w:t>
            </w:r>
          </w:p>
        </w:tc>
        <w:tc>
          <w:tcPr>
            <w:tcW w:w="2108" w:type="dxa"/>
            <w:tcBorders>
              <w:top w:val="nil"/>
              <w:left w:val="nil"/>
              <w:bottom w:val="single" w:color="auto" w:sz="4" w:space="0"/>
              <w:right w:val="single" w:color="auto" w:sz="4" w:space="0"/>
            </w:tcBorders>
            <w:shd w:val="clear" w:color="auto" w:fill="auto"/>
            <w:vAlign w:val="center"/>
          </w:tcPr>
          <w:p>
            <w:pPr>
              <w:jc w:val="right"/>
              <w:rPr>
                <w:rFonts w:ascii="宋体" w:hAnsi="宋体" w:cs="宋体"/>
                <w:sz w:val="20"/>
                <w:szCs w:val="20"/>
              </w:rPr>
            </w:pPr>
            <w:r>
              <w:rPr>
                <w:rFonts w:hint="eastAsia" w:ascii="宋体" w:hAnsi="宋体" w:cs="宋体"/>
                <w:sz w:val="20"/>
                <w:szCs w:val="20"/>
              </w:rPr>
              <w:t>1,509.05</w:t>
            </w:r>
          </w:p>
        </w:tc>
        <w:tc>
          <w:tcPr>
            <w:tcW w:w="3054" w:type="dxa"/>
            <w:tcBorders>
              <w:top w:val="nil"/>
              <w:left w:val="nil"/>
              <w:bottom w:val="single" w:color="auto" w:sz="4" w:space="0"/>
              <w:right w:val="single" w:color="auto" w:sz="4" w:space="0"/>
            </w:tcBorders>
            <w:shd w:val="clear" w:color="auto" w:fill="auto"/>
            <w:vAlign w:val="center"/>
          </w:tcPr>
          <w:p>
            <w:pPr>
              <w:jc w:val="right"/>
              <w:rPr>
                <w:rFonts w:ascii="宋体" w:hAnsi="宋体" w:cs="宋体"/>
                <w:sz w:val="20"/>
                <w:szCs w:val="20"/>
              </w:rPr>
            </w:pPr>
            <w:r>
              <w:rPr>
                <w:rFonts w:hint="eastAsia" w:ascii="宋体" w:hAnsi="宋体" w:cs="宋体"/>
                <w:sz w:val="20"/>
                <w:szCs w:val="20"/>
              </w:rPr>
              <w:t>66.74</w:t>
            </w:r>
          </w:p>
        </w:tc>
      </w:tr>
      <w:tr>
        <w:tblPrEx>
          <w:tblLayout w:type="fixed"/>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ind w:firstLine="400" w:firstLineChars="200"/>
              <w:rPr>
                <w:rFonts w:ascii="宋体" w:hAnsi="宋体" w:cs="宋体"/>
                <w:sz w:val="20"/>
                <w:szCs w:val="20"/>
              </w:rPr>
            </w:pPr>
            <w:r>
              <w:rPr>
                <w:rFonts w:hint="eastAsia" w:ascii="宋体" w:hAnsi="宋体" w:cs="宋体"/>
                <w:sz w:val="20"/>
                <w:szCs w:val="20"/>
              </w:rPr>
              <w:t>其中：办公用房</w:t>
            </w:r>
          </w:p>
        </w:tc>
        <w:tc>
          <w:tcPr>
            <w:tcW w:w="2108" w:type="dxa"/>
            <w:tcBorders>
              <w:top w:val="nil"/>
              <w:left w:val="nil"/>
              <w:bottom w:val="single" w:color="auto" w:sz="4" w:space="0"/>
              <w:right w:val="single" w:color="auto" w:sz="4" w:space="0"/>
            </w:tcBorders>
            <w:shd w:val="clear" w:color="auto" w:fill="auto"/>
            <w:vAlign w:val="center"/>
          </w:tcPr>
          <w:p>
            <w:pPr>
              <w:jc w:val="right"/>
              <w:rPr>
                <w:rFonts w:ascii="宋体" w:hAnsi="宋体" w:cs="宋体"/>
                <w:sz w:val="20"/>
                <w:szCs w:val="20"/>
              </w:rPr>
            </w:pPr>
            <w:r>
              <w:rPr>
                <w:rFonts w:hint="eastAsia" w:ascii="宋体" w:hAnsi="宋体" w:cs="宋体"/>
                <w:sz w:val="20"/>
                <w:szCs w:val="20"/>
              </w:rPr>
              <w:t>1,509.05</w:t>
            </w:r>
          </w:p>
        </w:tc>
        <w:tc>
          <w:tcPr>
            <w:tcW w:w="3054" w:type="dxa"/>
            <w:tcBorders>
              <w:top w:val="nil"/>
              <w:left w:val="nil"/>
              <w:bottom w:val="single" w:color="auto" w:sz="4" w:space="0"/>
              <w:right w:val="single" w:color="auto" w:sz="4" w:space="0"/>
            </w:tcBorders>
            <w:shd w:val="clear" w:color="auto" w:fill="auto"/>
            <w:vAlign w:val="bottom"/>
          </w:tcPr>
          <w:p>
            <w:pPr>
              <w:jc w:val="right"/>
              <w:rPr>
                <w:rFonts w:cs="Calibri"/>
                <w:szCs w:val="21"/>
              </w:rPr>
            </w:pPr>
            <w:r>
              <w:rPr>
                <w:rFonts w:cs="Calibri"/>
                <w:szCs w:val="21"/>
              </w:rPr>
              <w:t>66.74</w:t>
            </w:r>
          </w:p>
        </w:tc>
      </w:tr>
      <w:tr>
        <w:tblPrEx>
          <w:tblLayout w:type="fixed"/>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rPr>
                <w:rFonts w:ascii="宋体" w:hAnsi="宋体" w:cs="宋体"/>
                <w:sz w:val="20"/>
                <w:szCs w:val="20"/>
              </w:rPr>
            </w:pPr>
            <w:r>
              <w:rPr>
                <w:rFonts w:hint="eastAsia" w:ascii="宋体" w:hAnsi="宋体" w:cs="宋体"/>
                <w:sz w:val="20"/>
                <w:szCs w:val="20"/>
              </w:rPr>
              <w:t>2.车辆（台、辆）</w:t>
            </w:r>
          </w:p>
        </w:tc>
        <w:tc>
          <w:tcPr>
            <w:tcW w:w="2108" w:type="dxa"/>
            <w:tcBorders>
              <w:top w:val="nil"/>
              <w:left w:val="nil"/>
              <w:bottom w:val="single" w:color="auto" w:sz="4" w:space="0"/>
              <w:right w:val="single" w:color="auto" w:sz="4" w:space="0"/>
            </w:tcBorders>
            <w:shd w:val="clear" w:color="auto" w:fill="auto"/>
            <w:vAlign w:val="center"/>
          </w:tcPr>
          <w:p>
            <w:pPr>
              <w:jc w:val="right"/>
              <w:rPr>
                <w:rFonts w:ascii="宋体" w:hAnsi="宋体" w:cs="宋体"/>
                <w:sz w:val="20"/>
                <w:szCs w:val="20"/>
              </w:rPr>
            </w:pPr>
            <w:r>
              <w:rPr>
                <w:rFonts w:hint="eastAsia" w:ascii="宋体" w:hAnsi="宋体" w:cs="宋体"/>
                <w:sz w:val="20"/>
                <w:szCs w:val="20"/>
              </w:rPr>
              <w:t>1</w:t>
            </w:r>
          </w:p>
        </w:tc>
        <w:tc>
          <w:tcPr>
            <w:tcW w:w="3054" w:type="dxa"/>
            <w:tcBorders>
              <w:top w:val="nil"/>
              <w:left w:val="nil"/>
              <w:bottom w:val="single" w:color="auto" w:sz="4" w:space="0"/>
              <w:right w:val="single" w:color="auto" w:sz="4" w:space="0"/>
            </w:tcBorders>
            <w:shd w:val="clear" w:color="auto" w:fill="auto"/>
            <w:vAlign w:val="center"/>
          </w:tcPr>
          <w:p>
            <w:pPr>
              <w:jc w:val="right"/>
              <w:rPr>
                <w:rFonts w:ascii="宋体" w:hAnsi="宋体" w:cs="宋体"/>
                <w:sz w:val="20"/>
                <w:szCs w:val="20"/>
              </w:rPr>
            </w:pPr>
            <w:r>
              <w:rPr>
                <w:rFonts w:hint="eastAsia" w:ascii="宋体" w:hAnsi="宋体" w:cs="宋体"/>
                <w:sz w:val="20"/>
                <w:szCs w:val="20"/>
              </w:rPr>
              <w:t>22.7</w:t>
            </w:r>
          </w:p>
        </w:tc>
      </w:tr>
      <w:tr>
        <w:tblPrEx>
          <w:tblLayout w:type="fixed"/>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rPr>
                <w:rFonts w:ascii="宋体" w:hAnsi="宋体" w:cs="宋体"/>
                <w:sz w:val="20"/>
                <w:szCs w:val="20"/>
              </w:rPr>
            </w:pPr>
            <w:r>
              <w:rPr>
                <w:rFonts w:hint="eastAsia" w:ascii="宋体" w:hAnsi="宋体" w:cs="宋体"/>
                <w:sz w:val="20"/>
                <w:szCs w:val="20"/>
              </w:rPr>
              <w:t>3.通用设备</w:t>
            </w:r>
          </w:p>
        </w:tc>
        <w:tc>
          <w:tcPr>
            <w:tcW w:w="2108" w:type="dxa"/>
            <w:tcBorders>
              <w:top w:val="nil"/>
              <w:left w:val="nil"/>
              <w:bottom w:val="single" w:color="auto" w:sz="4" w:space="0"/>
              <w:right w:val="single" w:color="auto" w:sz="4" w:space="0"/>
            </w:tcBorders>
            <w:shd w:val="clear" w:color="auto" w:fill="auto"/>
            <w:vAlign w:val="center"/>
          </w:tcPr>
          <w:p>
            <w:pPr>
              <w:jc w:val="right"/>
              <w:rPr>
                <w:rFonts w:ascii="宋体" w:hAnsi="宋体" w:cs="宋体"/>
                <w:sz w:val="20"/>
                <w:szCs w:val="20"/>
              </w:rPr>
            </w:pPr>
            <w:r>
              <w:rPr>
                <w:rFonts w:hint="eastAsia" w:ascii="宋体" w:hAnsi="宋体" w:cs="宋体"/>
                <w:sz w:val="20"/>
                <w:szCs w:val="20"/>
              </w:rPr>
              <w:t>105</w:t>
            </w:r>
          </w:p>
        </w:tc>
        <w:tc>
          <w:tcPr>
            <w:tcW w:w="3054" w:type="dxa"/>
            <w:tcBorders>
              <w:top w:val="nil"/>
              <w:left w:val="nil"/>
              <w:bottom w:val="single" w:color="auto" w:sz="4" w:space="0"/>
              <w:right w:val="single" w:color="auto" w:sz="4" w:space="0"/>
            </w:tcBorders>
            <w:shd w:val="clear" w:color="auto" w:fill="auto"/>
            <w:vAlign w:val="center"/>
          </w:tcPr>
          <w:p>
            <w:pPr>
              <w:jc w:val="right"/>
              <w:rPr>
                <w:rFonts w:ascii="宋体" w:hAnsi="宋体" w:cs="宋体"/>
                <w:sz w:val="20"/>
                <w:szCs w:val="20"/>
              </w:rPr>
            </w:pPr>
            <w:r>
              <w:rPr>
                <w:rFonts w:hint="eastAsia" w:ascii="宋体" w:hAnsi="宋体" w:cs="宋体"/>
                <w:sz w:val="20"/>
                <w:szCs w:val="20"/>
              </w:rPr>
              <w:t>81.82</w:t>
            </w:r>
          </w:p>
        </w:tc>
      </w:tr>
      <w:tr>
        <w:tblPrEx>
          <w:tblLayout w:type="fixed"/>
          <w:tblCellMar>
            <w:top w:w="0" w:type="dxa"/>
            <w:left w:w="108" w:type="dxa"/>
            <w:bottom w:w="0" w:type="dxa"/>
            <w:right w:w="108" w:type="dxa"/>
          </w:tblCellMar>
        </w:tblPrEx>
        <w:trPr>
          <w:trHeight w:val="708" w:hRule="atLeast"/>
        </w:trPr>
        <w:tc>
          <w:tcPr>
            <w:tcW w:w="3054" w:type="dxa"/>
            <w:tcBorders>
              <w:top w:val="nil"/>
              <w:left w:val="single" w:color="auto" w:sz="4" w:space="0"/>
              <w:bottom w:val="single" w:color="auto" w:sz="4" w:space="0"/>
              <w:right w:val="single" w:color="auto" w:sz="4" w:space="0"/>
            </w:tcBorders>
            <w:shd w:val="clear" w:color="auto" w:fill="auto"/>
            <w:vAlign w:val="center"/>
          </w:tcPr>
          <w:p>
            <w:pPr>
              <w:rPr>
                <w:rFonts w:ascii="宋体" w:hAnsi="宋体" w:cs="宋体"/>
                <w:sz w:val="20"/>
                <w:szCs w:val="20"/>
              </w:rPr>
            </w:pPr>
            <w:r>
              <w:rPr>
                <w:rFonts w:hint="eastAsia" w:ascii="宋体" w:hAnsi="宋体" w:cs="宋体"/>
                <w:sz w:val="20"/>
                <w:szCs w:val="20"/>
              </w:rPr>
              <w:t>4.家具用品</w:t>
            </w:r>
          </w:p>
        </w:tc>
        <w:tc>
          <w:tcPr>
            <w:tcW w:w="2108" w:type="dxa"/>
            <w:tcBorders>
              <w:top w:val="nil"/>
              <w:left w:val="nil"/>
              <w:bottom w:val="single" w:color="auto" w:sz="4" w:space="0"/>
              <w:right w:val="single" w:color="auto" w:sz="4" w:space="0"/>
            </w:tcBorders>
            <w:shd w:val="clear" w:color="auto" w:fill="auto"/>
            <w:vAlign w:val="center"/>
          </w:tcPr>
          <w:p>
            <w:pPr>
              <w:jc w:val="center"/>
              <w:rPr>
                <w:rFonts w:ascii="宋体" w:hAnsi="宋体" w:cs="宋体"/>
                <w:sz w:val="20"/>
                <w:szCs w:val="20"/>
              </w:rPr>
            </w:pPr>
            <w:r>
              <w:rPr>
                <w:rFonts w:hint="eastAsia" w:ascii="宋体" w:hAnsi="宋体" w:cs="宋体"/>
                <w:sz w:val="20"/>
                <w:szCs w:val="20"/>
              </w:rPr>
              <w:t>——</w:t>
            </w:r>
          </w:p>
        </w:tc>
        <w:tc>
          <w:tcPr>
            <w:tcW w:w="3054" w:type="dxa"/>
            <w:tcBorders>
              <w:top w:val="nil"/>
              <w:left w:val="nil"/>
              <w:bottom w:val="single" w:color="auto" w:sz="4" w:space="0"/>
              <w:right w:val="single" w:color="auto" w:sz="4" w:space="0"/>
            </w:tcBorders>
            <w:shd w:val="clear" w:color="auto" w:fill="auto"/>
            <w:vAlign w:val="center"/>
          </w:tcPr>
          <w:p>
            <w:pPr>
              <w:jc w:val="right"/>
              <w:rPr>
                <w:rFonts w:ascii="宋体" w:hAnsi="宋体" w:cs="宋体"/>
                <w:sz w:val="20"/>
                <w:szCs w:val="20"/>
              </w:rPr>
            </w:pPr>
            <w:r>
              <w:rPr>
                <w:rFonts w:hint="eastAsia" w:ascii="宋体" w:hAnsi="宋体" w:cs="宋体"/>
                <w:sz w:val="20"/>
                <w:szCs w:val="20"/>
              </w:rPr>
              <w:t>15.22</w:t>
            </w:r>
          </w:p>
        </w:tc>
      </w:tr>
    </w:tbl>
    <w:p>
      <w:pPr>
        <w:spacing w:line="560" w:lineRule="exact"/>
        <w:ind w:firstLine="720"/>
        <w:rPr>
          <w:rFonts w:cs="FZFSK--GBK1-0" w:asciiTheme="minorEastAsia" w:hAnsiTheme="minorEastAsia"/>
          <w:b/>
          <w:sz w:val="32"/>
          <w:szCs w:val="32"/>
        </w:rPr>
      </w:pPr>
    </w:p>
    <w:p>
      <w:pPr>
        <w:spacing w:line="560" w:lineRule="exact"/>
        <w:ind w:firstLine="800" w:firstLineChars="250"/>
        <w:rPr>
          <w:rFonts w:cs="FZFSK--GBK1-0" w:asciiTheme="minorEastAsia" w:hAnsiTheme="minorEastAsia"/>
          <w:b/>
          <w:sz w:val="32"/>
          <w:szCs w:val="32"/>
        </w:rPr>
      </w:pPr>
      <w:r>
        <w:rPr>
          <w:rFonts w:hint="eastAsia" w:cs="FZFSK--GBK1-0" w:asciiTheme="minorEastAsia" w:hAnsiTheme="minorEastAsia"/>
          <w:b/>
          <w:sz w:val="32"/>
          <w:szCs w:val="32"/>
        </w:rPr>
        <w:t>八、名词解释</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1、民政管理事务</w:t>
      </w:r>
      <w:r>
        <w:rPr>
          <w:rFonts w:hint="eastAsia" w:cs="Times New Roman" w:asciiTheme="minorEastAsia" w:hAnsiTheme="minorEastAsia" w:eastAsiaTheme="minorEastAsia"/>
          <w:kern w:val="2"/>
          <w:sz w:val="32"/>
          <w:szCs w:val="32"/>
        </w:rPr>
        <w:t xml:space="preserve">：指用于民政部机关和所属事业单位保障机构正常运转的基本支出和开展民政管理事务所发生的项目支出。 </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2、行政运行（项）</w:t>
      </w:r>
      <w:r>
        <w:rPr>
          <w:rFonts w:hint="eastAsia" w:cs="Times New Roman" w:asciiTheme="minorEastAsia" w:hAnsiTheme="minorEastAsia" w:eastAsiaTheme="minorEastAsia"/>
          <w:kern w:val="2"/>
          <w:sz w:val="32"/>
          <w:szCs w:val="32"/>
        </w:rPr>
        <w:t xml:space="preserve">：指民政部机关（不含离退休干部局）和参照公务员法管理的事业单位用于保障机构正常运转的基本支出。 </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3、一般行政管理事务（项）</w:t>
      </w:r>
      <w:r>
        <w:rPr>
          <w:rFonts w:hint="eastAsia" w:cs="Times New Roman" w:asciiTheme="minorEastAsia" w:hAnsiTheme="minorEastAsia" w:eastAsiaTheme="minorEastAsia"/>
          <w:kern w:val="2"/>
          <w:sz w:val="32"/>
          <w:szCs w:val="32"/>
        </w:rPr>
        <w:t xml:space="preserve">：指民政部机关和参照公务员法管理的事业单位未单独设置项级科目的其他项目支出。 </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4、机关服务（项）</w:t>
      </w:r>
      <w:r>
        <w:rPr>
          <w:rFonts w:hint="eastAsia" w:cs="Times New Roman" w:asciiTheme="minorEastAsia" w:hAnsiTheme="minorEastAsia" w:eastAsiaTheme="minorEastAsia"/>
          <w:kern w:val="2"/>
          <w:sz w:val="32"/>
          <w:szCs w:val="32"/>
        </w:rPr>
        <w:t xml:space="preserve">：指为民政部机关提供后勤保障服务的机关服务局的支出。 </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5、老龄事务（项）：</w:t>
      </w:r>
      <w:r>
        <w:rPr>
          <w:rFonts w:hint="eastAsia" w:cs="Times New Roman" w:asciiTheme="minorEastAsia" w:hAnsiTheme="minorEastAsia" w:eastAsiaTheme="minorEastAsia"/>
          <w:kern w:val="2"/>
          <w:sz w:val="32"/>
          <w:szCs w:val="32"/>
        </w:rPr>
        <w:t xml:space="preserve">指老龄事务方面的支出。 </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6、民间组织管理（项）</w:t>
      </w:r>
      <w:r>
        <w:rPr>
          <w:rFonts w:hint="eastAsia" w:cs="Times New Roman" w:asciiTheme="minorEastAsia" w:hAnsiTheme="minorEastAsia" w:eastAsiaTheme="minorEastAsia"/>
          <w:kern w:val="2"/>
          <w:sz w:val="32"/>
          <w:szCs w:val="32"/>
        </w:rPr>
        <w:t xml:space="preserve">：指民间组织管理方面的支出。 </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7、行政区划和地名管理（项）</w:t>
      </w:r>
      <w:r>
        <w:rPr>
          <w:rFonts w:hint="eastAsia" w:cs="Times New Roman" w:asciiTheme="minorEastAsia" w:hAnsiTheme="minorEastAsia" w:eastAsiaTheme="minorEastAsia"/>
          <w:kern w:val="2"/>
          <w:sz w:val="32"/>
          <w:szCs w:val="32"/>
        </w:rPr>
        <w:t xml:space="preserve">：指行政区划界线勘定、维护，以及行政区划和地名管理支出。 </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8、基层政权和社区建设（项）</w:t>
      </w:r>
      <w:r>
        <w:rPr>
          <w:rFonts w:hint="eastAsia" w:cs="Times New Roman" w:asciiTheme="minorEastAsia" w:hAnsiTheme="minorEastAsia" w:eastAsiaTheme="minorEastAsia"/>
          <w:kern w:val="2"/>
          <w:sz w:val="32"/>
          <w:szCs w:val="32"/>
        </w:rPr>
        <w:t>：指开展村民自治、村务公开等基层政权和社区建设工作的支出。</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9、其他民政管理事务支出（项）：</w:t>
      </w:r>
      <w:r>
        <w:rPr>
          <w:rFonts w:hint="eastAsia" w:cs="Times New Roman" w:asciiTheme="minorEastAsia" w:hAnsiTheme="minorEastAsia" w:eastAsiaTheme="minorEastAsia"/>
          <w:kern w:val="2"/>
          <w:sz w:val="32"/>
          <w:szCs w:val="32"/>
        </w:rPr>
        <w:t>指民政部门接待来访、法制建设、政策宣传方面的支出，以及开展优抚安置、救灾减灾、社会救助、社会福利、社会事务、社会工作政策制定和人才队伍建设、信息化建设等专项业务的支出。</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10、财政拨款收入：</w:t>
      </w:r>
      <w:r>
        <w:rPr>
          <w:rFonts w:hint="eastAsia" w:cs="Times New Roman" w:asciiTheme="minorEastAsia" w:hAnsiTheme="minorEastAsia" w:eastAsiaTheme="minorEastAsia"/>
          <w:kern w:val="2"/>
          <w:sz w:val="32"/>
          <w:szCs w:val="32"/>
        </w:rPr>
        <w:t>指本级财政当年拨付的资金。</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11、年初结转和结余：</w:t>
      </w:r>
      <w:r>
        <w:rPr>
          <w:rFonts w:hint="eastAsia" w:cs="Times New Roman" w:asciiTheme="minorEastAsia" w:hAnsiTheme="minorEastAsia" w:eastAsiaTheme="minorEastAsia"/>
          <w:kern w:val="2"/>
          <w:sz w:val="32"/>
          <w:szCs w:val="32"/>
        </w:rPr>
        <w:t>指以前年度尚未完成、结转到本年按有关规定继续使用的资金。</w:t>
      </w:r>
    </w:p>
    <w:p>
      <w:pPr>
        <w:pStyle w:val="7"/>
        <w:spacing w:line="560" w:lineRule="exact"/>
        <w:ind w:firstLine="640"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kern w:val="2"/>
          <w:sz w:val="32"/>
          <w:szCs w:val="32"/>
        </w:rPr>
        <w:t>12、</w:t>
      </w:r>
      <w:r>
        <w:rPr>
          <w:rFonts w:hint="eastAsia" w:cs="Times New Roman" w:asciiTheme="minorEastAsia" w:hAnsiTheme="minorEastAsia" w:eastAsiaTheme="minorEastAsia"/>
          <w:b/>
          <w:kern w:val="2"/>
          <w:sz w:val="32"/>
          <w:szCs w:val="32"/>
        </w:rPr>
        <w:t>基本支出：</w:t>
      </w:r>
      <w:r>
        <w:rPr>
          <w:rFonts w:hint="eastAsia" w:cs="Times New Roman" w:asciiTheme="minorEastAsia" w:hAnsiTheme="minorEastAsia" w:eastAsiaTheme="minorEastAsia"/>
          <w:kern w:val="2"/>
          <w:sz w:val="32"/>
          <w:szCs w:val="32"/>
        </w:rPr>
        <w:t>指为保障机构正常运转、完成日常工作任务而发生的人员支出和公用支出。</w:t>
      </w:r>
    </w:p>
    <w:p>
      <w:pPr>
        <w:pStyle w:val="7"/>
        <w:spacing w:line="560" w:lineRule="exact"/>
        <w:ind w:firstLine="640"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kern w:val="2"/>
          <w:sz w:val="32"/>
          <w:szCs w:val="32"/>
        </w:rPr>
        <w:t>13、</w:t>
      </w:r>
      <w:r>
        <w:rPr>
          <w:rFonts w:hint="eastAsia" w:cs="Times New Roman" w:asciiTheme="minorEastAsia" w:hAnsiTheme="minorEastAsia" w:eastAsiaTheme="minorEastAsia"/>
          <w:b/>
          <w:kern w:val="2"/>
          <w:sz w:val="32"/>
          <w:szCs w:val="32"/>
        </w:rPr>
        <w:t>项目支出：</w:t>
      </w:r>
      <w:r>
        <w:rPr>
          <w:rFonts w:hint="eastAsia" w:cs="Times New Roman" w:asciiTheme="minorEastAsia" w:hAnsiTheme="minorEastAsia" w:eastAsiaTheme="minorEastAsia"/>
          <w:kern w:val="2"/>
          <w:sz w:val="32"/>
          <w:szCs w:val="32"/>
        </w:rPr>
        <w:t>指在基本支出之外为完成特定行政任务和事业发展目标所发生的支出。</w:t>
      </w:r>
    </w:p>
    <w:p>
      <w:pPr>
        <w:pStyle w:val="7"/>
        <w:spacing w:line="560" w:lineRule="exact"/>
        <w:ind w:firstLine="643"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b/>
          <w:kern w:val="2"/>
          <w:sz w:val="32"/>
          <w:szCs w:val="32"/>
        </w:rPr>
        <w:t>14、“三公”经费：</w:t>
      </w:r>
      <w:r>
        <w:rPr>
          <w:rFonts w:hint="eastAsia" w:cs="Times New Roman" w:asciiTheme="minorEastAsia" w:hAnsiTheme="minorEastAsia" w:eastAsiaTheme="minorEastAsia"/>
          <w:kern w:val="2"/>
          <w:sz w:val="32"/>
          <w:szCs w:val="32"/>
        </w:rPr>
        <w:t>纳入本级财政预决算管理的“三公”经费，是指本级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及租用费、燃料费、维修费、过路过桥费、保险费、安全奖励费用等支出;公务接待费反映单位按规定开支的各类公务接待(含外宾接待)支出。</w:t>
      </w:r>
    </w:p>
    <w:p>
      <w:pPr>
        <w:pStyle w:val="7"/>
        <w:spacing w:line="560" w:lineRule="exact"/>
        <w:ind w:firstLine="640" w:firstLineChars="200"/>
        <w:rPr>
          <w:rFonts w:cs="Times New Roman" w:asciiTheme="minorEastAsia" w:hAnsiTheme="minorEastAsia" w:eastAsiaTheme="minorEastAsia"/>
          <w:kern w:val="2"/>
          <w:sz w:val="32"/>
          <w:szCs w:val="32"/>
        </w:rPr>
      </w:pPr>
      <w:r>
        <w:rPr>
          <w:rFonts w:hint="eastAsia" w:cs="Times New Roman" w:asciiTheme="minorEastAsia" w:hAnsiTheme="minorEastAsia" w:eastAsiaTheme="minorEastAsia"/>
          <w:kern w:val="2"/>
          <w:sz w:val="32"/>
          <w:szCs w:val="32"/>
        </w:rPr>
        <w:t>15、</w:t>
      </w:r>
      <w:r>
        <w:rPr>
          <w:rFonts w:hint="eastAsia" w:cs="Times New Roman" w:asciiTheme="minorEastAsia" w:hAnsiTheme="minorEastAsia" w:eastAsiaTheme="minorEastAsia"/>
          <w:b/>
          <w:kern w:val="2"/>
          <w:sz w:val="32"/>
          <w:szCs w:val="32"/>
        </w:rPr>
        <w:t>机关运行经费：</w:t>
      </w:r>
      <w:r>
        <w:rPr>
          <w:rFonts w:hint="eastAsia" w:cs="Times New Roman" w:asciiTheme="minorEastAsia" w:hAnsiTheme="minorEastAsia" w:eastAsiaTheme="minorEastAsia"/>
          <w:kern w:val="2"/>
          <w:sz w:val="32"/>
          <w:szCs w:val="32"/>
        </w:rPr>
        <w:t>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pStyle w:val="7"/>
        <w:spacing w:before="0" w:beforeAutospacing="0" w:after="0" w:afterAutospacing="0" w:line="560" w:lineRule="exact"/>
        <w:ind w:firstLine="800" w:firstLineChars="249"/>
        <w:rPr>
          <w:rFonts w:cs="Times New Roman" w:asciiTheme="minorEastAsia" w:hAnsiTheme="minorEastAsia" w:eastAsiaTheme="minorEastAsia"/>
          <w:b/>
          <w:kern w:val="2"/>
          <w:sz w:val="32"/>
          <w:szCs w:val="32"/>
        </w:rPr>
      </w:pPr>
      <w:r>
        <w:rPr>
          <w:rFonts w:hint="eastAsia" w:cs="Times New Roman" w:asciiTheme="minorEastAsia" w:hAnsiTheme="minorEastAsia" w:eastAsiaTheme="minorEastAsia"/>
          <w:b/>
          <w:kern w:val="2"/>
          <w:sz w:val="32"/>
          <w:szCs w:val="32"/>
        </w:rPr>
        <w:t>九、其他需要说明的事项</w:t>
      </w:r>
    </w:p>
    <w:p>
      <w:pPr>
        <w:ind w:firstLine="628" w:firstLineChars="196"/>
      </w:pPr>
      <w:r>
        <w:rPr>
          <w:rFonts w:hint="eastAsia" w:asciiTheme="minorEastAsia" w:hAnsiTheme="minorEastAsia"/>
          <w:b/>
          <w:sz w:val="32"/>
          <w:szCs w:val="32"/>
        </w:rPr>
        <w:t>我部门无其他需要说明的事项</w:t>
      </w:r>
      <w:bookmarkEnd w:id="0"/>
      <w:bookmarkEnd w:id="1"/>
    </w:p>
    <w:p>
      <w:pPr>
        <w:spacing w:line="220" w:lineRule="atLeast"/>
      </w:pPr>
    </w:p>
    <w:sectPr>
      <w:pgSz w:w="16838" w:h="11906" w:orient="landscape"/>
      <w:pgMar w:top="1800" w:right="1440" w:bottom="180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宋体-方正超大字符集">
    <w:altName w:val="宋体"/>
    <w:panose1 w:val="00000000000000000000"/>
    <w:charset w:val="86"/>
    <w:family w:val="auto"/>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FZFSK--GBK1-0">
    <w:altName w:val="黑体"/>
    <w:panose1 w:val="00000000000000000000"/>
    <w:charset w:val="86"/>
    <w:family w:val="auto"/>
    <w:pitch w:val="default"/>
    <w:sig w:usb0="00000000" w:usb1="00000000" w:usb2="0000001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9A8F38"/>
    <w:multiLevelType w:val="singleLevel"/>
    <w:tmpl w:val="589A8F38"/>
    <w:lvl w:ilvl="0" w:tentative="0">
      <w:start w:val="1"/>
      <w:numFmt w:val="decimal"/>
      <w:suff w:val="nothing"/>
      <w:lvlText w:val="%1、"/>
      <w:lvlJc w:val="left"/>
      <w:pPr>
        <w:ind w:left="0" w:firstLine="0"/>
      </w:pPr>
    </w:lvl>
  </w:abstractNum>
  <w:abstractNum w:abstractNumId="1">
    <w:nsid w:val="589A9132"/>
    <w:multiLevelType w:val="singleLevel"/>
    <w:tmpl w:val="589A9132"/>
    <w:lvl w:ilvl="0" w:tentative="0">
      <w:start w:val="1"/>
      <w:numFmt w:val="decimal"/>
      <w:suff w:val="nothing"/>
      <w:lvlText w:val="%1、"/>
      <w:lvlJc w:val="left"/>
      <w:pPr>
        <w:ind w:left="0" w:firstLine="0"/>
      </w:pPr>
    </w:lvl>
  </w:abstractNum>
  <w:num w:numId="1">
    <w:abstractNumId w:val="0"/>
    <w:lvlOverride w:ilvl="0">
      <w:startOverride w:val="1"/>
    </w:lvlOverride>
  </w:num>
  <w:num w:numId="2">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720"/>
  <w:drawingGridHorizontalSpacing w:val="110"/>
  <w:drawingGridVerticalSpacing w:val="156"/>
  <w:displayHorizontalDrawingGridEvery w:val="2"/>
  <w:displayVerticalDrawingGridEvery w:val="2"/>
  <w:characterSpacingControl w:val="doNotCompress"/>
  <w:compat>
    <w:useFELayout/>
    <w:compatSetting w:name="compatibilityMode" w:uri="http://schemas.microsoft.com/office/word" w:val="12"/>
  </w:compat>
  <w:rsids>
    <w:rsidRoot w:val="00D31D50"/>
    <w:rsid w:val="00323B43"/>
    <w:rsid w:val="003D37D8"/>
    <w:rsid w:val="00426133"/>
    <w:rsid w:val="004358AB"/>
    <w:rsid w:val="00864F2E"/>
    <w:rsid w:val="008B7726"/>
    <w:rsid w:val="008C3505"/>
    <w:rsid w:val="00D31D50"/>
    <w:rsid w:val="00D93188"/>
    <w:rsid w:val="00E45818"/>
    <w:rsid w:val="00F60E35"/>
    <w:rsid w:val="00FB337A"/>
    <w:rsid w:val="4D890A8E"/>
    <w:rsid w:val="6743739C"/>
    <w:rsid w:val="7D0C00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微软雅黑"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12"/>
    <w:qFormat/>
    <w:uiPriority w:val="0"/>
    <w:pPr>
      <w:widowControl w:val="0"/>
      <w:adjustRightInd/>
      <w:snapToGrid/>
      <w:spacing w:after="0"/>
      <w:jc w:val="both"/>
    </w:pPr>
    <w:rPr>
      <w:rFonts w:asciiTheme="minorHAnsi" w:hAnsiTheme="minorHAnsi" w:eastAsiaTheme="minorEastAsia"/>
      <w:kern w:val="2"/>
      <w:sz w:val="18"/>
      <w:szCs w:val="18"/>
    </w:rPr>
  </w:style>
  <w:style w:type="paragraph" w:styleId="3">
    <w:name w:val="footer"/>
    <w:basedOn w:val="1"/>
    <w:link w:val="14"/>
    <w:qFormat/>
    <w:uiPriority w:val="0"/>
    <w:pPr>
      <w:widowControl w:val="0"/>
      <w:tabs>
        <w:tab w:val="center" w:pos="4153"/>
        <w:tab w:val="right" w:pos="8306"/>
      </w:tabs>
      <w:adjustRightInd/>
      <w:spacing w:after="0"/>
    </w:pPr>
    <w:rPr>
      <w:rFonts w:asciiTheme="minorHAnsi" w:hAnsiTheme="minorHAnsi" w:eastAsiaTheme="minorEastAsia"/>
      <w:kern w:val="2"/>
      <w:sz w:val="18"/>
      <w:szCs w:val="18"/>
    </w:rPr>
  </w:style>
  <w:style w:type="paragraph" w:styleId="4">
    <w:name w:val="header"/>
    <w:basedOn w:val="1"/>
    <w:link w:val="13"/>
    <w:qFormat/>
    <w:uiPriority w:val="0"/>
    <w:pPr>
      <w:widowControl w:val="0"/>
      <w:pBdr>
        <w:bottom w:val="single" w:color="auto" w:sz="6" w:space="1"/>
      </w:pBdr>
      <w:tabs>
        <w:tab w:val="center" w:pos="4153"/>
        <w:tab w:val="right" w:pos="8306"/>
      </w:tabs>
      <w:adjustRightInd/>
      <w:spacing w:after="0"/>
      <w:jc w:val="center"/>
    </w:pPr>
    <w:rPr>
      <w:rFonts w:asciiTheme="minorHAnsi" w:hAnsiTheme="minorHAnsi" w:eastAsiaTheme="minorEastAsia"/>
      <w:kern w:val="2"/>
      <w:sz w:val="18"/>
      <w:szCs w:val="18"/>
    </w:rPr>
  </w:style>
  <w:style w:type="paragraph" w:styleId="5">
    <w:name w:val="toc 4"/>
    <w:basedOn w:val="1"/>
    <w:next w:val="1"/>
    <w:qFormat/>
    <w:uiPriority w:val="0"/>
    <w:pPr>
      <w:widowControl w:val="0"/>
      <w:adjustRightInd/>
      <w:snapToGrid/>
      <w:spacing w:after="0"/>
      <w:ind w:left="1260" w:leftChars="600"/>
      <w:jc w:val="both"/>
    </w:pPr>
    <w:rPr>
      <w:rFonts w:ascii="Times New Roman" w:hAnsi="Times New Roman" w:eastAsia="宋体" w:cs="Times New Roman"/>
      <w:kern w:val="2"/>
      <w:sz w:val="21"/>
      <w:szCs w:val="24"/>
    </w:rPr>
  </w:style>
  <w:style w:type="paragraph" w:styleId="6">
    <w:name w:val="toc 2"/>
    <w:basedOn w:val="1"/>
    <w:next w:val="1"/>
    <w:qFormat/>
    <w:uiPriority w:val="0"/>
    <w:pPr>
      <w:widowControl w:val="0"/>
      <w:adjustRightInd/>
      <w:snapToGrid/>
      <w:spacing w:after="0"/>
      <w:ind w:left="420" w:leftChars="200"/>
      <w:jc w:val="both"/>
    </w:pPr>
    <w:rPr>
      <w:rFonts w:ascii="Times New Roman" w:hAnsi="Times New Roman" w:eastAsia="宋体" w:cs="Times New Roman"/>
      <w:kern w:val="2"/>
      <w:sz w:val="21"/>
      <w:szCs w:val="24"/>
    </w:rPr>
  </w:style>
  <w:style w:type="paragraph" w:styleId="7">
    <w:name w:val="Normal (Web)"/>
    <w:basedOn w:val="1"/>
    <w:qFormat/>
    <w:uiPriority w:val="99"/>
    <w:pPr>
      <w:adjustRightInd/>
      <w:snapToGrid/>
      <w:spacing w:before="100" w:beforeAutospacing="1" w:after="100" w:afterAutospacing="1"/>
    </w:pPr>
    <w:rPr>
      <w:rFonts w:ascii="宋体" w:hAnsi="宋体" w:eastAsia="宋体" w:cs="宋体"/>
      <w:sz w:val="24"/>
      <w:szCs w:val="24"/>
    </w:rPr>
  </w:style>
  <w:style w:type="character" w:styleId="10">
    <w:name w:val="page number"/>
    <w:basedOn w:val="9"/>
    <w:qFormat/>
    <w:uiPriority w:val="0"/>
  </w:style>
  <w:style w:type="character" w:styleId="11">
    <w:name w:val="Hyperlink"/>
    <w:basedOn w:val="9"/>
    <w:qFormat/>
    <w:uiPriority w:val="0"/>
    <w:rPr>
      <w:color w:val="0000FF"/>
      <w:u w:val="single"/>
    </w:rPr>
  </w:style>
  <w:style w:type="character" w:customStyle="1" w:styleId="12">
    <w:name w:val="批注框文本 Char"/>
    <w:basedOn w:val="9"/>
    <w:link w:val="2"/>
    <w:qFormat/>
    <w:uiPriority w:val="0"/>
    <w:rPr>
      <w:rFonts w:eastAsiaTheme="minorEastAsia"/>
      <w:kern w:val="2"/>
      <w:sz w:val="18"/>
      <w:szCs w:val="18"/>
    </w:rPr>
  </w:style>
  <w:style w:type="character" w:customStyle="1" w:styleId="13">
    <w:name w:val="页眉 Char"/>
    <w:basedOn w:val="9"/>
    <w:link w:val="4"/>
    <w:qFormat/>
    <w:uiPriority w:val="0"/>
    <w:rPr>
      <w:rFonts w:eastAsiaTheme="minorEastAsia"/>
      <w:kern w:val="2"/>
      <w:sz w:val="18"/>
      <w:szCs w:val="18"/>
    </w:rPr>
  </w:style>
  <w:style w:type="character" w:customStyle="1" w:styleId="14">
    <w:name w:val="页脚 Char"/>
    <w:basedOn w:val="9"/>
    <w:link w:val="3"/>
    <w:qFormat/>
    <w:uiPriority w:val="0"/>
    <w:rPr>
      <w:rFonts w:eastAsiaTheme="minorEastAsia"/>
      <w:kern w:val="2"/>
      <w:sz w:val="18"/>
      <w:szCs w:val="18"/>
    </w:rPr>
  </w:style>
  <w:style w:type="paragraph" w:customStyle="1" w:styleId="15">
    <w:name w:val="列出段落1"/>
    <w:basedOn w:val="1"/>
    <w:qFormat/>
    <w:uiPriority w:val="34"/>
    <w:pPr>
      <w:widowControl w:val="0"/>
      <w:adjustRightInd/>
      <w:snapToGrid/>
      <w:spacing w:after="0"/>
      <w:ind w:firstLine="420" w:firstLineChars="200"/>
      <w:jc w:val="both"/>
    </w:pPr>
    <w:rPr>
      <w:rFonts w:ascii="Calibri" w:hAnsi="Calibri" w:eastAsia="宋体" w:cs="Times New Roman"/>
      <w:kern w:val="2"/>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numbering.xml" Type="http://schemas.openxmlformats.org/officeDocument/2006/relationships/numbering"/><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92</Pages>
  <Words>5579</Words>
  <Characters>31802</Characters>
  <Lines>265</Lines>
  <Paragraphs>74</Paragraphs>
  <TotalTime>27</TotalTime>
  <ScaleCrop>false</ScaleCrop>
  <LinksUpToDate>false</LinksUpToDate>
  <CharactersWithSpaces>37307</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2008-09-11T17:20:00Z</dcterms:created>
  <dc:creator>Administrator</dc:creator>
  <cp:lastModifiedBy>Administrator</cp:lastModifiedBy>
  <dcterms:modified xsi:type="dcterms:W3CDTF">2023-06-02T03:07:14Z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