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fldChar w:fldCharType="end"/>
      </w:r>
      <w:r>
        <w:fldChar w:fldCharType="end"/>
      </w:r>
      <w:r>
        <w:rPr>
          <w:rFonts w:hint="eastAsia"/>
          <w:lang w:val="en-US" w:eastAsia="zh-CN"/>
        </w:rPr>
        <w:t>26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fldChar w:fldCharType="end"/>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fldChar w:fldCharType="end"/>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第一部分</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3949"/>
        <w:gridCol w:w="2373"/>
        <w:gridCol w:w="6840"/>
        <w:gridCol w:w="10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5" w:type="dxa"/>
            <w:gridSpan w:val="2"/>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373" w:type="dxa"/>
            <w:tcBorders>
              <w:top w:val="single" w:color="FFFFFF" w:sz="6" w:space="0"/>
              <w:left w:val="single" w:color="FFFFFF" w:sz="6" w:space="0"/>
              <w:right w:val="single" w:color="FFFFFF" w:sz="6" w:space="0"/>
            </w:tcBorders>
            <w:vAlign w:val="center"/>
          </w:tcPr>
          <w:p>
            <w:pPr>
              <w:pStyle w:val="10"/>
            </w:pPr>
            <w:r>
              <w:t>预算年度：2022</w:t>
            </w:r>
          </w:p>
        </w:tc>
        <w:tc>
          <w:tcPr>
            <w:tcW w:w="78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2"/>
            </w:pPr>
            <w:r>
              <w:t>序号</w:t>
            </w:r>
          </w:p>
        </w:tc>
        <w:tc>
          <w:tcPr>
            <w:tcW w:w="6322" w:type="dxa"/>
            <w:gridSpan w:val="2"/>
            <w:vAlign w:val="center"/>
          </w:tcPr>
          <w:p>
            <w:pPr>
              <w:pStyle w:val="12"/>
            </w:pPr>
            <w:r>
              <w:t>收入</w:t>
            </w:r>
          </w:p>
        </w:tc>
        <w:tc>
          <w:tcPr>
            <w:tcW w:w="789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continue"/>
          </w:tcPr>
          <w:p/>
        </w:tc>
        <w:tc>
          <w:tcPr>
            <w:tcW w:w="3949" w:type="dxa"/>
            <w:vAlign w:val="center"/>
          </w:tcPr>
          <w:p>
            <w:pPr>
              <w:pStyle w:val="12"/>
            </w:pPr>
            <w:r>
              <w:t>项  目</w:t>
            </w:r>
          </w:p>
        </w:tc>
        <w:tc>
          <w:tcPr>
            <w:tcW w:w="2373" w:type="dxa"/>
            <w:vAlign w:val="center"/>
          </w:tcPr>
          <w:p>
            <w:pPr>
              <w:pStyle w:val="12"/>
            </w:pPr>
            <w:r>
              <w:t>预算数</w:t>
            </w:r>
          </w:p>
        </w:tc>
        <w:tc>
          <w:tcPr>
            <w:tcW w:w="6840" w:type="dxa"/>
            <w:vAlign w:val="center"/>
          </w:tcPr>
          <w:p>
            <w:pPr>
              <w:pStyle w:val="12"/>
            </w:pPr>
            <w:r>
              <w:t>项  目</w:t>
            </w:r>
          </w:p>
        </w:tc>
        <w:tc>
          <w:tcPr>
            <w:tcW w:w="105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Align w:val="center"/>
          </w:tcPr>
          <w:p>
            <w:pPr>
              <w:pStyle w:val="12"/>
            </w:pPr>
            <w:r>
              <w:t>栏次</w:t>
            </w:r>
          </w:p>
        </w:tc>
        <w:tc>
          <w:tcPr>
            <w:tcW w:w="3949" w:type="dxa"/>
            <w:vAlign w:val="center"/>
          </w:tcPr>
          <w:p>
            <w:pPr>
              <w:pStyle w:val="12"/>
            </w:pPr>
            <w:r>
              <w:t>1</w:t>
            </w:r>
          </w:p>
        </w:tc>
        <w:tc>
          <w:tcPr>
            <w:tcW w:w="2373" w:type="dxa"/>
            <w:vAlign w:val="center"/>
          </w:tcPr>
          <w:p>
            <w:pPr>
              <w:pStyle w:val="12"/>
            </w:pPr>
            <w:r>
              <w:t>2</w:t>
            </w:r>
          </w:p>
        </w:tc>
        <w:tc>
          <w:tcPr>
            <w:tcW w:w="6840" w:type="dxa"/>
            <w:vAlign w:val="center"/>
          </w:tcPr>
          <w:p>
            <w:pPr>
              <w:pStyle w:val="12"/>
            </w:pPr>
            <w:r>
              <w:t>3</w:t>
            </w:r>
          </w:p>
        </w:tc>
        <w:tc>
          <w:tcPr>
            <w:tcW w:w="105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w:t>
            </w:r>
          </w:p>
        </w:tc>
        <w:tc>
          <w:tcPr>
            <w:tcW w:w="3949" w:type="dxa"/>
            <w:vAlign w:val="center"/>
          </w:tcPr>
          <w:p>
            <w:pPr>
              <w:pStyle w:val="14"/>
            </w:pPr>
            <w:r>
              <w:t>一、一般公共预算拨款收入</w:t>
            </w:r>
          </w:p>
        </w:tc>
        <w:tc>
          <w:tcPr>
            <w:tcW w:w="2373" w:type="dxa"/>
            <w:vAlign w:val="center"/>
          </w:tcPr>
          <w:p>
            <w:pPr>
              <w:pStyle w:val="13"/>
              <w:rPr>
                <w:rFonts w:hint="default" w:eastAsia="方正书宋_GBK"/>
                <w:lang w:val="en-US" w:eastAsia="zh-CN"/>
              </w:rPr>
            </w:pPr>
            <w:r>
              <w:rPr>
                <w:rFonts w:hint="eastAsia"/>
                <w:lang w:val="en-US" w:eastAsia="zh-CN"/>
              </w:rPr>
              <w:t>229.71</w:t>
            </w:r>
          </w:p>
        </w:tc>
        <w:tc>
          <w:tcPr>
            <w:tcW w:w="6840" w:type="dxa"/>
            <w:vAlign w:val="center"/>
          </w:tcPr>
          <w:p>
            <w:pPr>
              <w:pStyle w:val="14"/>
            </w:pPr>
            <w:r>
              <w:t>一、一般公共服务支出</w:t>
            </w:r>
          </w:p>
        </w:tc>
        <w:tc>
          <w:tcPr>
            <w:tcW w:w="1058" w:type="dxa"/>
            <w:vAlign w:val="center"/>
          </w:tcPr>
          <w:p>
            <w:pPr>
              <w:pStyle w:val="13"/>
              <w:rPr>
                <w:rFonts w:hint="default" w:eastAsia="方正书宋_GBK"/>
                <w:lang w:val="en-US" w:eastAsia="zh-CN"/>
              </w:rPr>
            </w:pPr>
            <w:r>
              <w:rPr>
                <w:rFonts w:hint="eastAsia"/>
                <w:lang w:val="en-US" w:eastAsia="zh-CN"/>
              </w:rPr>
              <w:t>188.59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w:t>
            </w:r>
          </w:p>
        </w:tc>
        <w:tc>
          <w:tcPr>
            <w:tcW w:w="3949" w:type="dxa"/>
            <w:vAlign w:val="center"/>
          </w:tcPr>
          <w:p>
            <w:pPr>
              <w:pStyle w:val="14"/>
            </w:pPr>
            <w:r>
              <w:t>二、政府性基金预算拨款收入</w:t>
            </w:r>
          </w:p>
        </w:tc>
        <w:tc>
          <w:tcPr>
            <w:tcW w:w="2373" w:type="dxa"/>
            <w:vAlign w:val="center"/>
          </w:tcPr>
          <w:p>
            <w:pPr>
              <w:pStyle w:val="13"/>
            </w:pPr>
          </w:p>
        </w:tc>
        <w:tc>
          <w:tcPr>
            <w:tcW w:w="6840" w:type="dxa"/>
            <w:vAlign w:val="center"/>
          </w:tcPr>
          <w:p>
            <w:pPr>
              <w:pStyle w:val="14"/>
            </w:pPr>
            <w:r>
              <w:t>二、外交支出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w:t>
            </w:r>
          </w:p>
        </w:tc>
        <w:tc>
          <w:tcPr>
            <w:tcW w:w="3949" w:type="dxa"/>
            <w:vAlign w:val="center"/>
          </w:tcPr>
          <w:p>
            <w:pPr>
              <w:pStyle w:val="14"/>
            </w:pPr>
            <w:r>
              <w:t>三、国有资本经营预算拨款收入</w:t>
            </w:r>
          </w:p>
        </w:tc>
        <w:tc>
          <w:tcPr>
            <w:tcW w:w="2373" w:type="dxa"/>
            <w:vAlign w:val="center"/>
          </w:tcPr>
          <w:p>
            <w:pPr>
              <w:pStyle w:val="13"/>
            </w:pPr>
          </w:p>
        </w:tc>
        <w:tc>
          <w:tcPr>
            <w:tcW w:w="6840" w:type="dxa"/>
            <w:vAlign w:val="center"/>
          </w:tcPr>
          <w:p>
            <w:pPr>
              <w:pStyle w:val="14"/>
            </w:pPr>
            <w:r>
              <w:t>三、国防支出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4</w:t>
            </w:r>
          </w:p>
        </w:tc>
        <w:tc>
          <w:tcPr>
            <w:tcW w:w="3949" w:type="dxa"/>
            <w:vAlign w:val="center"/>
          </w:tcPr>
          <w:p>
            <w:pPr>
              <w:pStyle w:val="14"/>
            </w:pPr>
            <w:r>
              <w:t>四、财政专户管理资金收入</w:t>
            </w:r>
          </w:p>
        </w:tc>
        <w:tc>
          <w:tcPr>
            <w:tcW w:w="2373" w:type="dxa"/>
            <w:vAlign w:val="center"/>
          </w:tcPr>
          <w:p>
            <w:pPr>
              <w:pStyle w:val="13"/>
            </w:pPr>
          </w:p>
        </w:tc>
        <w:tc>
          <w:tcPr>
            <w:tcW w:w="6840" w:type="dxa"/>
            <w:vAlign w:val="center"/>
          </w:tcPr>
          <w:p>
            <w:pPr>
              <w:pStyle w:val="14"/>
            </w:pPr>
            <w:r>
              <w:t>四、公共安全支出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5</w:t>
            </w:r>
          </w:p>
        </w:tc>
        <w:tc>
          <w:tcPr>
            <w:tcW w:w="3949" w:type="dxa"/>
            <w:vAlign w:val="center"/>
          </w:tcPr>
          <w:p>
            <w:pPr>
              <w:pStyle w:val="14"/>
            </w:pPr>
            <w:r>
              <w:t>五、事业收入</w:t>
            </w:r>
          </w:p>
        </w:tc>
        <w:tc>
          <w:tcPr>
            <w:tcW w:w="2373" w:type="dxa"/>
            <w:vAlign w:val="center"/>
          </w:tcPr>
          <w:p>
            <w:pPr>
              <w:pStyle w:val="13"/>
            </w:pPr>
          </w:p>
        </w:tc>
        <w:tc>
          <w:tcPr>
            <w:tcW w:w="6840" w:type="dxa"/>
            <w:vAlign w:val="center"/>
          </w:tcPr>
          <w:p>
            <w:pPr>
              <w:pStyle w:val="14"/>
            </w:pPr>
            <w:r>
              <w:t>五、教育支出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6</w:t>
            </w:r>
          </w:p>
        </w:tc>
        <w:tc>
          <w:tcPr>
            <w:tcW w:w="3949" w:type="dxa"/>
            <w:vAlign w:val="center"/>
          </w:tcPr>
          <w:p>
            <w:pPr>
              <w:pStyle w:val="14"/>
            </w:pPr>
            <w:r>
              <w:t>六、事业单位经营收入</w:t>
            </w:r>
          </w:p>
        </w:tc>
        <w:tc>
          <w:tcPr>
            <w:tcW w:w="2373" w:type="dxa"/>
            <w:vAlign w:val="center"/>
          </w:tcPr>
          <w:p>
            <w:pPr>
              <w:pStyle w:val="13"/>
            </w:pPr>
          </w:p>
        </w:tc>
        <w:tc>
          <w:tcPr>
            <w:tcW w:w="6840" w:type="dxa"/>
            <w:vAlign w:val="center"/>
          </w:tcPr>
          <w:p>
            <w:pPr>
              <w:pStyle w:val="14"/>
            </w:pPr>
            <w:r>
              <w:t>六、科学技术支出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7</w:t>
            </w:r>
          </w:p>
        </w:tc>
        <w:tc>
          <w:tcPr>
            <w:tcW w:w="3949" w:type="dxa"/>
            <w:vAlign w:val="center"/>
          </w:tcPr>
          <w:p>
            <w:pPr>
              <w:pStyle w:val="14"/>
            </w:pPr>
            <w:r>
              <w:t>七、上级补助收入</w:t>
            </w:r>
          </w:p>
        </w:tc>
        <w:tc>
          <w:tcPr>
            <w:tcW w:w="2373" w:type="dxa"/>
            <w:vAlign w:val="center"/>
          </w:tcPr>
          <w:p>
            <w:pPr>
              <w:pStyle w:val="13"/>
            </w:pPr>
          </w:p>
        </w:tc>
        <w:tc>
          <w:tcPr>
            <w:tcW w:w="6840" w:type="dxa"/>
            <w:vAlign w:val="center"/>
          </w:tcPr>
          <w:p>
            <w:pPr>
              <w:pStyle w:val="14"/>
            </w:pPr>
            <w:r>
              <w:t>七、文化旅游体育与传媒支出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8</w:t>
            </w:r>
          </w:p>
        </w:tc>
        <w:tc>
          <w:tcPr>
            <w:tcW w:w="3949" w:type="dxa"/>
            <w:vAlign w:val="center"/>
          </w:tcPr>
          <w:p>
            <w:pPr>
              <w:pStyle w:val="14"/>
            </w:pPr>
            <w:r>
              <w:t>八、附属单位上缴收入</w:t>
            </w:r>
          </w:p>
        </w:tc>
        <w:tc>
          <w:tcPr>
            <w:tcW w:w="2373" w:type="dxa"/>
            <w:vAlign w:val="center"/>
          </w:tcPr>
          <w:p>
            <w:pPr>
              <w:pStyle w:val="13"/>
            </w:pPr>
          </w:p>
        </w:tc>
        <w:tc>
          <w:tcPr>
            <w:tcW w:w="6840" w:type="dxa"/>
            <w:vAlign w:val="center"/>
          </w:tcPr>
          <w:p>
            <w:pPr>
              <w:pStyle w:val="14"/>
            </w:pPr>
            <w:r>
              <w:t>八、社会保障和就业支出</w:t>
            </w:r>
          </w:p>
        </w:tc>
        <w:tc>
          <w:tcPr>
            <w:tcW w:w="1058" w:type="dxa"/>
            <w:vAlign w:val="center"/>
          </w:tcPr>
          <w:p>
            <w:pPr>
              <w:pStyle w:val="13"/>
              <w:rPr>
                <w:rFonts w:hint="default" w:eastAsia="方正书宋_GBK"/>
                <w:lang w:val="en-US" w:eastAsia="zh-CN"/>
              </w:rPr>
            </w:pPr>
            <w:r>
              <w:rPr>
                <w:rFonts w:hint="eastAsia"/>
                <w:lang w:val="en-US" w:eastAsia="zh-CN"/>
              </w:rPr>
              <w:t>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9</w:t>
            </w:r>
          </w:p>
        </w:tc>
        <w:tc>
          <w:tcPr>
            <w:tcW w:w="3949" w:type="dxa"/>
            <w:vAlign w:val="center"/>
          </w:tcPr>
          <w:p>
            <w:pPr>
              <w:pStyle w:val="14"/>
            </w:pPr>
            <w:r>
              <w:t>九、其他收入</w:t>
            </w:r>
          </w:p>
        </w:tc>
        <w:tc>
          <w:tcPr>
            <w:tcW w:w="2373" w:type="dxa"/>
            <w:vAlign w:val="center"/>
          </w:tcPr>
          <w:p>
            <w:pPr>
              <w:pStyle w:val="13"/>
            </w:pPr>
          </w:p>
        </w:tc>
        <w:tc>
          <w:tcPr>
            <w:tcW w:w="6840" w:type="dxa"/>
            <w:vAlign w:val="center"/>
          </w:tcPr>
          <w:p>
            <w:pPr>
              <w:pStyle w:val="14"/>
            </w:pPr>
            <w:r>
              <w:t>九、社会保险基金支出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十、卫生健康支出</w:t>
            </w:r>
          </w:p>
        </w:tc>
        <w:tc>
          <w:tcPr>
            <w:tcW w:w="1058" w:type="dxa"/>
            <w:vAlign w:val="center"/>
          </w:tcPr>
          <w:p>
            <w:pPr>
              <w:pStyle w:val="13"/>
              <w:rPr>
                <w:rFonts w:hint="default" w:eastAsia="方正书宋_GBK"/>
                <w:lang w:val="en-US" w:eastAsia="zh-CN"/>
              </w:rPr>
            </w:pPr>
            <w:r>
              <w:rPr>
                <w:rFonts w:hint="eastAsia"/>
                <w:lang w:val="en-US" w:eastAsia="zh-CN"/>
              </w:rP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十一、节能环保支出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十二、城乡社区支出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十三、农林水支出</w:t>
            </w:r>
          </w:p>
        </w:tc>
        <w:tc>
          <w:tcPr>
            <w:tcW w:w="1058" w:type="dxa"/>
            <w:vAlign w:val="center"/>
          </w:tcPr>
          <w:p>
            <w:pPr>
              <w:pStyle w:val="13"/>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十四、交通运输支出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十五、资源勘探工业信息等支出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十六、商业服务业等支出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十七、金融支出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十八、援助其他地区支出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十九、自然资源海洋气象等支出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二十、住房保障支出</w:t>
            </w:r>
          </w:p>
        </w:tc>
        <w:tc>
          <w:tcPr>
            <w:tcW w:w="1058" w:type="dxa"/>
            <w:vAlign w:val="center"/>
          </w:tcPr>
          <w:p>
            <w:pPr>
              <w:pStyle w:val="13"/>
              <w:rPr>
                <w:rFonts w:hint="default" w:eastAsia="方正书宋_GBK"/>
                <w:lang w:val="en-US" w:eastAsia="zh-CN"/>
              </w:rPr>
            </w:pPr>
            <w:r>
              <w:rPr>
                <w:rFonts w:hint="eastAsia"/>
                <w:lang w:val="en-US" w:eastAsia="zh-CN"/>
              </w:rP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二十一、粮油物资储备支出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二十二、国有资本经营预算支出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二十三、灾害防治及应急管理支出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二十四、预备费</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二十五、其他支出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二十六、转移性支出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二十七、灾害防治及应急管理共同财政事权转移支付支出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二十八、债务还本支出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二十九、债务付息支出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三十、债务发行费用支出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三十一、抗疫特别国债安排的支出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32</w:t>
            </w:r>
          </w:p>
        </w:tc>
        <w:tc>
          <w:tcPr>
            <w:tcW w:w="3949" w:type="dxa"/>
            <w:vAlign w:val="center"/>
          </w:tcPr>
          <w:p>
            <w:pPr>
              <w:pStyle w:val="16"/>
            </w:pPr>
            <w:r>
              <w:t>本年收入合计</w:t>
            </w:r>
          </w:p>
        </w:tc>
        <w:tc>
          <w:tcPr>
            <w:tcW w:w="2373" w:type="dxa"/>
            <w:vAlign w:val="center"/>
          </w:tcPr>
          <w:p>
            <w:pPr>
              <w:pStyle w:val="17"/>
              <w:rPr>
                <w:rFonts w:hint="default" w:eastAsia="方正书宋_GBK"/>
                <w:lang w:val="en-US" w:eastAsia="zh-CN"/>
              </w:rPr>
            </w:pPr>
            <w:r>
              <w:rPr>
                <w:rFonts w:hint="eastAsia"/>
                <w:lang w:val="en-US" w:eastAsia="zh-CN"/>
              </w:rPr>
              <w:t>229.71</w:t>
            </w:r>
          </w:p>
        </w:tc>
        <w:tc>
          <w:tcPr>
            <w:tcW w:w="6840" w:type="dxa"/>
            <w:vAlign w:val="center"/>
          </w:tcPr>
          <w:p>
            <w:pPr>
              <w:pStyle w:val="16"/>
            </w:pPr>
            <w:r>
              <w:t>本年支出合计</w:t>
            </w:r>
          </w:p>
        </w:tc>
        <w:tc>
          <w:tcPr>
            <w:tcW w:w="1058" w:type="dxa"/>
            <w:vAlign w:val="center"/>
          </w:tcPr>
          <w:p>
            <w:pPr>
              <w:pStyle w:val="17"/>
              <w:rPr>
                <w:rFonts w:hint="default" w:eastAsia="方正书宋_GBK"/>
                <w:lang w:val="en-US" w:eastAsia="zh-CN"/>
              </w:rPr>
            </w:pPr>
            <w:r>
              <w:rPr>
                <w:rFonts w:hint="eastAsia"/>
                <w:lang w:val="en-US" w:eastAsia="zh-CN"/>
              </w:rPr>
              <w:t>229.71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33</w:t>
            </w:r>
          </w:p>
        </w:tc>
        <w:tc>
          <w:tcPr>
            <w:tcW w:w="3949" w:type="dxa"/>
            <w:vAlign w:val="center"/>
          </w:tcPr>
          <w:p>
            <w:pPr>
              <w:pStyle w:val="14"/>
            </w:pPr>
            <w:r>
              <w:t>上年结转结余</w:t>
            </w:r>
          </w:p>
        </w:tc>
        <w:tc>
          <w:tcPr>
            <w:tcW w:w="2373" w:type="dxa"/>
            <w:vAlign w:val="center"/>
          </w:tcPr>
          <w:p>
            <w:pPr>
              <w:pStyle w:val="13"/>
            </w:pPr>
          </w:p>
        </w:tc>
        <w:tc>
          <w:tcPr>
            <w:tcW w:w="6840" w:type="dxa"/>
            <w:vAlign w:val="center"/>
          </w:tcPr>
          <w:p>
            <w:pPr>
              <w:pStyle w:val="14"/>
            </w:pPr>
            <w:r>
              <w:t>年终结转结余</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34</w:t>
            </w:r>
          </w:p>
        </w:tc>
        <w:tc>
          <w:tcPr>
            <w:tcW w:w="3949" w:type="dxa"/>
            <w:vAlign w:val="center"/>
          </w:tcPr>
          <w:p>
            <w:pPr>
              <w:pStyle w:val="16"/>
            </w:pPr>
            <w:r>
              <w:t>收入总计</w:t>
            </w:r>
          </w:p>
        </w:tc>
        <w:tc>
          <w:tcPr>
            <w:tcW w:w="2373" w:type="dxa"/>
            <w:vAlign w:val="center"/>
          </w:tcPr>
          <w:p>
            <w:pPr>
              <w:pStyle w:val="17"/>
              <w:rPr>
                <w:rFonts w:hint="default" w:eastAsia="方正书宋_GBK"/>
                <w:lang w:val="en-US" w:eastAsia="zh-CN"/>
              </w:rPr>
            </w:pPr>
            <w:r>
              <w:rPr>
                <w:rFonts w:hint="eastAsia"/>
                <w:lang w:val="en-US" w:eastAsia="zh-CN"/>
              </w:rPr>
              <w:t>229.71</w:t>
            </w:r>
          </w:p>
        </w:tc>
        <w:tc>
          <w:tcPr>
            <w:tcW w:w="6840" w:type="dxa"/>
            <w:vAlign w:val="center"/>
          </w:tcPr>
          <w:p>
            <w:pPr>
              <w:pStyle w:val="16"/>
            </w:pPr>
            <w:r>
              <w:t>支出总计</w:t>
            </w:r>
          </w:p>
        </w:tc>
        <w:tc>
          <w:tcPr>
            <w:tcW w:w="1058" w:type="dxa"/>
            <w:vAlign w:val="center"/>
          </w:tcPr>
          <w:p>
            <w:pPr>
              <w:pStyle w:val="17"/>
              <w:rPr>
                <w:rFonts w:hint="default" w:eastAsia="方正书宋_GBK"/>
                <w:lang w:val="en-US" w:eastAsia="zh-CN"/>
              </w:rPr>
            </w:pPr>
            <w:r>
              <w:rPr>
                <w:rFonts w:hint="eastAsia"/>
                <w:lang w:val="en-US" w:eastAsia="zh-CN"/>
              </w:rPr>
              <w:t>229.71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300"/>
        <w:gridCol w:w="3824"/>
        <w:gridCol w:w="915"/>
        <w:gridCol w:w="840"/>
        <w:gridCol w:w="885"/>
        <w:gridCol w:w="870"/>
        <w:gridCol w:w="732"/>
        <w:gridCol w:w="1017"/>
        <w:gridCol w:w="1117"/>
        <w:gridCol w:w="1104"/>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1" w:type="dxa"/>
            <w:gridSpan w:val="5"/>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487"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05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tblHeader/>
          <w:jc w:val="center"/>
        </w:trPr>
        <w:tc>
          <w:tcPr>
            <w:tcW w:w="592" w:type="dxa"/>
            <w:vMerge w:val="restart"/>
            <w:vAlign w:val="center"/>
          </w:tcPr>
          <w:p>
            <w:pPr>
              <w:pStyle w:val="12"/>
            </w:pPr>
            <w:r>
              <w:t>序号</w:t>
            </w:r>
          </w:p>
        </w:tc>
        <w:tc>
          <w:tcPr>
            <w:tcW w:w="5124" w:type="dxa"/>
            <w:gridSpan w:val="2"/>
            <w:vAlign w:val="center"/>
          </w:tcPr>
          <w:p>
            <w:pPr>
              <w:pStyle w:val="12"/>
            </w:pPr>
            <w:r>
              <w:t>功能分类科目</w:t>
            </w:r>
          </w:p>
        </w:tc>
        <w:tc>
          <w:tcPr>
            <w:tcW w:w="915" w:type="dxa"/>
            <w:vMerge w:val="restart"/>
            <w:vAlign w:val="center"/>
          </w:tcPr>
          <w:p>
            <w:pPr>
              <w:pStyle w:val="12"/>
            </w:pPr>
            <w:r>
              <w:t>合计</w:t>
            </w:r>
          </w:p>
        </w:tc>
        <w:tc>
          <w:tcPr>
            <w:tcW w:w="7475" w:type="dxa"/>
            <w:gridSpan w:val="8"/>
            <w:vAlign w:val="center"/>
          </w:tcPr>
          <w:p>
            <w:pPr>
              <w:pStyle w:val="12"/>
            </w:pPr>
            <w:r>
              <w:t>本年收入</w:t>
            </w:r>
          </w:p>
        </w:tc>
        <w:tc>
          <w:tcPr>
            <w:tcW w:w="910"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tblHeader/>
          <w:jc w:val="center"/>
        </w:trPr>
        <w:tc>
          <w:tcPr>
            <w:tcW w:w="592" w:type="dxa"/>
            <w:vMerge w:val="continue"/>
          </w:tcPr>
          <w:p/>
        </w:tc>
        <w:tc>
          <w:tcPr>
            <w:tcW w:w="1300" w:type="dxa"/>
            <w:vAlign w:val="center"/>
          </w:tcPr>
          <w:p>
            <w:pPr>
              <w:pStyle w:val="12"/>
            </w:pPr>
            <w:r>
              <w:t>科目编码</w:t>
            </w:r>
          </w:p>
        </w:tc>
        <w:tc>
          <w:tcPr>
            <w:tcW w:w="3824" w:type="dxa"/>
            <w:vAlign w:val="center"/>
          </w:tcPr>
          <w:p>
            <w:pPr>
              <w:pStyle w:val="12"/>
            </w:pPr>
            <w:r>
              <w:t>科目名称</w:t>
            </w:r>
          </w:p>
        </w:tc>
        <w:tc>
          <w:tcPr>
            <w:tcW w:w="915" w:type="dxa"/>
            <w:vMerge w:val="continue"/>
          </w:tcPr>
          <w:p/>
        </w:tc>
        <w:tc>
          <w:tcPr>
            <w:tcW w:w="840" w:type="dxa"/>
            <w:vAlign w:val="center"/>
          </w:tcPr>
          <w:p>
            <w:pPr>
              <w:pStyle w:val="12"/>
            </w:pPr>
            <w:r>
              <w:t>小计</w:t>
            </w:r>
          </w:p>
        </w:tc>
        <w:tc>
          <w:tcPr>
            <w:tcW w:w="885" w:type="dxa"/>
            <w:vAlign w:val="center"/>
          </w:tcPr>
          <w:p>
            <w:pPr>
              <w:pStyle w:val="12"/>
            </w:pPr>
            <w:r>
              <w:t>财政拨款 收入</w:t>
            </w:r>
          </w:p>
        </w:tc>
        <w:tc>
          <w:tcPr>
            <w:tcW w:w="870" w:type="dxa"/>
            <w:vAlign w:val="center"/>
          </w:tcPr>
          <w:p>
            <w:pPr>
              <w:pStyle w:val="12"/>
            </w:pPr>
            <w:r>
              <w:t>财政专户收入</w:t>
            </w:r>
          </w:p>
        </w:tc>
        <w:tc>
          <w:tcPr>
            <w:tcW w:w="732" w:type="dxa"/>
            <w:vAlign w:val="center"/>
          </w:tcPr>
          <w:p>
            <w:pPr>
              <w:pStyle w:val="12"/>
            </w:pPr>
            <w:r>
              <w:t>事业收入</w:t>
            </w:r>
          </w:p>
        </w:tc>
        <w:tc>
          <w:tcPr>
            <w:tcW w:w="1017" w:type="dxa"/>
            <w:vAlign w:val="center"/>
          </w:tcPr>
          <w:p>
            <w:pPr>
              <w:pStyle w:val="12"/>
            </w:pPr>
            <w:r>
              <w:t>经营收入</w:t>
            </w:r>
          </w:p>
        </w:tc>
        <w:tc>
          <w:tcPr>
            <w:tcW w:w="1117" w:type="dxa"/>
            <w:vAlign w:val="center"/>
          </w:tcPr>
          <w:p>
            <w:pPr>
              <w:pStyle w:val="12"/>
            </w:pPr>
            <w:r>
              <w:t>上级补助收入</w:t>
            </w:r>
          </w:p>
        </w:tc>
        <w:tc>
          <w:tcPr>
            <w:tcW w:w="1104" w:type="dxa"/>
            <w:vAlign w:val="center"/>
          </w:tcPr>
          <w:p>
            <w:pPr>
              <w:pStyle w:val="12"/>
            </w:pPr>
            <w:r>
              <w:t>附属单位上缴收入</w:t>
            </w:r>
          </w:p>
        </w:tc>
        <w:tc>
          <w:tcPr>
            <w:tcW w:w="910" w:type="dxa"/>
            <w:vAlign w:val="center"/>
          </w:tcPr>
          <w:p>
            <w:pPr>
              <w:pStyle w:val="12"/>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2"/>
            </w:pPr>
            <w:r>
              <w:t>栏次</w:t>
            </w:r>
          </w:p>
        </w:tc>
        <w:tc>
          <w:tcPr>
            <w:tcW w:w="1300" w:type="dxa"/>
            <w:vAlign w:val="center"/>
          </w:tcPr>
          <w:p>
            <w:pPr>
              <w:pStyle w:val="12"/>
            </w:pPr>
            <w:r>
              <w:t>1</w:t>
            </w:r>
          </w:p>
        </w:tc>
        <w:tc>
          <w:tcPr>
            <w:tcW w:w="3824" w:type="dxa"/>
            <w:vAlign w:val="center"/>
          </w:tcPr>
          <w:p>
            <w:pPr>
              <w:pStyle w:val="12"/>
            </w:pPr>
            <w:r>
              <w:t>2</w:t>
            </w:r>
          </w:p>
        </w:tc>
        <w:tc>
          <w:tcPr>
            <w:tcW w:w="915" w:type="dxa"/>
            <w:vAlign w:val="center"/>
          </w:tcPr>
          <w:p>
            <w:pPr>
              <w:pStyle w:val="12"/>
            </w:pPr>
            <w:r>
              <w:t>3</w:t>
            </w:r>
          </w:p>
        </w:tc>
        <w:tc>
          <w:tcPr>
            <w:tcW w:w="840" w:type="dxa"/>
            <w:vAlign w:val="center"/>
          </w:tcPr>
          <w:p>
            <w:pPr>
              <w:pStyle w:val="12"/>
            </w:pPr>
            <w:r>
              <w:t>4</w:t>
            </w:r>
          </w:p>
        </w:tc>
        <w:tc>
          <w:tcPr>
            <w:tcW w:w="885" w:type="dxa"/>
            <w:vAlign w:val="center"/>
          </w:tcPr>
          <w:p>
            <w:pPr>
              <w:pStyle w:val="12"/>
            </w:pPr>
            <w:r>
              <w:t>5</w:t>
            </w:r>
          </w:p>
        </w:tc>
        <w:tc>
          <w:tcPr>
            <w:tcW w:w="870" w:type="dxa"/>
            <w:vAlign w:val="center"/>
          </w:tcPr>
          <w:p>
            <w:pPr>
              <w:pStyle w:val="12"/>
            </w:pPr>
            <w:r>
              <w:t>6</w:t>
            </w:r>
          </w:p>
        </w:tc>
        <w:tc>
          <w:tcPr>
            <w:tcW w:w="732" w:type="dxa"/>
            <w:vAlign w:val="center"/>
          </w:tcPr>
          <w:p>
            <w:pPr>
              <w:pStyle w:val="12"/>
            </w:pPr>
            <w:r>
              <w:t>7</w:t>
            </w:r>
          </w:p>
        </w:tc>
        <w:tc>
          <w:tcPr>
            <w:tcW w:w="1017" w:type="dxa"/>
            <w:vAlign w:val="center"/>
          </w:tcPr>
          <w:p>
            <w:pPr>
              <w:pStyle w:val="12"/>
            </w:pPr>
            <w:r>
              <w:t>8</w:t>
            </w:r>
          </w:p>
        </w:tc>
        <w:tc>
          <w:tcPr>
            <w:tcW w:w="1117" w:type="dxa"/>
            <w:vAlign w:val="center"/>
          </w:tcPr>
          <w:p>
            <w:pPr>
              <w:pStyle w:val="12"/>
            </w:pPr>
            <w:r>
              <w:t>9</w:t>
            </w:r>
          </w:p>
        </w:tc>
        <w:tc>
          <w:tcPr>
            <w:tcW w:w="1104" w:type="dxa"/>
            <w:vAlign w:val="center"/>
          </w:tcPr>
          <w:p>
            <w:pPr>
              <w:pStyle w:val="12"/>
            </w:pPr>
            <w:r>
              <w:t>10</w:t>
            </w:r>
          </w:p>
        </w:tc>
        <w:tc>
          <w:tcPr>
            <w:tcW w:w="910" w:type="dxa"/>
            <w:vAlign w:val="center"/>
          </w:tcPr>
          <w:p>
            <w:pPr>
              <w:pStyle w:val="12"/>
            </w:pPr>
            <w:r>
              <w:t>11</w:t>
            </w:r>
          </w:p>
        </w:tc>
        <w:tc>
          <w:tcPr>
            <w:tcW w:w="91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592" w:type="dxa"/>
            <w:vAlign w:val="center"/>
          </w:tcPr>
          <w:p>
            <w:pPr>
              <w:pStyle w:val="15"/>
            </w:pPr>
            <w:r>
              <w:t>1</w:t>
            </w:r>
          </w:p>
        </w:tc>
        <w:tc>
          <w:tcPr>
            <w:tcW w:w="1300" w:type="dxa"/>
            <w:vAlign w:val="center"/>
          </w:tcPr>
          <w:p>
            <w:pPr>
              <w:pStyle w:val="18"/>
            </w:pPr>
          </w:p>
        </w:tc>
        <w:tc>
          <w:tcPr>
            <w:tcW w:w="3824" w:type="dxa"/>
            <w:vAlign w:val="center"/>
          </w:tcPr>
          <w:p>
            <w:pPr>
              <w:pStyle w:val="16"/>
            </w:pPr>
            <w:r>
              <w:t>合计</w:t>
            </w:r>
          </w:p>
        </w:tc>
        <w:tc>
          <w:tcPr>
            <w:tcW w:w="91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40"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8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70" w:type="dxa"/>
            <w:vAlign w:val="center"/>
          </w:tcPr>
          <w:p>
            <w:pPr>
              <w:pStyle w:val="17"/>
            </w:pPr>
          </w:p>
        </w:tc>
        <w:tc>
          <w:tcPr>
            <w:tcW w:w="732" w:type="dxa"/>
            <w:vAlign w:val="center"/>
          </w:tcPr>
          <w:p>
            <w:pPr>
              <w:pStyle w:val="17"/>
            </w:pPr>
          </w:p>
        </w:tc>
        <w:tc>
          <w:tcPr>
            <w:tcW w:w="1017" w:type="dxa"/>
            <w:vAlign w:val="center"/>
          </w:tcPr>
          <w:p>
            <w:pPr>
              <w:pStyle w:val="17"/>
            </w:pPr>
          </w:p>
        </w:tc>
        <w:tc>
          <w:tcPr>
            <w:tcW w:w="1117" w:type="dxa"/>
            <w:vAlign w:val="center"/>
          </w:tcPr>
          <w:p>
            <w:pPr>
              <w:pStyle w:val="17"/>
            </w:pPr>
          </w:p>
        </w:tc>
        <w:tc>
          <w:tcPr>
            <w:tcW w:w="1104" w:type="dxa"/>
            <w:vAlign w:val="center"/>
          </w:tcPr>
          <w:p>
            <w:pPr>
              <w:pStyle w:val="17"/>
            </w:pPr>
          </w:p>
        </w:tc>
        <w:tc>
          <w:tcPr>
            <w:tcW w:w="910" w:type="dxa"/>
            <w:vAlign w:val="center"/>
          </w:tcPr>
          <w:p>
            <w:pPr>
              <w:pStyle w:val="17"/>
            </w:pPr>
          </w:p>
        </w:tc>
        <w:tc>
          <w:tcPr>
            <w:tcW w:w="91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2</w:t>
            </w:r>
          </w:p>
        </w:tc>
        <w:tc>
          <w:tcPr>
            <w:tcW w:w="1300" w:type="dxa"/>
            <w:vAlign w:val="center"/>
          </w:tcPr>
          <w:p>
            <w:pPr>
              <w:pStyle w:val="14"/>
              <w:jc w:val="both"/>
            </w:pPr>
            <w:r>
              <w:rPr>
                <w:rFonts w:hint="default"/>
                <w:lang w:val="en-US" w:eastAsia="zh-CN"/>
              </w:rPr>
              <w:t>201</w:t>
            </w:r>
          </w:p>
        </w:tc>
        <w:tc>
          <w:tcPr>
            <w:tcW w:w="3824" w:type="dxa"/>
            <w:vAlign w:val="center"/>
          </w:tcPr>
          <w:p>
            <w:pPr>
              <w:pStyle w:val="14"/>
              <w:jc w:val="both"/>
            </w:pPr>
            <w:r>
              <w:rPr>
                <w:rFonts w:hint="default"/>
                <w:lang w:val="en-US" w:eastAsia="zh-CN"/>
              </w:rPr>
              <w:t>一般公共服务支出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3</w:t>
            </w:r>
          </w:p>
        </w:tc>
        <w:tc>
          <w:tcPr>
            <w:tcW w:w="1300" w:type="dxa"/>
            <w:vAlign w:val="center"/>
          </w:tcPr>
          <w:p>
            <w:pPr>
              <w:pStyle w:val="14"/>
              <w:jc w:val="both"/>
            </w:pPr>
            <w:r>
              <w:rPr>
                <w:rFonts w:hint="default"/>
                <w:lang w:val="en-US" w:eastAsia="zh-CN"/>
              </w:rPr>
              <w:t>20132</w:t>
            </w:r>
          </w:p>
        </w:tc>
        <w:tc>
          <w:tcPr>
            <w:tcW w:w="3824" w:type="dxa"/>
            <w:vAlign w:val="center"/>
          </w:tcPr>
          <w:p>
            <w:pPr>
              <w:pStyle w:val="14"/>
              <w:jc w:val="both"/>
            </w:pPr>
            <w:r>
              <w:rPr>
                <w:rFonts w:hint="default"/>
                <w:lang w:val="en-US" w:eastAsia="zh-CN"/>
              </w:rPr>
              <w:t>组织事务</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4</w:t>
            </w:r>
          </w:p>
        </w:tc>
        <w:tc>
          <w:tcPr>
            <w:tcW w:w="1300" w:type="dxa"/>
            <w:vAlign w:val="center"/>
          </w:tcPr>
          <w:p>
            <w:pPr>
              <w:pStyle w:val="14"/>
              <w:jc w:val="both"/>
            </w:pPr>
            <w:r>
              <w:rPr>
                <w:rFonts w:hint="default"/>
                <w:lang w:val="en-US" w:eastAsia="zh-CN"/>
              </w:rPr>
              <w:t>2013201</w:t>
            </w:r>
          </w:p>
        </w:tc>
        <w:tc>
          <w:tcPr>
            <w:tcW w:w="3824" w:type="dxa"/>
            <w:vAlign w:val="center"/>
          </w:tcPr>
          <w:p>
            <w:pPr>
              <w:pStyle w:val="14"/>
              <w:jc w:val="both"/>
            </w:pPr>
            <w:r>
              <w:rPr>
                <w:rFonts w:hint="default"/>
                <w:lang w:val="en-US" w:eastAsia="zh-CN"/>
              </w:rPr>
              <w:t>行政运行</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5</w:t>
            </w:r>
          </w:p>
        </w:tc>
        <w:tc>
          <w:tcPr>
            <w:tcW w:w="1300" w:type="dxa"/>
            <w:vAlign w:val="center"/>
          </w:tcPr>
          <w:p>
            <w:pPr>
              <w:pStyle w:val="14"/>
              <w:jc w:val="both"/>
            </w:pPr>
            <w:r>
              <w:rPr>
                <w:rFonts w:hint="default"/>
                <w:lang w:val="en-US" w:eastAsia="zh-CN"/>
              </w:rPr>
              <w:t>2013299</w:t>
            </w:r>
          </w:p>
        </w:tc>
        <w:tc>
          <w:tcPr>
            <w:tcW w:w="3824" w:type="dxa"/>
            <w:vAlign w:val="center"/>
          </w:tcPr>
          <w:p>
            <w:pPr>
              <w:pStyle w:val="14"/>
              <w:jc w:val="both"/>
            </w:pPr>
            <w:r>
              <w:rPr>
                <w:rFonts w:hint="default"/>
                <w:lang w:val="en-US" w:eastAsia="zh-CN"/>
              </w:rPr>
              <w:t>其他组织事务支出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6</w:t>
            </w:r>
          </w:p>
        </w:tc>
        <w:tc>
          <w:tcPr>
            <w:tcW w:w="1300" w:type="dxa"/>
            <w:vAlign w:val="center"/>
          </w:tcPr>
          <w:p>
            <w:pPr>
              <w:pStyle w:val="14"/>
              <w:jc w:val="both"/>
            </w:pPr>
            <w:r>
              <w:rPr>
                <w:rFonts w:hint="default"/>
                <w:lang w:val="en-US" w:eastAsia="zh-CN"/>
              </w:rPr>
              <w:t>208</w:t>
            </w:r>
          </w:p>
        </w:tc>
        <w:tc>
          <w:tcPr>
            <w:tcW w:w="3824" w:type="dxa"/>
            <w:vAlign w:val="center"/>
          </w:tcPr>
          <w:p>
            <w:pPr>
              <w:pStyle w:val="14"/>
              <w:jc w:val="both"/>
            </w:pPr>
            <w:r>
              <w:rPr>
                <w:rFonts w:hint="default"/>
                <w:lang w:val="en-US" w:eastAsia="zh-CN"/>
              </w:rPr>
              <w:t>社会保障和就业支出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7</w:t>
            </w:r>
          </w:p>
        </w:tc>
        <w:tc>
          <w:tcPr>
            <w:tcW w:w="1300" w:type="dxa"/>
            <w:vAlign w:val="center"/>
          </w:tcPr>
          <w:p>
            <w:pPr>
              <w:pStyle w:val="14"/>
              <w:jc w:val="both"/>
            </w:pPr>
            <w:r>
              <w:rPr>
                <w:rFonts w:hint="default"/>
                <w:lang w:val="en-US" w:eastAsia="zh-CN"/>
              </w:rPr>
              <w:t>20805</w:t>
            </w:r>
          </w:p>
        </w:tc>
        <w:tc>
          <w:tcPr>
            <w:tcW w:w="3824" w:type="dxa"/>
            <w:vAlign w:val="center"/>
          </w:tcPr>
          <w:p>
            <w:pPr>
              <w:pStyle w:val="14"/>
              <w:jc w:val="both"/>
            </w:pPr>
            <w:r>
              <w:rPr>
                <w:rFonts w:hint="default"/>
                <w:lang w:val="en-US" w:eastAsia="zh-CN"/>
              </w:rPr>
              <w:t>行政事业单位养老支出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8</w:t>
            </w:r>
          </w:p>
        </w:tc>
        <w:tc>
          <w:tcPr>
            <w:tcW w:w="1300" w:type="dxa"/>
            <w:vAlign w:val="center"/>
          </w:tcPr>
          <w:p>
            <w:pPr>
              <w:pStyle w:val="14"/>
              <w:jc w:val="both"/>
            </w:pPr>
            <w:r>
              <w:rPr>
                <w:rFonts w:hint="default"/>
                <w:lang w:val="en-US" w:eastAsia="zh-CN"/>
              </w:rPr>
              <w:t>2080501</w:t>
            </w:r>
          </w:p>
        </w:tc>
        <w:tc>
          <w:tcPr>
            <w:tcW w:w="3824" w:type="dxa"/>
            <w:vAlign w:val="center"/>
          </w:tcPr>
          <w:p>
            <w:pPr>
              <w:pStyle w:val="14"/>
              <w:jc w:val="both"/>
            </w:pPr>
            <w:r>
              <w:rPr>
                <w:rFonts w:hint="default"/>
                <w:lang w:val="en-US" w:eastAsia="zh-CN"/>
              </w:rPr>
              <w:t>行政单位离退休</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9</w:t>
            </w:r>
          </w:p>
        </w:tc>
        <w:tc>
          <w:tcPr>
            <w:tcW w:w="1300" w:type="dxa"/>
            <w:vAlign w:val="center"/>
          </w:tcPr>
          <w:p>
            <w:pPr>
              <w:pStyle w:val="14"/>
              <w:jc w:val="both"/>
            </w:pPr>
            <w:r>
              <w:rPr>
                <w:rFonts w:hint="default"/>
                <w:lang w:val="en-US" w:eastAsia="zh-CN"/>
              </w:rPr>
              <w:t>2080505</w:t>
            </w:r>
          </w:p>
        </w:tc>
        <w:tc>
          <w:tcPr>
            <w:tcW w:w="3824" w:type="dxa"/>
            <w:vAlign w:val="center"/>
          </w:tcPr>
          <w:p>
            <w:pPr>
              <w:pStyle w:val="14"/>
              <w:jc w:val="both"/>
            </w:pPr>
            <w:r>
              <w:rPr>
                <w:rFonts w:hint="default"/>
                <w:lang w:val="en-US" w:eastAsia="zh-CN"/>
              </w:rPr>
              <w:t>机关事业单位基本养老保险缴费支出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592" w:type="dxa"/>
            <w:vAlign w:val="center"/>
          </w:tcPr>
          <w:p>
            <w:pPr>
              <w:pStyle w:val="15"/>
            </w:pPr>
            <w:r>
              <w:t>10</w:t>
            </w:r>
          </w:p>
        </w:tc>
        <w:tc>
          <w:tcPr>
            <w:tcW w:w="1300" w:type="dxa"/>
            <w:vAlign w:val="center"/>
          </w:tcPr>
          <w:p>
            <w:pPr>
              <w:pStyle w:val="14"/>
              <w:jc w:val="both"/>
            </w:pPr>
            <w:r>
              <w:rPr>
                <w:rFonts w:hint="default"/>
                <w:lang w:val="en-US" w:eastAsia="zh-CN"/>
              </w:rPr>
              <w:t>20827</w:t>
            </w:r>
          </w:p>
        </w:tc>
        <w:tc>
          <w:tcPr>
            <w:tcW w:w="3824" w:type="dxa"/>
            <w:vAlign w:val="center"/>
          </w:tcPr>
          <w:p>
            <w:pPr>
              <w:pStyle w:val="14"/>
              <w:jc w:val="both"/>
            </w:pPr>
            <w:r>
              <w:rPr>
                <w:rFonts w:hint="default"/>
                <w:lang w:val="en-US" w:eastAsia="zh-CN"/>
              </w:rPr>
              <w:t>财政对其他社会保险基金的补助</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11</w:t>
            </w:r>
          </w:p>
        </w:tc>
        <w:tc>
          <w:tcPr>
            <w:tcW w:w="1300" w:type="dxa"/>
            <w:vAlign w:val="center"/>
          </w:tcPr>
          <w:p>
            <w:pPr>
              <w:pStyle w:val="14"/>
              <w:jc w:val="both"/>
            </w:pPr>
            <w:r>
              <w:rPr>
                <w:rFonts w:hint="default"/>
                <w:lang w:val="en-US" w:eastAsia="zh-CN"/>
              </w:rPr>
              <w:t>2082702</w:t>
            </w:r>
          </w:p>
        </w:tc>
        <w:tc>
          <w:tcPr>
            <w:tcW w:w="3824" w:type="dxa"/>
            <w:vAlign w:val="center"/>
          </w:tcPr>
          <w:p>
            <w:pPr>
              <w:pStyle w:val="14"/>
              <w:jc w:val="both"/>
            </w:pPr>
            <w:r>
              <w:rPr>
                <w:rFonts w:hint="default"/>
                <w:lang w:val="en-US" w:eastAsia="zh-CN"/>
              </w:rPr>
              <w:t>财政对工伤保险基金的补助</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12</w:t>
            </w:r>
          </w:p>
        </w:tc>
        <w:tc>
          <w:tcPr>
            <w:tcW w:w="1300" w:type="dxa"/>
            <w:vAlign w:val="center"/>
          </w:tcPr>
          <w:p>
            <w:pPr>
              <w:pStyle w:val="14"/>
              <w:jc w:val="both"/>
            </w:pPr>
            <w:r>
              <w:rPr>
                <w:rFonts w:hint="default"/>
                <w:lang w:val="en-US" w:eastAsia="zh-CN"/>
              </w:rPr>
              <w:t>210</w:t>
            </w:r>
          </w:p>
        </w:tc>
        <w:tc>
          <w:tcPr>
            <w:tcW w:w="3824" w:type="dxa"/>
            <w:vAlign w:val="center"/>
          </w:tcPr>
          <w:p>
            <w:pPr>
              <w:pStyle w:val="14"/>
              <w:jc w:val="both"/>
            </w:pPr>
            <w:r>
              <w:rPr>
                <w:rFonts w:hint="default"/>
                <w:lang w:val="en-US" w:eastAsia="zh-CN"/>
              </w:rPr>
              <w:t>卫生健康支出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13</w:t>
            </w:r>
          </w:p>
        </w:tc>
        <w:tc>
          <w:tcPr>
            <w:tcW w:w="1300" w:type="dxa"/>
            <w:vAlign w:val="center"/>
          </w:tcPr>
          <w:p>
            <w:pPr>
              <w:pStyle w:val="14"/>
              <w:jc w:val="both"/>
            </w:pPr>
            <w:r>
              <w:rPr>
                <w:rFonts w:hint="default"/>
                <w:lang w:val="en-US" w:eastAsia="zh-CN"/>
              </w:rPr>
              <w:t>21011</w:t>
            </w:r>
          </w:p>
        </w:tc>
        <w:tc>
          <w:tcPr>
            <w:tcW w:w="3824" w:type="dxa"/>
            <w:vAlign w:val="center"/>
          </w:tcPr>
          <w:p>
            <w:pPr>
              <w:pStyle w:val="14"/>
              <w:jc w:val="both"/>
            </w:pPr>
            <w:r>
              <w:rPr>
                <w:rFonts w:hint="default"/>
                <w:lang w:val="en-US" w:eastAsia="zh-CN"/>
              </w:rPr>
              <w:t>行政事业单位医疗</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14</w:t>
            </w:r>
          </w:p>
        </w:tc>
        <w:tc>
          <w:tcPr>
            <w:tcW w:w="1300" w:type="dxa"/>
            <w:vAlign w:val="center"/>
          </w:tcPr>
          <w:p>
            <w:pPr>
              <w:pStyle w:val="14"/>
              <w:jc w:val="both"/>
              <w:rPr>
                <w:rFonts w:hint="default"/>
                <w:lang w:val="en-US" w:eastAsia="zh-CN"/>
              </w:rPr>
            </w:pPr>
            <w:r>
              <w:rPr>
                <w:rFonts w:hint="default"/>
                <w:lang w:val="en-US" w:eastAsia="zh-CN"/>
              </w:rPr>
              <w:t>2101101</w:t>
            </w:r>
          </w:p>
        </w:tc>
        <w:tc>
          <w:tcPr>
            <w:tcW w:w="3824" w:type="dxa"/>
            <w:vAlign w:val="center"/>
          </w:tcPr>
          <w:p>
            <w:pPr>
              <w:pStyle w:val="14"/>
              <w:jc w:val="both"/>
              <w:rPr>
                <w:rFonts w:hint="default"/>
                <w:lang w:val="en-US" w:eastAsia="zh-CN"/>
              </w:rPr>
            </w:pPr>
            <w:r>
              <w:rPr>
                <w:rFonts w:hint="default"/>
                <w:lang w:val="en-US" w:eastAsia="zh-CN"/>
              </w:rPr>
              <w:t>行政单位医疗</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jc w:val="both"/>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15</w:t>
            </w:r>
          </w:p>
        </w:tc>
        <w:tc>
          <w:tcPr>
            <w:tcW w:w="1300" w:type="dxa"/>
            <w:vAlign w:val="center"/>
          </w:tcPr>
          <w:p>
            <w:pPr>
              <w:pStyle w:val="15"/>
              <w:jc w:val="both"/>
            </w:pPr>
            <w:r>
              <w:rPr>
                <w:rFonts w:hint="default"/>
                <w:lang w:val="en-US" w:eastAsia="zh-CN"/>
              </w:rPr>
              <w:t>221</w:t>
            </w:r>
          </w:p>
        </w:tc>
        <w:tc>
          <w:tcPr>
            <w:tcW w:w="3824" w:type="dxa"/>
            <w:vAlign w:val="center"/>
          </w:tcPr>
          <w:p>
            <w:pPr>
              <w:pStyle w:val="15"/>
              <w:jc w:val="both"/>
            </w:pPr>
            <w:r>
              <w:rPr>
                <w:rFonts w:hint="default"/>
                <w:lang w:val="en-US" w:eastAsia="zh-CN"/>
              </w:rPr>
              <w:t>住房保障支出</w:t>
            </w:r>
          </w:p>
        </w:tc>
        <w:tc>
          <w:tcPr>
            <w:tcW w:w="915" w:type="dxa"/>
            <w:vAlign w:val="center"/>
          </w:tcPr>
          <w:p>
            <w:pPr>
              <w:pStyle w:val="15"/>
              <w:jc w:val="both"/>
            </w:pPr>
            <w:r>
              <w:rPr>
                <w:rFonts w:hint="default"/>
                <w:lang w:val="en-US" w:eastAsia="zh-CN"/>
              </w:rPr>
              <w:t>13.59</w:t>
            </w:r>
          </w:p>
        </w:tc>
        <w:tc>
          <w:tcPr>
            <w:tcW w:w="840" w:type="dxa"/>
            <w:vAlign w:val="center"/>
          </w:tcPr>
          <w:p>
            <w:pPr>
              <w:pStyle w:val="15"/>
              <w:jc w:val="both"/>
            </w:pPr>
            <w:r>
              <w:rPr>
                <w:rFonts w:hint="default"/>
                <w:lang w:val="en-US" w:eastAsia="zh-CN"/>
              </w:rPr>
              <w:t>13.59</w:t>
            </w:r>
          </w:p>
        </w:tc>
        <w:tc>
          <w:tcPr>
            <w:tcW w:w="885" w:type="dxa"/>
            <w:vAlign w:val="center"/>
          </w:tcPr>
          <w:p>
            <w:pPr>
              <w:pStyle w:val="15"/>
              <w:jc w:val="both"/>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rPr>
                <w:rFonts w:hint="default" w:eastAsia="方正书宋_GBK"/>
                <w:lang w:val="en-US" w:eastAsia="zh-CN"/>
              </w:rPr>
            </w:pPr>
            <w:r>
              <w:rPr>
                <w:rFonts w:hint="eastAsia"/>
                <w:lang w:val="en-US" w:eastAsia="zh-CN"/>
              </w:rPr>
              <w:t>16</w:t>
            </w:r>
          </w:p>
        </w:tc>
        <w:tc>
          <w:tcPr>
            <w:tcW w:w="1300" w:type="dxa"/>
            <w:vAlign w:val="center"/>
          </w:tcPr>
          <w:p>
            <w:pPr>
              <w:pStyle w:val="15"/>
              <w:jc w:val="both"/>
            </w:pPr>
            <w:r>
              <w:rPr>
                <w:rFonts w:hint="default"/>
                <w:lang w:val="en-US" w:eastAsia="zh-CN"/>
              </w:rPr>
              <w:t>22102</w:t>
            </w:r>
          </w:p>
        </w:tc>
        <w:tc>
          <w:tcPr>
            <w:tcW w:w="3824" w:type="dxa"/>
            <w:vAlign w:val="center"/>
          </w:tcPr>
          <w:p>
            <w:pPr>
              <w:pStyle w:val="15"/>
              <w:jc w:val="both"/>
            </w:pPr>
            <w:r>
              <w:rPr>
                <w:rFonts w:hint="default"/>
                <w:lang w:val="en-US" w:eastAsia="zh-CN"/>
              </w:rPr>
              <w:t>住房改革支出</w:t>
            </w:r>
          </w:p>
        </w:tc>
        <w:tc>
          <w:tcPr>
            <w:tcW w:w="915" w:type="dxa"/>
            <w:vAlign w:val="center"/>
          </w:tcPr>
          <w:p>
            <w:pPr>
              <w:pStyle w:val="15"/>
              <w:jc w:val="both"/>
              <w:rPr>
                <w:rFonts w:hint="default"/>
                <w:lang w:val="en-US" w:eastAsia="zh-CN"/>
              </w:rPr>
            </w:pPr>
            <w:r>
              <w:rPr>
                <w:rFonts w:hint="default"/>
                <w:lang w:val="en-US" w:eastAsia="zh-CN"/>
              </w:rPr>
              <w:t>13.59</w:t>
            </w:r>
          </w:p>
        </w:tc>
        <w:tc>
          <w:tcPr>
            <w:tcW w:w="840" w:type="dxa"/>
            <w:vAlign w:val="center"/>
          </w:tcPr>
          <w:p>
            <w:pPr>
              <w:pStyle w:val="15"/>
              <w:jc w:val="both"/>
              <w:rPr>
                <w:rFonts w:hint="default"/>
                <w:lang w:val="en-US" w:eastAsia="zh-CN"/>
              </w:rPr>
            </w:pPr>
            <w:r>
              <w:rPr>
                <w:rFonts w:hint="default"/>
                <w:lang w:val="en-US" w:eastAsia="zh-CN"/>
              </w:rPr>
              <w:t>13.59</w:t>
            </w:r>
          </w:p>
        </w:tc>
        <w:tc>
          <w:tcPr>
            <w:tcW w:w="885" w:type="dxa"/>
            <w:vAlign w:val="center"/>
          </w:tcPr>
          <w:p>
            <w:pPr>
              <w:pStyle w:val="15"/>
              <w:jc w:val="both"/>
              <w:rPr>
                <w:rFonts w:hint="default"/>
                <w:lang w:val="en-US" w:eastAsia="zh-CN"/>
              </w:rPr>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rPr>
                <w:rFonts w:hint="eastAsia" w:eastAsia="方正书宋_GBK"/>
                <w:lang w:val="en-US" w:eastAsia="zh-CN"/>
              </w:rPr>
            </w:pPr>
            <w:r>
              <w:t>1</w:t>
            </w:r>
            <w:r>
              <w:rPr>
                <w:rFonts w:hint="eastAsia"/>
                <w:lang w:val="en-US" w:eastAsia="zh-CN"/>
              </w:rPr>
              <w:t>7</w:t>
            </w:r>
          </w:p>
        </w:tc>
        <w:tc>
          <w:tcPr>
            <w:tcW w:w="1300" w:type="dxa"/>
            <w:vAlign w:val="center"/>
          </w:tcPr>
          <w:p>
            <w:pPr>
              <w:pStyle w:val="15"/>
              <w:jc w:val="both"/>
            </w:pPr>
            <w:r>
              <w:rPr>
                <w:rFonts w:hint="default"/>
                <w:lang w:val="en-US" w:eastAsia="zh-CN"/>
              </w:rPr>
              <w:t>2210201</w:t>
            </w:r>
          </w:p>
        </w:tc>
        <w:tc>
          <w:tcPr>
            <w:tcW w:w="3824" w:type="dxa"/>
            <w:vAlign w:val="center"/>
          </w:tcPr>
          <w:p>
            <w:pPr>
              <w:pStyle w:val="15"/>
              <w:jc w:val="both"/>
            </w:pPr>
            <w:r>
              <w:rPr>
                <w:rFonts w:hint="default"/>
                <w:lang w:val="en-US" w:eastAsia="zh-CN"/>
              </w:rPr>
              <w:t>住房公积金</w:t>
            </w:r>
          </w:p>
        </w:tc>
        <w:tc>
          <w:tcPr>
            <w:tcW w:w="915" w:type="dxa"/>
            <w:vAlign w:val="center"/>
          </w:tcPr>
          <w:p>
            <w:pPr>
              <w:pStyle w:val="15"/>
              <w:jc w:val="both"/>
            </w:pPr>
            <w:r>
              <w:rPr>
                <w:rFonts w:hint="default"/>
                <w:lang w:val="en-US" w:eastAsia="zh-CN"/>
              </w:rPr>
              <w:t>13.59</w:t>
            </w:r>
          </w:p>
        </w:tc>
        <w:tc>
          <w:tcPr>
            <w:tcW w:w="840" w:type="dxa"/>
            <w:vAlign w:val="center"/>
          </w:tcPr>
          <w:p>
            <w:pPr>
              <w:pStyle w:val="15"/>
              <w:jc w:val="both"/>
            </w:pPr>
            <w:r>
              <w:rPr>
                <w:rFonts w:hint="default"/>
                <w:lang w:val="en-US" w:eastAsia="zh-CN"/>
              </w:rPr>
              <w:t>13.59</w:t>
            </w:r>
          </w:p>
        </w:tc>
        <w:tc>
          <w:tcPr>
            <w:tcW w:w="885" w:type="dxa"/>
            <w:vAlign w:val="center"/>
          </w:tcPr>
          <w:p>
            <w:pPr>
              <w:pStyle w:val="15"/>
              <w:jc w:val="both"/>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1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7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5462" w:type="dxa"/>
            <w:gridSpan w:val="2"/>
            <w:vAlign w:val="center"/>
          </w:tcPr>
          <w:p>
            <w:pPr>
              <w:pStyle w:val="12"/>
            </w:pPr>
            <w:r>
              <w:t>功能分类科目</w:t>
            </w:r>
          </w:p>
        </w:tc>
        <w:tc>
          <w:tcPr>
            <w:tcW w:w="858" w:type="dxa"/>
            <w:vMerge w:val="restart"/>
            <w:vAlign w:val="center"/>
          </w:tcPr>
          <w:p>
            <w:pPr>
              <w:pStyle w:val="12"/>
            </w:pPr>
            <w:r>
              <w:t>合计</w:t>
            </w:r>
          </w:p>
        </w:tc>
        <w:tc>
          <w:tcPr>
            <w:tcW w:w="1264" w:type="dxa"/>
            <w:vMerge w:val="restart"/>
            <w:vAlign w:val="center"/>
          </w:tcPr>
          <w:p>
            <w:pPr>
              <w:pStyle w:val="12"/>
            </w:pPr>
            <w:r>
              <w:t>基本支出</w:t>
            </w:r>
          </w:p>
        </w:tc>
        <w:tc>
          <w:tcPr>
            <w:tcW w:w="1181" w:type="dxa"/>
            <w:vMerge w:val="restart"/>
            <w:vAlign w:val="center"/>
          </w:tcPr>
          <w:p>
            <w:pPr>
              <w:pStyle w:val="12"/>
            </w:pPr>
            <w:r>
              <w:t>项目支出</w:t>
            </w:r>
          </w:p>
        </w:tc>
        <w:tc>
          <w:tcPr>
            <w:tcW w:w="1181" w:type="dxa"/>
            <w:vMerge w:val="restart"/>
            <w:vAlign w:val="center"/>
          </w:tcPr>
          <w:p>
            <w:pPr>
              <w:pStyle w:val="12"/>
            </w:pPr>
            <w:r>
              <w:t>经营支出</w:t>
            </w:r>
          </w:p>
        </w:tc>
        <w:tc>
          <w:tcPr>
            <w:tcW w:w="2002" w:type="dxa"/>
            <w:vMerge w:val="restart"/>
            <w:vAlign w:val="center"/>
          </w:tcPr>
          <w:p>
            <w:pPr>
              <w:pStyle w:val="12"/>
            </w:pPr>
            <w:r>
              <w:t>上解上级     支出</w:t>
            </w:r>
          </w:p>
        </w:tc>
        <w:tc>
          <w:tcPr>
            <w:tcW w:w="23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2"/>
            </w:pPr>
            <w:r>
              <w:t>科目编码</w:t>
            </w:r>
          </w:p>
        </w:tc>
        <w:tc>
          <w:tcPr>
            <w:tcW w:w="4000" w:type="dxa"/>
            <w:vAlign w:val="center"/>
          </w:tcPr>
          <w:p>
            <w:pPr>
              <w:pStyle w:val="12"/>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462" w:type="dxa"/>
            <w:vAlign w:val="center"/>
          </w:tcPr>
          <w:p>
            <w:pPr>
              <w:pStyle w:val="12"/>
            </w:pPr>
            <w:r>
              <w:t>1</w:t>
            </w:r>
          </w:p>
        </w:tc>
        <w:tc>
          <w:tcPr>
            <w:tcW w:w="4000" w:type="dxa"/>
            <w:vAlign w:val="center"/>
          </w:tcPr>
          <w:p>
            <w:pPr>
              <w:pStyle w:val="12"/>
            </w:pPr>
            <w:r>
              <w:t>2</w:t>
            </w:r>
          </w:p>
        </w:tc>
        <w:tc>
          <w:tcPr>
            <w:tcW w:w="858" w:type="dxa"/>
            <w:vAlign w:val="center"/>
          </w:tcPr>
          <w:p>
            <w:pPr>
              <w:pStyle w:val="12"/>
            </w:pPr>
            <w:r>
              <w:t>3</w:t>
            </w:r>
          </w:p>
        </w:tc>
        <w:tc>
          <w:tcPr>
            <w:tcW w:w="1264" w:type="dxa"/>
            <w:vAlign w:val="center"/>
          </w:tcPr>
          <w:p>
            <w:pPr>
              <w:pStyle w:val="12"/>
            </w:pPr>
            <w:r>
              <w:t>4</w:t>
            </w:r>
          </w:p>
        </w:tc>
        <w:tc>
          <w:tcPr>
            <w:tcW w:w="1181" w:type="dxa"/>
            <w:vAlign w:val="center"/>
          </w:tcPr>
          <w:p>
            <w:pPr>
              <w:pStyle w:val="12"/>
            </w:pPr>
            <w:r>
              <w:t>5</w:t>
            </w:r>
          </w:p>
        </w:tc>
        <w:tc>
          <w:tcPr>
            <w:tcW w:w="1181" w:type="dxa"/>
            <w:vAlign w:val="center"/>
          </w:tcPr>
          <w:p>
            <w:pPr>
              <w:pStyle w:val="12"/>
            </w:pPr>
            <w:r>
              <w:t>6</w:t>
            </w:r>
          </w:p>
        </w:tc>
        <w:tc>
          <w:tcPr>
            <w:tcW w:w="2002" w:type="dxa"/>
            <w:vAlign w:val="center"/>
          </w:tcPr>
          <w:p>
            <w:pPr>
              <w:pStyle w:val="12"/>
            </w:pPr>
            <w:r>
              <w:t>7</w:t>
            </w:r>
          </w:p>
        </w:tc>
        <w:tc>
          <w:tcPr>
            <w:tcW w:w="23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462" w:type="dxa"/>
            <w:vAlign w:val="center"/>
          </w:tcPr>
          <w:p>
            <w:pPr>
              <w:pStyle w:val="18"/>
            </w:pPr>
          </w:p>
        </w:tc>
        <w:tc>
          <w:tcPr>
            <w:tcW w:w="4000" w:type="dxa"/>
            <w:vAlign w:val="center"/>
          </w:tcPr>
          <w:p>
            <w:pPr>
              <w:pStyle w:val="16"/>
            </w:pPr>
            <w:r>
              <w:t>合计</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229.71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204.35</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7"/>
            </w:pPr>
          </w:p>
        </w:tc>
        <w:tc>
          <w:tcPr>
            <w:tcW w:w="23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462" w:type="dxa"/>
            <w:vAlign w:val="center"/>
          </w:tcPr>
          <w:p>
            <w:pPr>
              <w:pStyle w:val="15"/>
              <w:jc w:val="both"/>
            </w:pPr>
            <w:r>
              <w:rPr>
                <w:rFonts w:hint="default"/>
                <w:lang w:val="en-US" w:eastAsia="zh-CN"/>
              </w:rPr>
              <w:t>201</w:t>
            </w:r>
          </w:p>
        </w:tc>
        <w:tc>
          <w:tcPr>
            <w:tcW w:w="4000" w:type="dxa"/>
            <w:vAlign w:val="center"/>
          </w:tcPr>
          <w:p>
            <w:pPr>
              <w:pStyle w:val="15"/>
              <w:jc w:val="both"/>
            </w:pPr>
            <w:r>
              <w:rPr>
                <w:rFonts w:hint="default"/>
                <w:lang w:val="en-US" w:eastAsia="zh-CN"/>
              </w:rPr>
              <w:t>一般公共服务支出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462" w:type="dxa"/>
            <w:vAlign w:val="center"/>
          </w:tcPr>
          <w:p>
            <w:pPr>
              <w:pStyle w:val="15"/>
              <w:jc w:val="both"/>
            </w:pPr>
            <w:r>
              <w:rPr>
                <w:rFonts w:hint="default"/>
                <w:lang w:val="en-US" w:eastAsia="zh-CN"/>
              </w:rPr>
              <w:t>20132</w:t>
            </w:r>
          </w:p>
        </w:tc>
        <w:tc>
          <w:tcPr>
            <w:tcW w:w="4000" w:type="dxa"/>
            <w:vAlign w:val="center"/>
          </w:tcPr>
          <w:p>
            <w:pPr>
              <w:pStyle w:val="15"/>
              <w:jc w:val="both"/>
            </w:pPr>
            <w:r>
              <w:rPr>
                <w:rFonts w:hint="default"/>
                <w:lang w:val="en-US" w:eastAsia="zh-CN"/>
              </w:rPr>
              <w:t>组织事务</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462" w:type="dxa"/>
            <w:vAlign w:val="center"/>
          </w:tcPr>
          <w:p>
            <w:pPr>
              <w:pStyle w:val="15"/>
              <w:jc w:val="both"/>
            </w:pPr>
            <w:r>
              <w:rPr>
                <w:rFonts w:hint="default"/>
                <w:lang w:val="en-US" w:eastAsia="zh-CN"/>
              </w:rPr>
              <w:t>2013201</w:t>
            </w:r>
          </w:p>
        </w:tc>
        <w:tc>
          <w:tcPr>
            <w:tcW w:w="4000" w:type="dxa"/>
            <w:vAlign w:val="center"/>
          </w:tcPr>
          <w:p>
            <w:pPr>
              <w:pStyle w:val="15"/>
              <w:jc w:val="both"/>
            </w:pPr>
            <w:r>
              <w:rPr>
                <w:rFonts w:hint="default"/>
                <w:lang w:val="en-US" w:eastAsia="zh-CN"/>
              </w:rPr>
              <w:t>行政运行</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462" w:type="dxa"/>
            <w:vAlign w:val="center"/>
          </w:tcPr>
          <w:p>
            <w:pPr>
              <w:pStyle w:val="15"/>
              <w:jc w:val="both"/>
            </w:pPr>
            <w:r>
              <w:rPr>
                <w:rFonts w:hint="default"/>
                <w:lang w:val="en-US" w:eastAsia="zh-CN"/>
              </w:rPr>
              <w:t>2013299</w:t>
            </w:r>
          </w:p>
        </w:tc>
        <w:tc>
          <w:tcPr>
            <w:tcW w:w="4000" w:type="dxa"/>
            <w:vAlign w:val="center"/>
          </w:tcPr>
          <w:p>
            <w:pPr>
              <w:pStyle w:val="15"/>
              <w:jc w:val="both"/>
            </w:pPr>
            <w:r>
              <w:rPr>
                <w:rFonts w:hint="default"/>
                <w:lang w:val="en-US" w:eastAsia="zh-CN"/>
              </w:rPr>
              <w:t>其他组织事务支出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264" w:type="dxa"/>
            <w:vAlign w:val="center"/>
          </w:tcPr>
          <w:p>
            <w:pPr>
              <w:jc w:val="both"/>
            </w:pP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462" w:type="dxa"/>
            <w:vAlign w:val="center"/>
          </w:tcPr>
          <w:p>
            <w:pPr>
              <w:pStyle w:val="15"/>
              <w:jc w:val="both"/>
            </w:pPr>
            <w:r>
              <w:rPr>
                <w:rFonts w:hint="default"/>
                <w:lang w:val="en-US" w:eastAsia="zh-CN"/>
              </w:rPr>
              <w:t>208</w:t>
            </w:r>
          </w:p>
        </w:tc>
        <w:tc>
          <w:tcPr>
            <w:tcW w:w="4000" w:type="dxa"/>
            <w:vAlign w:val="center"/>
          </w:tcPr>
          <w:p>
            <w:pPr>
              <w:pStyle w:val="15"/>
              <w:jc w:val="both"/>
            </w:pPr>
            <w:r>
              <w:rPr>
                <w:rFonts w:hint="default"/>
                <w:lang w:val="en-US" w:eastAsia="zh-CN"/>
              </w:rPr>
              <w:t>社会保障和就业支出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712" w:type="dxa"/>
            <w:vAlign w:val="center"/>
          </w:tcPr>
          <w:p>
            <w:pPr>
              <w:pStyle w:val="15"/>
            </w:pPr>
            <w:r>
              <w:t>7</w:t>
            </w:r>
          </w:p>
        </w:tc>
        <w:tc>
          <w:tcPr>
            <w:tcW w:w="1462" w:type="dxa"/>
            <w:vAlign w:val="center"/>
          </w:tcPr>
          <w:p>
            <w:pPr>
              <w:pStyle w:val="15"/>
              <w:jc w:val="both"/>
            </w:pPr>
            <w:r>
              <w:rPr>
                <w:rFonts w:hint="default"/>
                <w:lang w:val="en-US" w:eastAsia="zh-CN"/>
              </w:rPr>
              <w:t>20805</w:t>
            </w:r>
          </w:p>
        </w:tc>
        <w:tc>
          <w:tcPr>
            <w:tcW w:w="4000" w:type="dxa"/>
            <w:vAlign w:val="center"/>
          </w:tcPr>
          <w:p>
            <w:pPr>
              <w:pStyle w:val="15"/>
              <w:jc w:val="both"/>
            </w:pPr>
            <w:r>
              <w:rPr>
                <w:rFonts w:hint="default"/>
                <w:lang w:val="en-US" w:eastAsia="zh-CN"/>
              </w:rPr>
              <w:t>行政事业单位养老支出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462" w:type="dxa"/>
            <w:vAlign w:val="center"/>
          </w:tcPr>
          <w:p>
            <w:pPr>
              <w:pStyle w:val="15"/>
              <w:jc w:val="both"/>
            </w:pPr>
            <w:r>
              <w:rPr>
                <w:rFonts w:hint="default"/>
                <w:lang w:val="en-US" w:eastAsia="zh-CN"/>
              </w:rPr>
              <w:t>2080501</w:t>
            </w:r>
          </w:p>
        </w:tc>
        <w:tc>
          <w:tcPr>
            <w:tcW w:w="4000" w:type="dxa"/>
            <w:vAlign w:val="center"/>
          </w:tcPr>
          <w:p>
            <w:pPr>
              <w:pStyle w:val="15"/>
              <w:jc w:val="both"/>
            </w:pPr>
            <w:r>
              <w:rPr>
                <w:rFonts w:hint="default"/>
                <w:lang w:val="en-US" w:eastAsia="zh-CN"/>
              </w:rPr>
              <w:t>行政单位离退休</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462" w:type="dxa"/>
            <w:vAlign w:val="center"/>
          </w:tcPr>
          <w:p>
            <w:pPr>
              <w:pStyle w:val="15"/>
              <w:jc w:val="both"/>
            </w:pPr>
            <w:r>
              <w:rPr>
                <w:rFonts w:hint="default"/>
                <w:lang w:val="en-US" w:eastAsia="zh-CN"/>
              </w:rPr>
              <w:t>2080505</w:t>
            </w:r>
          </w:p>
        </w:tc>
        <w:tc>
          <w:tcPr>
            <w:tcW w:w="4000" w:type="dxa"/>
            <w:vAlign w:val="center"/>
          </w:tcPr>
          <w:p>
            <w:pPr>
              <w:pStyle w:val="15"/>
              <w:jc w:val="both"/>
            </w:pPr>
            <w:r>
              <w:rPr>
                <w:rFonts w:hint="default"/>
                <w:lang w:val="en-US" w:eastAsia="zh-CN"/>
              </w:rPr>
              <w:t>机关事业单位基本养老保险缴费支出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462" w:type="dxa"/>
            <w:vAlign w:val="center"/>
          </w:tcPr>
          <w:p>
            <w:pPr>
              <w:pStyle w:val="15"/>
              <w:jc w:val="both"/>
            </w:pPr>
            <w:r>
              <w:rPr>
                <w:rFonts w:hint="default"/>
                <w:lang w:val="en-US" w:eastAsia="zh-CN"/>
              </w:rPr>
              <w:t>20827</w:t>
            </w:r>
          </w:p>
        </w:tc>
        <w:tc>
          <w:tcPr>
            <w:tcW w:w="4000" w:type="dxa"/>
            <w:vAlign w:val="center"/>
          </w:tcPr>
          <w:p>
            <w:pPr>
              <w:pStyle w:val="15"/>
              <w:jc w:val="both"/>
            </w:pPr>
            <w:r>
              <w:rPr>
                <w:rFonts w:hint="default"/>
                <w:lang w:val="en-US" w:eastAsia="zh-CN"/>
              </w:rPr>
              <w:t>财政对其他社会保险基金的补助</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462" w:type="dxa"/>
            <w:vAlign w:val="center"/>
          </w:tcPr>
          <w:p>
            <w:pPr>
              <w:pStyle w:val="15"/>
              <w:jc w:val="both"/>
            </w:pPr>
            <w:r>
              <w:rPr>
                <w:rFonts w:hint="default"/>
                <w:lang w:val="en-US" w:eastAsia="zh-CN"/>
              </w:rPr>
              <w:t>2082702</w:t>
            </w:r>
          </w:p>
        </w:tc>
        <w:tc>
          <w:tcPr>
            <w:tcW w:w="4000" w:type="dxa"/>
            <w:vAlign w:val="center"/>
          </w:tcPr>
          <w:p>
            <w:pPr>
              <w:pStyle w:val="15"/>
              <w:jc w:val="both"/>
            </w:pPr>
            <w:r>
              <w:rPr>
                <w:rFonts w:hint="default"/>
                <w:lang w:val="en-US" w:eastAsia="zh-CN"/>
              </w:rPr>
              <w:t>财政对工伤保险基金的补助</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462" w:type="dxa"/>
            <w:vAlign w:val="center"/>
          </w:tcPr>
          <w:p>
            <w:pPr>
              <w:pStyle w:val="15"/>
              <w:jc w:val="both"/>
            </w:pPr>
            <w:r>
              <w:rPr>
                <w:rFonts w:hint="default"/>
                <w:lang w:val="en-US" w:eastAsia="zh-CN"/>
              </w:rPr>
              <w:t>210</w:t>
            </w:r>
          </w:p>
        </w:tc>
        <w:tc>
          <w:tcPr>
            <w:tcW w:w="4000" w:type="dxa"/>
            <w:vAlign w:val="center"/>
          </w:tcPr>
          <w:p>
            <w:pPr>
              <w:pStyle w:val="15"/>
              <w:jc w:val="both"/>
            </w:pPr>
            <w:r>
              <w:rPr>
                <w:rFonts w:hint="default"/>
                <w:lang w:val="en-US" w:eastAsia="zh-CN"/>
              </w:rPr>
              <w:t>卫生健康支出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462" w:type="dxa"/>
            <w:vAlign w:val="center"/>
          </w:tcPr>
          <w:p>
            <w:pPr>
              <w:pStyle w:val="15"/>
              <w:jc w:val="both"/>
            </w:pPr>
            <w:r>
              <w:rPr>
                <w:rFonts w:hint="default"/>
                <w:lang w:val="en-US" w:eastAsia="zh-CN"/>
              </w:rPr>
              <w:t>21011</w:t>
            </w:r>
          </w:p>
        </w:tc>
        <w:tc>
          <w:tcPr>
            <w:tcW w:w="4000" w:type="dxa"/>
            <w:vAlign w:val="center"/>
          </w:tcPr>
          <w:p>
            <w:pPr>
              <w:pStyle w:val="15"/>
              <w:jc w:val="both"/>
            </w:pPr>
            <w:r>
              <w:rPr>
                <w:rFonts w:hint="default"/>
                <w:lang w:val="en-US" w:eastAsia="zh-CN"/>
              </w:rPr>
              <w:t>行政事业单位医疗</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14</w:t>
            </w:r>
          </w:p>
        </w:tc>
        <w:tc>
          <w:tcPr>
            <w:tcW w:w="1462" w:type="dxa"/>
            <w:vAlign w:val="center"/>
          </w:tcPr>
          <w:p>
            <w:pPr>
              <w:pStyle w:val="15"/>
              <w:jc w:val="both"/>
            </w:pPr>
            <w:r>
              <w:rPr>
                <w:rFonts w:hint="default"/>
                <w:lang w:val="en-US" w:eastAsia="zh-CN"/>
              </w:rPr>
              <w:t>2101101</w:t>
            </w:r>
          </w:p>
        </w:tc>
        <w:tc>
          <w:tcPr>
            <w:tcW w:w="4000" w:type="dxa"/>
            <w:vAlign w:val="center"/>
          </w:tcPr>
          <w:p>
            <w:pPr>
              <w:pStyle w:val="15"/>
              <w:jc w:val="both"/>
            </w:pPr>
            <w:r>
              <w:rPr>
                <w:rFonts w:hint="default"/>
                <w:lang w:val="en-US" w:eastAsia="zh-CN"/>
              </w:rPr>
              <w:t>行政单位医疗</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15</w:t>
            </w:r>
          </w:p>
        </w:tc>
        <w:tc>
          <w:tcPr>
            <w:tcW w:w="1462" w:type="dxa"/>
            <w:vAlign w:val="center"/>
          </w:tcPr>
          <w:p>
            <w:pPr>
              <w:pStyle w:val="15"/>
              <w:jc w:val="both"/>
            </w:pPr>
            <w:r>
              <w:rPr>
                <w:rFonts w:hint="default"/>
                <w:lang w:val="en-US" w:eastAsia="zh-CN"/>
              </w:rPr>
              <w:t>221</w:t>
            </w:r>
          </w:p>
        </w:tc>
        <w:tc>
          <w:tcPr>
            <w:tcW w:w="4000" w:type="dxa"/>
            <w:vAlign w:val="center"/>
          </w:tcPr>
          <w:p>
            <w:pPr>
              <w:pStyle w:val="15"/>
              <w:jc w:val="both"/>
            </w:pPr>
            <w:r>
              <w:rPr>
                <w:rFonts w:hint="default"/>
                <w:lang w:val="en-US" w:eastAsia="zh-CN"/>
              </w:rPr>
              <w:t>住房保障支出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16</w:t>
            </w:r>
          </w:p>
        </w:tc>
        <w:tc>
          <w:tcPr>
            <w:tcW w:w="1462" w:type="dxa"/>
            <w:vAlign w:val="center"/>
          </w:tcPr>
          <w:p>
            <w:pPr>
              <w:pStyle w:val="15"/>
              <w:jc w:val="both"/>
            </w:pPr>
            <w:r>
              <w:rPr>
                <w:rFonts w:hint="default"/>
                <w:lang w:val="en-US" w:eastAsia="zh-CN"/>
              </w:rPr>
              <w:t>22102</w:t>
            </w:r>
          </w:p>
        </w:tc>
        <w:tc>
          <w:tcPr>
            <w:tcW w:w="4000" w:type="dxa"/>
            <w:vAlign w:val="center"/>
          </w:tcPr>
          <w:p>
            <w:pPr>
              <w:pStyle w:val="15"/>
              <w:jc w:val="both"/>
            </w:pPr>
            <w:r>
              <w:rPr>
                <w:rFonts w:hint="default"/>
                <w:lang w:val="en-US" w:eastAsia="zh-CN"/>
              </w:rPr>
              <w:t>住房改革支出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rPr>
                <w:rFonts w:hint="default" w:eastAsia="方正书宋_GBK"/>
                <w:lang w:val="en-US" w:eastAsia="zh-CN"/>
              </w:rPr>
            </w:pPr>
            <w:r>
              <w:rPr>
                <w:rFonts w:hint="eastAsia"/>
                <w:lang w:val="en-US" w:eastAsia="zh-CN"/>
              </w:rPr>
              <w:t>17</w:t>
            </w:r>
          </w:p>
        </w:tc>
        <w:tc>
          <w:tcPr>
            <w:tcW w:w="1462" w:type="dxa"/>
            <w:vAlign w:val="center"/>
          </w:tcPr>
          <w:p>
            <w:pPr>
              <w:pStyle w:val="15"/>
              <w:jc w:val="both"/>
            </w:pPr>
            <w:r>
              <w:rPr>
                <w:rFonts w:hint="default"/>
                <w:lang w:val="en-US" w:eastAsia="zh-CN"/>
              </w:rPr>
              <w:t>2210201</w:t>
            </w:r>
          </w:p>
        </w:tc>
        <w:tc>
          <w:tcPr>
            <w:tcW w:w="4000" w:type="dxa"/>
            <w:vAlign w:val="center"/>
          </w:tcPr>
          <w:p>
            <w:pPr>
              <w:pStyle w:val="15"/>
              <w:jc w:val="both"/>
            </w:pPr>
            <w:r>
              <w:rPr>
                <w:rFonts w:hint="default"/>
                <w:lang w:val="en-US" w:eastAsia="zh-CN"/>
              </w:rPr>
              <w:t>住房公积金</w:t>
            </w:r>
          </w:p>
        </w:tc>
        <w:tc>
          <w:tcPr>
            <w:tcW w:w="858"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602"/>
        <w:gridCol w:w="1425"/>
        <w:gridCol w:w="3435"/>
        <w:gridCol w:w="1005"/>
        <w:gridCol w:w="1800"/>
        <w:gridCol w:w="2190"/>
        <w:gridCol w:w="19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1"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 中共</w:t>
            </w:r>
            <w:r>
              <w:t>宁晋县</w:t>
            </w:r>
            <w:r>
              <w:rPr>
                <w:rFonts w:hint="eastAsia"/>
                <w:lang w:eastAsia="zh-CN"/>
              </w:rPr>
              <w:t>委机构编制委员会办公室</w:t>
            </w:r>
          </w:p>
        </w:tc>
        <w:tc>
          <w:tcPr>
            <w:tcW w:w="3435" w:type="dxa"/>
            <w:tcBorders>
              <w:top w:val="single" w:color="FFFFFF" w:sz="6" w:space="0"/>
              <w:left w:val="single" w:color="FFFFFF" w:sz="6" w:space="0"/>
              <w:right w:val="single" w:color="FFFFFF" w:sz="6" w:space="0"/>
            </w:tcBorders>
            <w:vAlign w:val="center"/>
          </w:tcPr>
          <w:p>
            <w:pPr>
              <w:pStyle w:val="10"/>
            </w:pPr>
            <w:r>
              <w:t>预算年度：2022</w:t>
            </w:r>
          </w:p>
        </w:tc>
        <w:tc>
          <w:tcPr>
            <w:tcW w:w="69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2"/>
            </w:pPr>
            <w:r>
              <w:t>序号</w:t>
            </w:r>
          </w:p>
        </w:tc>
        <w:tc>
          <w:tcPr>
            <w:tcW w:w="4027" w:type="dxa"/>
            <w:gridSpan w:val="2"/>
            <w:vAlign w:val="center"/>
          </w:tcPr>
          <w:p>
            <w:pPr>
              <w:pStyle w:val="12"/>
            </w:pPr>
            <w:r>
              <w:t>收入</w:t>
            </w:r>
          </w:p>
        </w:tc>
        <w:tc>
          <w:tcPr>
            <w:tcW w:w="1039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2602" w:type="dxa"/>
            <w:vAlign w:val="center"/>
          </w:tcPr>
          <w:p>
            <w:pPr>
              <w:pStyle w:val="12"/>
            </w:pPr>
            <w:r>
              <w:t>项  目</w:t>
            </w:r>
          </w:p>
        </w:tc>
        <w:tc>
          <w:tcPr>
            <w:tcW w:w="1425" w:type="dxa"/>
            <w:vAlign w:val="center"/>
          </w:tcPr>
          <w:p>
            <w:pPr>
              <w:pStyle w:val="12"/>
            </w:pPr>
            <w:r>
              <w:t>金额</w:t>
            </w:r>
          </w:p>
        </w:tc>
        <w:tc>
          <w:tcPr>
            <w:tcW w:w="3435" w:type="dxa"/>
            <w:vAlign w:val="center"/>
          </w:tcPr>
          <w:p>
            <w:pPr>
              <w:pStyle w:val="12"/>
            </w:pPr>
            <w:r>
              <w:t>项  目</w:t>
            </w:r>
          </w:p>
        </w:tc>
        <w:tc>
          <w:tcPr>
            <w:tcW w:w="1005" w:type="dxa"/>
            <w:vAlign w:val="center"/>
          </w:tcPr>
          <w:p>
            <w:pPr>
              <w:pStyle w:val="12"/>
            </w:pPr>
            <w:r>
              <w:t>合计</w:t>
            </w:r>
          </w:p>
        </w:tc>
        <w:tc>
          <w:tcPr>
            <w:tcW w:w="1800" w:type="dxa"/>
            <w:vAlign w:val="center"/>
          </w:tcPr>
          <w:p>
            <w:pPr>
              <w:pStyle w:val="12"/>
            </w:pPr>
            <w:r>
              <w:t>一般公共预算财政拨款</w:t>
            </w:r>
          </w:p>
        </w:tc>
        <w:tc>
          <w:tcPr>
            <w:tcW w:w="2190" w:type="dxa"/>
            <w:vAlign w:val="center"/>
          </w:tcPr>
          <w:p>
            <w:pPr>
              <w:pStyle w:val="12"/>
            </w:pPr>
            <w:r>
              <w:t>政府性基金预算财政    拨款</w:t>
            </w:r>
          </w:p>
        </w:tc>
        <w:tc>
          <w:tcPr>
            <w:tcW w:w="196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2"/>
            </w:pPr>
            <w:r>
              <w:t>栏次</w:t>
            </w:r>
          </w:p>
        </w:tc>
        <w:tc>
          <w:tcPr>
            <w:tcW w:w="2602" w:type="dxa"/>
            <w:vAlign w:val="center"/>
          </w:tcPr>
          <w:p>
            <w:pPr>
              <w:pStyle w:val="12"/>
            </w:pPr>
            <w:r>
              <w:t>1</w:t>
            </w:r>
          </w:p>
        </w:tc>
        <w:tc>
          <w:tcPr>
            <w:tcW w:w="1425" w:type="dxa"/>
            <w:vAlign w:val="center"/>
          </w:tcPr>
          <w:p>
            <w:pPr>
              <w:pStyle w:val="12"/>
            </w:pPr>
            <w:r>
              <w:t>2</w:t>
            </w:r>
          </w:p>
        </w:tc>
        <w:tc>
          <w:tcPr>
            <w:tcW w:w="3435" w:type="dxa"/>
            <w:vAlign w:val="center"/>
          </w:tcPr>
          <w:p>
            <w:pPr>
              <w:pStyle w:val="12"/>
            </w:pPr>
            <w:r>
              <w:t>3</w:t>
            </w:r>
          </w:p>
        </w:tc>
        <w:tc>
          <w:tcPr>
            <w:tcW w:w="1005" w:type="dxa"/>
            <w:vAlign w:val="center"/>
          </w:tcPr>
          <w:p>
            <w:pPr>
              <w:pStyle w:val="12"/>
            </w:pPr>
            <w:r>
              <w:t>4</w:t>
            </w:r>
          </w:p>
        </w:tc>
        <w:tc>
          <w:tcPr>
            <w:tcW w:w="1800" w:type="dxa"/>
            <w:vAlign w:val="center"/>
          </w:tcPr>
          <w:p>
            <w:pPr>
              <w:pStyle w:val="12"/>
            </w:pPr>
            <w:r>
              <w:t>5</w:t>
            </w:r>
          </w:p>
        </w:tc>
        <w:tc>
          <w:tcPr>
            <w:tcW w:w="2190" w:type="dxa"/>
            <w:vAlign w:val="center"/>
          </w:tcPr>
          <w:p>
            <w:pPr>
              <w:pStyle w:val="12"/>
            </w:pPr>
            <w:r>
              <w:t>6</w:t>
            </w:r>
          </w:p>
        </w:tc>
        <w:tc>
          <w:tcPr>
            <w:tcW w:w="196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w:t>
            </w:r>
          </w:p>
        </w:tc>
        <w:tc>
          <w:tcPr>
            <w:tcW w:w="2602" w:type="dxa"/>
            <w:vAlign w:val="center"/>
          </w:tcPr>
          <w:p>
            <w:pPr>
              <w:pStyle w:val="14"/>
            </w:pPr>
            <w:r>
              <w:t>一、一般公共预算拨款</w:t>
            </w:r>
          </w:p>
        </w:tc>
        <w:tc>
          <w:tcPr>
            <w:tcW w:w="1425" w:type="dxa"/>
            <w:vAlign w:val="center"/>
          </w:tcPr>
          <w:p>
            <w:pPr>
              <w:pStyle w:val="13"/>
              <w:jc w:val="both"/>
              <w:rPr>
                <w:rFonts w:hint="default" w:eastAsia="方正书宋_GBK"/>
                <w:lang w:val="en-US" w:eastAsia="zh-CN"/>
              </w:rPr>
            </w:pPr>
            <w:r>
              <w:rPr>
                <w:rFonts w:hint="eastAsia"/>
                <w:lang w:val="en-US" w:eastAsia="zh-CN"/>
              </w:rPr>
              <w:t>229.71</w:t>
            </w:r>
          </w:p>
        </w:tc>
        <w:tc>
          <w:tcPr>
            <w:tcW w:w="3435" w:type="dxa"/>
            <w:vAlign w:val="center"/>
          </w:tcPr>
          <w:p>
            <w:pPr>
              <w:pStyle w:val="14"/>
            </w:pPr>
            <w:r>
              <w:t>一、一般公共服务支出</w:t>
            </w:r>
          </w:p>
        </w:tc>
        <w:tc>
          <w:tcPr>
            <w:tcW w:w="1005" w:type="dxa"/>
            <w:vAlign w:val="center"/>
          </w:tcPr>
          <w:p>
            <w:pPr>
              <w:pStyle w:val="13"/>
              <w:jc w:val="both"/>
              <w:rPr>
                <w:rFonts w:hint="default" w:eastAsia="方正书宋_GBK"/>
                <w:lang w:val="en-US" w:eastAsia="zh-CN"/>
              </w:rPr>
            </w:pPr>
            <w:r>
              <w:rPr>
                <w:rFonts w:hint="eastAsia"/>
                <w:lang w:val="en-US" w:eastAsia="zh-CN"/>
              </w:rPr>
              <w:t>188.59</w:t>
            </w:r>
          </w:p>
        </w:tc>
        <w:tc>
          <w:tcPr>
            <w:tcW w:w="1800" w:type="dxa"/>
            <w:vAlign w:val="center"/>
          </w:tcPr>
          <w:p>
            <w:pPr>
              <w:pStyle w:val="13"/>
              <w:jc w:val="both"/>
              <w:rPr>
                <w:rFonts w:hint="default" w:eastAsia="方正书宋_GBK"/>
                <w:lang w:val="en-US" w:eastAsia="zh-CN"/>
              </w:rPr>
            </w:pPr>
            <w:r>
              <w:rPr>
                <w:rFonts w:hint="eastAsia"/>
                <w:lang w:val="en-US" w:eastAsia="zh-CN"/>
              </w:rPr>
              <w:t>188.59</w:t>
            </w:r>
          </w:p>
        </w:tc>
        <w:tc>
          <w:tcPr>
            <w:tcW w:w="2190" w:type="dxa"/>
            <w:vAlign w:val="center"/>
          </w:tcPr>
          <w:p>
            <w:pPr>
              <w:pStyle w:val="13"/>
              <w:jc w:val="both"/>
              <w:rPr>
                <w:rFonts w:hint="default" w:eastAsia="方正书宋_GBK"/>
                <w:lang w:val="en-US" w:eastAsia="zh-CN"/>
              </w:rPr>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w:t>
            </w:r>
          </w:p>
        </w:tc>
        <w:tc>
          <w:tcPr>
            <w:tcW w:w="2602" w:type="dxa"/>
            <w:vAlign w:val="center"/>
          </w:tcPr>
          <w:p>
            <w:pPr>
              <w:pStyle w:val="14"/>
            </w:pPr>
            <w:r>
              <w:t>二、政府性基金预算拨款</w:t>
            </w:r>
          </w:p>
        </w:tc>
        <w:tc>
          <w:tcPr>
            <w:tcW w:w="1425" w:type="dxa"/>
            <w:vAlign w:val="center"/>
          </w:tcPr>
          <w:p>
            <w:pPr>
              <w:pStyle w:val="13"/>
              <w:jc w:val="both"/>
            </w:pPr>
          </w:p>
        </w:tc>
        <w:tc>
          <w:tcPr>
            <w:tcW w:w="3435" w:type="dxa"/>
            <w:vAlign w:val="center"/>
          </w:tcPr>
          <w:p>
            <w:pPr>
              <w:pStyle w:val="14"/>
            </w:pPr>
            <w:r>
              <w:t>二、外交支出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w:t>
            </w:r>
          </w:p>
        </w:tc>
        <w:tc>
          <w:tcPr>
            <w:tcW w:w="2602" w:type="dxa"/>
            <w:vAlign w:val="center"/>
          </w:tcPr>
          <w:p>
            <w:pPr>
              <w:pStyle w:val="14"/>
            </w:pPr>
            <w:r>
              <w:t>三、国有资本经营预算拨款</w:t>
            </w:r>
          </w:p>
        </w:tc>
        <w:tc>
          <w:tcPr>
            <w:tcW w:w="1425" w:type="dxa"/>
            <w:vAlign w:val="center"/>
          </w:tcPr>
          <w:p>
            <w:pPr>
              <w:pStyle w:val="13"/>
            </w:pPr>
          </w:p>
        </w:tc>
        <w:tc>
          <w:tcPr>
            <w:tcW w:w="3435" w:type="dxa"/>
            <w:vAlign w:val="center"/>
          </w:tcPr>
          <w:p>
            <w:pPr>
              <w:pStyle w:val="14"/>
            </w:pPr>
            <w:r>
              <w:t>三、国防支出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4</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四、公共安全支出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5</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五、教育支出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6</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六、科学技术支出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7</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七、文化旅游体育与传媒支出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8</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八、社会保障和就业支出</w:t>
            </w:r>
          </w:p>
        </w:tc>
        <w:tc>
          <w:tcPr>
            <w:tcW w:w="1005" w:type="dxa"/>
            <w:vAlign w:val="center"/>
          </w:tcPr>
          <w:p>
            <w:pPr>
              <w:pStyle w:val="13"/>
              <w:jc w:val="both"/>
              <w:rPr>
                <w:rFonts w:hint="default" w:eastAsia="方正书宋_GBK"/>
                <w:lang w:val="en-US" w:eastAsia="zh-CN"/>
              </w:rPr>
            </w:pPr>
            <w:r>
              <w:rPr>
                <w:rFonts w:hint="eastAsia"/>
                <w:lang w:val="en-US" w:eastAsia="zh-CN"/>
              </w:rPr>
              <w:t>19.38</w:t>
            </w:r>
          </w:p>
        </w:tc>
        <w:tc>
          <w:tcPr>
            <w:tcW w:w="1800" w:type="dxa"/>
            <w:vAlign w:val="center"/>
          </w:tcPr>
          <w:p>
            <w:pPr>
              <w:pStyle w:val="13"/>
              <w:jc w:val="both"/>
              <w:rPr>
                <w:rFonts w:hint="default" w:eastAsia="方正书宋_GBK"/>
                <w:lang w:val="en-US" w:eastAsia="zh-CN"/>
              </w:rPr>
            </w:pPr>
            <w:r>
              <w:rPr>
                <w:rFonts w:hint="eastAsia"/>
                <w:lang w:val="en-US" w:eastAsia="zh-CN"/>
              </w:rPr>
              <w:t>19.38</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9</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九、社会保险基金支出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10</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十、卫生健康支出</w:t>
            </w:r>
          </w:p>
        </w:tc>
        <w:tc>
          <w:tcPr>
            <w:tcW w:w="1005" w:type="dxa"/>
            <w:vAlign w:val="center"/>
          </w:tcPr>
          <w:p>
            <w:pPr>
              <w:pStyle w:val="13"/>
              <w:jc w:val="both"/>
              <w:rPr>
                <w:rFonts w:hint="default" w:eastAsia="方正书宋_GBK"/>
                <w:lang w:val="en-US" w:eastAsia="zh-CN"/>
              </w:rPr>
            </w:pPr>
            <w:r>
              <w:rPr>
                <w:rFonts w:hint="eastAsia"/>
                <w:lang w:val="en-US" w:eastAsia="zh-CN"/>
              </w:rPr>
              <w:t>8.15</w:t>
            </w:r>
          </w:p>
        </w:tc>
        <w:tc>
          <w:tcPr>
            <w:tcW w:w="1800" w:type="dxa"/>
            <w:vAlign w:val="center"/>
          </w:tcPr>
          <w:p>
            <w:pPr>
              <w:pStyle w:val="13"/>
              <w:jc w:val="both"/>
              <w:rPr>
                <w:rFonts w:hint="default" w:eastAsia="方正书宋_GBK"/>
                <w:lang w:val="en-US" w:eastAsia="zh-CN"/>
              </w:rPr>
            </w:pPr>
            <w:r>
              <w:rPr>
                <w:rFonts w:hint="eastAsia"/>
                <w:lang w:val="en-US" w:eastAsia="zh-CN"/>
              </w:rPr>
              <w:t>8.15</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11</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十一、节能环保支出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12</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十二、城乡社区支出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13</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十三、农林水支出</w:t>
            </w:r>
          </w:p>
        </w:tc>
        <w:tc>
          <w:tcPr>
            <w:tcW w:w="1005" w:type="dxa"/>
            <w:vAlign w:val="center"/>
          </w:tcPr>
          <w:p>
            <w:pPr>
              <w:pStyle w:val="13"/>
              <w:jc w:val="center"/>
              <w:rPr>
                <w:rFonts w:hint="default" w:eastAsia="方正书宋_GBK"/>
                <w:lang w:val="en-US" w:eastAsia="zh-CN"/>
              </w:rPr>
            </w:pPr>
          </w:p>
        </w:tc>
        <w:tc>
          <w:tcPr>
            <w:tcW w:w="1800" w:type="dxa"/>
            <w:vAlign w:val="center"/>
          </w:tcPr>
          <w:p>
            <w:pPr>
              <w:pStyle w:val="13"/>
              <w:jc w:val="both"/>
              <w:rPr>
                <w:rFonts w:hint="default" w:eastAsia="方正书宋_GBK"/>
                <w:lang w:val="en-US" w:eastAsia="zh-CN"/>
              </w:rPr>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14</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十四、交通运输支出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15</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十五、资源勘探工业信息等支出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16</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十六、商业服务业等支出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17</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十七、金融支出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18</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十八、援助其他地区支出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19</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十九、自然资源海洋气象等支出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20</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二十、住房保障支出</w:t>
            </w:r>
          </w:p>
        </w:tc>
        <w:tc>
          <w:tcPr>
            <w:tcW w:w="1005" w:type="dxa"/>
            <w:vAlign w:val="center"/>
          </w:tcPr>
          <w:p>
            <w:pPr>
              <w:pStyle w:val="13"/>
              <w:jc w:val="center"/>
              <w:rPr>
                <w:rFonts w:hint="default" w:eastAsia="方正书宋_GBK"/>
                <w:lang w:val="en-US" w:eastAsia="zh-CN"/>
              </w:rPr>
            </w:pPr>
            <w:r>
              <w:rPr>
                <w:rFonts w:hint="eastAsia"/>
                <w:lang w:val="en-US" w:eastAsia="zh-CN"/>
              </w:rPr>
              <w:t>13.59</w:t>
            </w:r>
          </w:p>
        </w:tc>
        <w:tc>
          <w:tcPr>
            <w:tcW w:w="1800" w:type="dxa"/>
            <w:vAlign w:val="center"/>
          </w:tcPr>
          <w:p>
            <w:pPr>
              <w:pStyle w:val="13"/>
              <w:jc w:val="center"/>
              <w:rPr>
                <w:rFonts w:hint="default" w:eastAsia="方正书宋_GBK"/>
                <w:lang w:val="en-US" w:eastAsia="zh-CN"/>
              </w:rPr>
            </w:pPr>
            <w:r>
              <w:rPr>
                <w:rFonts w:hint="eastAsia"/>
                <w:lang w:val="en-US" w:eastAsia="zh-CN"/>
              </w:rPr>
              <w:t>13.59</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21</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二十一、粮油物资储备支出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22</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二十二、国有资本经营预算支出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23</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二十三、灾害防治及应急管理支出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24</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二十四、预备费</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25</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二十五、其他支出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26</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二十六、转移性支出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27</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二十七、灾害防治及应急管理共同财政事权转移支付支出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28</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二十八、债务还本支出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29</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二十九、债务付息支出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30</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三十、债务发行费用支出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31</w:t>
            </w:r>
          </w:p>
        </w:tc>
        <w:tc>
          <w:tcPr>
            <w:tcW w:w="2602" w:type="dxa"/>
            <w:vAlign w:val="center"/>
          </w:tcPr>
          <w:p>
            <w:pPr>
              <w:pStyle w:val="14"/>
            </w:pPr>
          </w:p>
        </w:tc>
        <w:tc>
          <w:tcPr>
            <w:tcW w:w="1425" w:type="dxa"/>
            <w:vAlign w:val="center"/>
          </w:tcPr>
          <w:p>
            <w:pPr>
              <w:pStyle w:val="13"/>
            </w:pPr>
          </w:p>
        </w:tc>
        <w:tc>
          <w:tcPr>
            <w:tcW w:w="3435" w:type="dxa"/>
            <w:vAlign w:val="center"/>
          </w:tcPr>
          <w:p>
            <w:pPr>
              <w:pStyle w:val="14"/>
            </w:pPr>
            <w:r>
              <w:t>三十一、抗疫特别国债安排的支出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32</w:t>
            </w:r>
          </w:p>
        </w:tc>
        <w:tc>
          <w:tcPr>
            <w:tcW w:w="2602" w:type="dxa"/>
            <w:vAlign w:val="center"/>
          </w:tcPr>
          <w:p>
            <w:pPr>
              <w:pStyle w:val="16"/>
            </w:pPr>
            <w:r>
              <w:t>本年收入合计</w:t>
            </w:r>
          </w:p>
        </w:tc>
        <w:tc>
          <w:tcPr>
            <w:tcW w:w="142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3435" w:type="dxa"/>
            <w:vAlign w:val="center"/>
          </w:tcPr>
          <w:p>
            <w:pPr>
              <w:pStyle w:val="16"/>
            </w:pPr>
            <w:r>
              <w:t>本年支出合计</w:t>
            </w:r>
          </w:p>
        </w:tc>
        <w:tc>
          <w:tcPr>
            <w:tcW w:w="100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1800"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2190" w:type="dxa"/>
            <w:vAlign w:val="center"/>
          </w:tcPr>
          <w:p>
            <w:pPr>
              <w:pStyle w:val="17"/>
            </w:pPr>
          </w:p>
        </w:tc>
        <w:tc>
          <w:tcPr>
            <w:tcW w:w="196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33</w:t>
            </w:r>
          </w:p>
        </w:tc>
        <w:tc>
          <w:tcPr>
            <w:tcW w:w="2602" w:type="dxa"/>
            <w:vAlign w:val="center"/>
          </w:tcPr>
          <w:p>
            <w:pPr>
              <w:pStyle w:val="14"/>
            </w:pPr>
            <w:r>
              <w:t>年初财政拨款结转和结余</w:t>
            </w:r>
          </w:p>
        </w:tc>
        <w:tc>
          <w:tcPr>
            <w:tcW w:w="1425" w:type="dxa"/>
            <w:vAlign w:val="center"/>
          </w:tcPr>
          <w:p>
            <w:pPr>
              <w:pStyle w:val="13"/>
              <w:jc w:val="both"/>
            </w:pPr>
          </w:p>
        </w:tc>
        <w:tc>
          <w:tcPr>
            <w:tcW w:w="3435" w:type="dxa"/>
            <w:vAlign w:val="center"/>
          </w:tcPr>
          <w:p>
            <w:pPr>
              <w:pStyle w:val="14"/>
            </w:pPr>
            <w:r>
              <w:t>年末财政拨款结转和结余</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34</w:t>
            </w:r>
          </w:p>
        </w:tc>
        <w:tc>
          <w:tcPr>
            <w:tcW w:w="2602" w:type="dxa"/>
            <w:vAlign w:val="center"/>
          </w:tcPr>
          <w:p>
            <w:pPr>
              <w:pStyle w:val="14"/>
            </w:pPr>
            <w:r>
              <w:t>一、一般公共预算拨款</w:t>
            </w:r>
          </w:p>
        </w:tc>
        <w:tc>
          <w:tcPr>
            <w:tcW w:w="1425" w:type="dxa"/>
            <w:vAlign w:val="center"/>
          </w:tcPr>
          <w:p>
            <w:pPr>
              <w:pStyle w:val="13"/>
              <w:jc w:val="both"/>
            </w:pPr>
          </w:p>
        </w:tc>
        <w:tc>
          <w:tcPr>
            <w:tcW w:w="343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35</w:t>
            </w:r>
          </w:p>
        </w:tc>
        <w:tc>
          <w:tcPr>
            <w:tcW w:w="2602" w:type="dxa"/>
            <w:vAlign w:val="center"/>
          </w:tcPr>
          <w:p>
            <w:pPr>
              <w:pStyle w:val="14"/>
            </w:pPr>
            <w:r>
              <w:t>二、政府性基金预算拨款</w:t>
            </w:r>
          </w:p>
        </w:tc>
        <w:tc>
          <w:tcPr>
            <w:tcW w:w="1425" w:type="dxa"/>
            <w:vAlign w:val="center"/>
          </w:tcPr>
          <w:p>
            <w:pPr>
              <w:pStyle w:val="13"/>
              <w:jc w:val="both"/>
            </w:pPr>
          </w:p>
        </w:tc>
        <w:tc>
          <w:tcPr>
            <w:tcW w:w="343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36</w:t>
            </w:r>
          </w:p>
        </w:tc>
        <w:tc>
          <w:tcPr>
            <w:tcW w:w="2602" w:type="dxa"/>
            <w:vAlign w:val="center"/>
          </w:tcPr>
          <w:p>
            <w:pPr>
              <w:pStyle w:val="14"/>
            </w:pPr>
            <w:r>
              <w:t>三、国有资本经营预算拨款</w:t>
            </w:r>
          </w:p>
        </w:tc>
        <w:tc>
          <w:tcPr>
            <w:tcW w:w="1425" w:type="dxa"/>
            <w:vAlign w:val="center"/>
          </w:tcPr>
          <w:p>
            <w:pPr>
              <w:pStyle w:val="13"/>
              <w:jc w:val="both"/>
            </w:pPr>
          </w:p>
        </w:tc>
        <w:tc>
          <w:tcPr>
            <w:tcW w:w="343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37</w:t>
            </w:r>
          </w:p>
        </w:tc>
        <w:tc>
          <w:tcPr>
            <w:tcW w:w="2602" w:type="dxa"/>
            <w:vAlign w:val="center"/>
          </w:tcPr>
          <w:p>
            <w:pPr>
              <w:pStyle w:val="16"/>
            </w:pPr>
            <w:r>
              <w:t>收入总计</w:t>
            </w:r>
          </w:p>
        </w:tc>
        <w:tc>
          <w:tcPr>
            <w:tcW w:w="142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3435" w:type="dxa"/>
            <w:vAlign w:val="center"/>
          </w:tcPr>
          <w:p>
            <w:pPr>
              <w:pStyle w:val="16"/>
            </w:pPr>
            <w:r>
              <w:t>支出总计</w:t>
            </w:r>
          </w:p>
        </w:tc>
        <w:tc>
          <w:tcPr>
            <w:tcW w:w="1005" w:type="dxa"/>
            <w:vAlign w:val="center"/>
          </w:tcPr>
          <w:p>
            <w:pPr>
              <w:pStyle w:val="17"/>
              <w:ind w:firstLine="0" w:firstLineChars="0"/>
              <w:jc w:val="both"/>
              <w:rPr>
                <w:rFonts w:hint="default" w:eastAsia="方正书宋_GBK"/>
                <w:sz w:val="18"/>
                <w:szCs w:val="18"/>
                <w:lang w:val="en-US" w:eastAsia="zh-CN"/>
              </w:rPr>
            </w:pPr>
            <w:r>
              <w:rPr>
                <w:rFonts w:hint="eastAsia"/>
                <w:sz w:val="18"/>
                <w:szCs w:val="18"/>
                <w:lang w:val="en-US" w:eastAsia="zh-CN"/>
              </w:rPr>
              <w:t>229.71</w:t>
            </w:r>
          </w:p>
        </w:tc>
        <w:tc>
          <w:tcPr>
            <w:tcW w:w="1800" w:type="dxa"/>
            <w:vAlign w:val="center"/>
          </w:tcPr>
          <w:p>
            <w:pPr>
              <w:pStyle w:val="17"/>
              <w:ind w:firstLine="0" w:firstLineChars="0"/>
              <w:jc w:val="both"/>
              <w:rPr>
                <w:rFonts w:hint="default" w:eastAsia="方正书宋_GBK"/>
                <w:sz w:val="18"/>
                <w:szCs w:val="18"/>
                <w:lang w:val="en-US" w:eastAsia="zh-CN"/>
              </w:rPr>
            </w:pPr>
            <w:r>
              <w:rPr>
                <w:rFonts w:hint="eastAsia"/>
                <w:sz w:val="18"/>
                <w:szCs w:val="18"/>
                <w:lang w:val="en-US" w:eastAsia="zh-CN"/>
              </w:rPr>
              <w:t>229.71</w:t>
            </w:r>
          </w:p>
        </w:tc>
        <w:tc>
          <w:tcPr>
            <w:tcW w:w="2190" w:type="dxa"/>
            <w:vAlign w:val="center"/>
          </w:tcPr>
          <w:p>
            <w:pPr>
              <w:pStyle w:val="17"/>
            </w:pPr>
          </w:p>
        </w:tc>
        <w:tc>
          <w:tcPr>
            <w:tcW w:w="196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062" w:type="dxa"/>
            <w:tcBorders>
              <w:top w:val="single" w:color="FFFFFF" w:sz="6" w:space="0"/>
              <w:left w:val="single" w:color="FFFFFF" w:sz="6" w:space="0"/>
              <w:right w:val="single" w:color="FFFFFF" w:sz="6" w:space="0"/>
            </w:tcBorders>
            <w:vAlign w:val="center"/>
          </w:tcPr>
          <w:p>
            <w:pPr>
              <w:pStyle w:val="10"/>
            </w:pPr>
            <w:r>
              <w:t>预算年度：2022</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229.71</w:t>
            </w:r>
          </w:p>
        </w:tc>
        <w:tc>
          <w:tcPr>
            <w:tcW w:w="1705"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204.35</w:t>
            </w:r>
          </w:p>
        </w:tc>
        <w:tc>
          <w:tcPr>
            <w:tcW w:w="1705"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一般公共服务支出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组织事务</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行政运行</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2013299</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其他组织事务支出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705" w:type="dxa"/>
            <w:vAlign w:val="center"/>
          </w:tcPr>
          <w:p>
            <w:pPr>
              <w:jc w:val="both"/>
            </w:pPr>
          </w:p>
        </w:tc>
        <w:tc>
          <w:tcPr>
            <w:tcW w:w="1705" w:type="dxa"/>
            <w:vAlign w:val="center"/>
          </w:tcPr>
          <w:p>
            <w:pPr>
              <w:jc w:val="both"/>
              <w:rPr>
                <w:rFonts w:hint="default" w:eastAsia="宋体"/>
                <w:lang w:val="en-US" w:eastAsia="zh-CN"/>
              </w:rPr>
            </w:pPr>
            <w:r>
              <w:rPr>
                <w:rFonts w:hint="eastAsia"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社会保障和就业支出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行政事业单位养老支出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行政单位离退休</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20827</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财政对其他社会保险基金的补助</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2082702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财政对工伤保险基金的补助</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卫生健康支出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行政事业单位医疗</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行政单位医疗</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住房保障支出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22102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住房改革支出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rPr>
                <w:rFonts w:hint="default" w:eastAsia="方正书宋_GBK"/>
                <w:lang w:val="en-US" w:eastAsia="zh-CN"/>
              </w:rPr>
            </w:pPr>
            <w:r>
              <w:rPr>
                <w:rFonts w:hint="eastAsia"/>
                <w:lang w:val="en-US" w:eastAsia="zh-CN"/>
              </w:rPr>
              <w:t>17</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2210201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住房公积金</w:t>
            </w:r>
          </w:p>
        </w:tc>
        <w:tc>
          <w:tcPr>
            <w:tcW w:w="3062"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165" w:type="dxa"/>
            <w:tcBorders>
              <w:top w:val="single" w:color="FFFFFF" w:sz="6" w:space="0"/>
              <w:left w:val="single" w:color="FFFFFF" w:sz="6" w:space="0"/>
              <w:right w:val="single" w:color="FFFFFF" w:sz="6" w:space="0"/>
            </w:tcBorders>
            <w:vAlign w:val="center"/>
          </w:tcPr>
          <w:p>
            <w:pPr>
              <w:pStyle w:val="10"/>
            </w:pPr>
            <w:r>
              <w:t>预算年度：2022</w:t>
            </w:r>
          </w:p>
        </w:tc>
        <w:tc>
          <w:tcPr>
            <w:tcW w:w="3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2"/>
            </w:pPr>
            <w:r>
              <w:t>序号</w:t>
            </w:r>
          </w:p>
        </w:tc>
        <w:tc>
          <w:tcPr>
            <w:tcW w:w="7264" w:type="dxa"/>
            <w:gridSpan w:val="2"/>
            <w:vAlign w:val="center"/>
          </w:tcPr>
          <w:p>
            <w:pPr>
              <w:pStyle w:val="12"/>
            </w:pPr>
            <w:r>
              <w:t>支出部门经济分类科目</w:t>
            </w:r>
          </w:p>
        </w:tc>
        <w:tc>
          <w:tcPr>
            <w:tcW w:w="669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2"/>
            </w:pPr>
            <w:r>
              <w:t>科目编码</w:t>
            </w:r>
          </w:p>
        </w:tc>
        <w:tc>
          <w:tcPr>
            <w:tcW w:w="5501" w:type="dxa"/>
            <w:vAlign w:val="center"/>
          </w:tcPr>
          <w:p>
            <w:pPr>
              <w:pStyle w:val="12"/>
            </w:pPr>
            <w:r>
              <w:t>科目名称</w:t>
            </w:r>
          </w:p>
        </w:tc>
        <w:tc>
          <w:tcPr>
            <w:tcW w:w="3165" w:type="dxa"/>
            <w:vAlign w:val="center"/>
          </w:tcPr>
          <w:p>
            <w:pPr>
              <w:pStyle w:val="12"/>
            </w:pPr>
            <w:r>
              <w:t>合计</w:t>
            </w:r>
          </w:p>
        </w:tc>
        <w:tc>
          <w:tcPr>
            <w:tcW w:w="1763" w:type="dxa"/>
            <w:vAlign w:val="center"/>
          </w:tcPr>
          <w:p>
            <w:pPr>
              <w:pStyle w:val="12"/>
            </w:pPr>
            <w:r>
              <w:t>人员经费</w:t>
            </w:r>
          </w:p>
        </w:tc>
        <w:tc>
          <w:tcPr>
            <w:tcW w:w="176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2"/>
            </w:pPr>
            <w:r>
              <w:t>栏次</w:t>
            </w:r>
          </w:p>
        </w:tc>
        <w:tc>
          <w:tcPr>
            <w:tcW w:w="1763" w:type="dxa"/>
            <w:vAlign w:val="center"/>
          </w:tcPr>
          <w:p>
            <w:pPr>
              <w:pStyle w:val="12"/>
            </w:pPr>
            <w:r>
              <w:t>1</w:t>
            </w:r>
          </w:p>
        </w:tc>
        <w:tc>
          <w:tcPr>
            <w:tcW w:w="5501" w:type="dxa"/>
            <w:vAlign w:val="center"/>
          </w:tcPr>
          <w:p>
            <w:pPr>
              <w:pStyle w:val="12"/>
            </w:pPr>
            <w:r>
              <w:t>2</w:t>
            </w:r>
          </w:p>
        </w:tc>
        <w:tc>
          <w:tcPr>
            <w:tcW w:w="3165" w:type="dxa"/>
            <w:vAlign w:val="center"/>
          </w:tcPr>
          <w:p>
            <w:pPr>
              <w:pStyle w:val="12"/>
            </w:pPr>
            <w:r>
              <w:t>3</w:t>
            </w:r>
          </w:p>
        </w:tc>
        <w:tc>
          <w:tcPr>
            <w:tcW w:w="1763" w:type="dxa"/>
            <w:vAlign w:val="center"/>
          </w:tcPr>
          <w:p>
            <w:pPr>
              <w:pStyle w:val="12"/>
            </w:pPr>
            <w:r>
              <w:t>4</w:t>
            </w:r>
          </w:p>
        </w:tc>
        <w:tc>
          <w:tcPr>
            <w:tcW w:w="17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w:t>
            </w:r>
          </w:p>
        </w:tc>
        <w:tc>
          <w:tcPr>
            <w:tcW w:w="1763" w:type="dxa"/>
            <w:vAlign w:val="center"/>
          </w:tcPr>
          <w:p>
            <w:pPr>
              <w:jc w:val="both"/>
            </w:pPr>
          </w:p>
        </w:tc>
        <w:tc>
          <w:tcPr>
            <w:tcW w:w="5501" w:type="dxa"/>
            <w:vAlign w:val="center"/>
          </w:tcPr>
          <w:p>
            <w:pPr>
              <w:keepNext w:val="0"/>
              <w:keepLines w:val="0"/>
              <w:widowControl/>
              <w:suppressLineNumbers w:val="0"/>
              <w:jc w:val="center"/>
              <w:textAlignment w:val="top"/>
            </w:pPr>
            <w:r>
              <w:rPr>
                <w:rFonts w:hint="default" w:ascii="Calibri" w:hAnsi="Calibri" w:eastAsia="宋体" w:cs="Calibri"/>
                <w:b/>
                <w:bCs/>
                <w:i w:val="0"/>
                <w:color w:val="000000"/>
                <w:kern w:val="0"/>
                <w:sz w:val="22"/>
                <w:szCs w:val="22"/>
                <w:u w:val="none"/>
                <w:lang w:val="en-US" w:eastAsia="zh-CN" w:bidi="ar"/>
              </w:rPr>
              <w:t>合计</w:t>
            </w:r>
          </w:p>
        </w:tc>
        <w:tc>
          <w:tcPr>
            <w:tcW w:w="3165"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204.35</w:t>
            </w:r>
          </w:p>
        </w:tc>
        <w:tc>
          <w:tcPr>
            <w:tcW w:w="1763"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191.72</w:t>
            </w:r>
          </w:p>
        </w:tc>
        <w:tc>
          <w:tcPr>
            <w:tcW w:w="1763"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2</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工资福利支出</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191.02</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191.02</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3</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基本工资</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65.00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65.00</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4</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津贴补贴</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42.18</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42.18</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5</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30103</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奖金</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5.42</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5.42</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6</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30107</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绩效工资</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 xml:space="preserve">38.00 </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 xml:space="preserve">38.00 </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7</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30108</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18.11</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18.11</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8</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30110</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8.15</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8.15</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9</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其他社会保障缴费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0.57</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0.57</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10</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30113</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13.59</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13.59</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12.63</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12</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办公费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5.65</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13</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30207</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邮电费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2.60</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14</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30228</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工会经费</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0.98</w:t>
            </w:r>
          </w:p>
        </w:tc>
        <w:tc>
          <w:tcPr>
            <w:tcW w:w="1763" w:type="dxa"/>
            <w:vAlign w:val="center"/>
          </w:tcPr>
          <w:p>
            <w:pPr>
              <w:jc w:val="right"/>
            </w:pP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15</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30239</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其他交通费用</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3.40</w:t>
            </w:r>
          </w:p>
        </w:tc>
        <w:tc>
          <w:tcPr>
            <w:tcW w:w="1763" w:type="dxa"/>
            <w:vAlign w:val="center"/>
          </w:tcPr>
          <w:p>
            <w:pPr>
              <w:jc w:val="right"/>
            </w:pP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16</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303</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jc w:val="right"/>
              <w:rPr>
                <w:rFonts w:hint="default"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17</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30302</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退休费</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jc w:val="right"/>
              <w:rPr>
                <w:rFonts w:hint="default" w:ascii="Calibri" w:hAnsi="Calibri" w:eastAsia="宋体" w:cs="Calibri"/>
                <w:i w:val="0"/>
                <w:color w:val="000000"/>
                <w:kern w:val="0"/>
                <w:sz w:val="22"/>
                <w:szCs w:val="22"/>
                <w:u w:val="none"/>
                <w:lang w:val="en-US" w:eastAsia="zh-CN" w:bidi="ar"/>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667" w:type="dxa"/>
            <w:tcBorders>
              <w:top w:val="single" w:color="FFFFFF" w:sz="6" w:space="0"/>
              <w:left w:val="single" w:color="FFFFFF" w:sz="6" w:space="0"/>
              <w:right w:val="single" w:color="FFFFFF" w:sz="6" w:space="0"/>
            </w:tcBorders>
            <w:vAlign w:val="center"/>
          </w:tcPr>
          <w:p>
            <w:pPr>
              <w:pStyle w:val="10"/>
            </w:pPr>
            <w:r>
              <w:t>预算年度：2022</w:t>
            </w:r>
          </w:p>
        </w:tc>
        <w:tc>
          <w:tcPr>
            <w:tcW w:w="408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2"/>
            </w:pPr>
            <w:r>
              <w:t>序号</w:t>
            </w:r>
          </w:p>
        </w:tc>
        <w:tc>
          <w:tcPr>
            <w:tcW w:w="5583" w:type="dxa"/>
            <w:gridSpan w:val="2"/>
            <w:vAlign w:val="center"/>
          </w:tcPr>
          <w:p>
            <w:pPr>
              <w:pStyle w:val="12"/>
            </w:pPr>
            <w:r>
              <w:t>功能分类科目</w:t>
            </w:r>
          </w:p>
        </w:tc>
        <w:tc>
          <w:tcPr>
            <w:tcW w:w="3667" w:type="dxa"/>
            <w:vMerge w:val="restart"/>
            <w:vAlign w:val="center"/>
          </w:tcPr>
          <w:p>
            <w:pPr>
              <w:pStyle w:val="12"/>
            </w:pPr>
            <w:r>
              <w:t>合计</w:t>
            </w:r>
          </w:p>
        </w:tc>
        <w:tc>
          <w:tcPr>
            <w:tcW w:w="2042" w:type="dxa"/>
            <w:vMerge w:val="restart"/>
            <w:vAlign w:val="center"/>
          </w:tcPr>
          <w:p>
            <w:pPr>
              <w:pStyle w:val="12"/>
            </w:pPr>
            <w:r>
              <w:t>基本支出</w:t>
            </w:r>
          </w:p>
        </w:tc>
        <w:tc>
          <w:tcPr>
            <w:tcW w:w="20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tc>
        <w:tc>
          <w:tcPr>
            <w:tcW w:w="2793" w:type="dxa"/>
            <w:vAlign w:val="center"/>
          </w:tcPr>
          <w:p>
            <w:pPr>
              <w:pStyle w:val="12"/>
            </w:pPr>
            <w:r>
              <w:t>科目编码</w:t>
            </w:r>
          </w:p>
        </w:tc>
        <w:tc>
          <w:tcPr>
            <w:tcW w:w="2790" w:type="dxa"/>
            <w:vAlign w:val="center"/>
          </w:tcPr>
          <w:p>
            <w:pPr>
              <w:pStyle w:val="12"/>
            </w:pPr>
            <w:r>
              <w:t>科目名称</w:t>
            </w:r>
          </w:p>
        </w:tc>
        <w:tc>
          <w:tcPr>
            <w:tcW w:w="3667" w:type="dxa"/>
            <w:vMerge w:val="continue"/>
          </w:tcPr>
          <w:p/>
        </w:tc>
        <w:tc>
          <w:tcPr>
            <w:tcW w:w="2042" w:type="dxa"/>
            <w:vMerge w:val="continue"/>
          </w:tcPr>
          <w:p/>
        </w:tc>
        <w:tc>
          <w:tcPr>
            <w:tcW w:w="20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2"/>
            </w:pPr>
            <w:r>
              <w:t>栏次</w:t>
            </w:r>
          </w:p>
        </w:tc>
        <w:tc>
          <w:tcPr>
            <w:tcW w:w="2793" w:type="dxa"/>
            <w:vAlign w:val="center"/>
          </w:tcPr>
          <w:p>
            <w:pPr>
              <w:pStyle w:val="12"/>
            </w:pPr>
            <w:r>
              <w:t>1</w:t>
            </w:r>
          </w:p>
        </w:tc>
        <w:tc>
          <w:tcPr>
            <w:tcW w:w="2790" w:type="dxa"/>
            <w:vAlign w:val="center"/>
          </w:tcPr>
          <w:p>
            <w:pPr>
              <w:pStyle w:val="12"/>
            </w:pPr>
            <w:r>
              <w:t>2</w:t>
            </w:r>
          </w:p>
        </w:tc>
        <w:tc>
          <w:tcPr>
            <w:tcW w:w="3667" w:type="dxa"/>
            <w:vAlign w:val="center"/>
          </w:tcPr>
          <w:p>
            <w:pPr>
              <w:pStyle w:val="12"/>
            </w:pPr>
            <w:r>
              <w:t>3</w:t>
            </w:r>
          </w:p>
        </w:tc>
        <w:tc>
          <w:tcPr>
            <w:tcW w:w="2042" w:type="dxa"/>
            <w:vAlign w:val="center"/>
          </w:tcPr>
          <w:p>
            <w:pPr>
              <w:pStyle w:val="12"/>
            </w:pPr>
            <w:r>
              <w:t>4</w:t>
            </w:r>
          </w:p>
        </w:tc>
        <w:tc>
          <w:tcPr>
            <w:tcW w:w="20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5"/>
            </w:pPr>
          </w:p>
        </w:tc>
        <w:tc>
          <w:tcPr>
            <w:tcW w:w="2793" w:type="dxa"/>
            <w:vAlign w:val="center"/>
          </w:tcPr>
          <w:p>
            <w:pPr>
              <w:pStyle w:val="14"/>
            </w:pPr>
          </w:p>
        </w:tc>
        <w:tc>
          <w:tcPr>
            <w:tcW w:w="2790" w:type="dxa"/>
            <w:vAlign w:val="center"/>
          </w:tcPr>
          <w:p>
            <w:pPr>
              <w:pStyle w:val="14"/>
            </w:pPr>
          </w:p>
        </w:tc>
        <w:tc>
          <w:tcPr>
            <w:tcW w:w="3667" w:type="dxa"/>
            <w:vAlign w:val="center"/>
          </w:tcPr>
          <w:p>
            <w:pPr>
              <w:pStyle w:val="13"/>
            </w:pPr>
          </w:p>
        </w:tc>
        <w:tc>
          <w:tcPr>
            <w:tcW w:w="2042" w:type="dxa"/>
            <w:vAlign w:val="center"/>
          </w:tcPr>
          <w:p>
            <w:pPr>
              <w:pStyle w:val="13"/>
            </w:pPr>
          </w:p>
        </w:tc>
        <w:tc>
          <w:tcPr>
            <w:tcW w:w="20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中共宁晋县委机构编制委员会办公室2022年部门预算信息公开情况说明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按照《预算法》、《地方预决算公开操作规程》和《关于进一步推进预算公开工作的实施意见》规定，现将中共宁晋县委机构编制委员会办公室2022年部门预算公开如下：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落实党中央和省委、市委、县委关于行政管理体制和机构改革以及机构编制管理的政策法规，组织拟订相关政策措施并监督实施。管理和指导各级党委、人大、政府，政协、监委、人民团体机关以及全县事业单位的机构编制工作。</w:t>
      </w:r>
    </w:p>
    <w:p>
      <w:pPr>
        <w:pStyle w:val="19"/>
      </w:pPr>
      <w:r>
        <w:t>（二）组织拟订全县行政管理体制改革和县委、县政府机构改革方案并组织实施；组织拟订乡镇（区）、街道机构改革方案并组织实施；负责全县行政管理体制和机构改革以及机构编制管理工作。负责行政执法体制改革工作。</w:t>
      </w:r>
    </w:p>
    <w:p>
      <w:pPr>
        <w:pStyle w:val="19"/>
      </w:pPr>
      <w:r>
        <w:t>（三）协调县委、县政府各部门的职能配置及其调整。协调县委、县政府部门之间以及县直部门与乡镇（区）、街道之间的职责分工。</w:t>
      </w:r>
    </w:p>
    <w:p>
      <w:pPr>
        <w:pStyle w:val="19"/>
      </w:pPr>
      <w:r>
        <w:t>（四）审核或审批县委、县政府各部门及各部门派出机构的职能配置、机构设置、人员编制和领导职数；审核县人大、县政协、县监委和县级人民团体机关的职能配置、机构设置、人员编制和领导职数；审核乡镇（区）、街道的职能配置、机构设置、人员编制和领导职数。</w:t>
      </w:r>
    </w:p>
    <w:p>
      <w:pPr>
        <w:pStyle w:val="19"/>
      </w:pPr>
      <w:r>
        <w:t>（五）审核或审批县直部门和乡镇（区）、街道党（工）委、政府（管委会、办事处）机构设置和调整事宜；审核县人大、政协、监委和各人民团体机关机构设置和调整事宜；审核县乡机构编制分类；负责需要承办的中央和国家机关、省、市垂直管理部门或双重管理部门（单位）机构编制有关事宜。</w:t>
      </w:r>
    </w:p>
    <w:p>
      <w:pPr>
        <w:pStyle w:val="19"/>
      </w:pPr>
      <w:r>
        <w:t>（六）组织拟订全县事业单位管理体制和机构改革方案。落实各类事业单位人员编制标准，组织拟订全县各类事业单位机构编制管理办法，负责推进事业单位机构编制标准体系建设；审核或审批县委、县政府直属事业单位、县直部门和乡镇（区）、街道所属事业单位的机构编制事宜；负责全县事业单位管理体制改革和机构编制管理工作；负责全县党政群机关统一社会信用代码赋码管理工作，负责全县事业单位法人登记的监督检查工作。</w:t>
      </w:r>
    </w:p>
    <w:p>
      <w:pPr>
        <w:pStyle w:val="19"/>
      </w:pPr>
      <w:r>
        <w:t>（七）负责全县开发区（园区）行政管理体制改革工作，组织拟订开发区（园区）机构编制管理办法并组织实施，审核开发区（园区）职能配置、机构设置、人员编制和领导职数。</w:t>
      </w:r>
    </w:p>
    <w:p>
      <w:pPr>
        <w:pStyle w:val="19"/>
      </w:pPr>
      <w:r>
        <w:t>（八）负责对全县机构编制的总量控制和动态管理。会同有关部门负责机构编制实名制工作；负责机关事业单位编制使用核准；建立健全机构编制部门与有关部门间的协调配合约束机制。</w:t>
      </w:r>
    </w:p>
    <w:p>
      <w:pPr>
        <w:pStyle w:val="19"/>
      </w:pPr>
      <w:r>
        <w:t>（九）负责对各级行政、事业单位管理体制和机构改革及机构编制执行情况的跟踪评估和监督检查。负责受理违反机构编制法规、纪律的检举、控告和投诉，对违反机构编制法规、纪律问题进行调查处理。</w:t>
      </w:r>
    </w:p>
    <w:p>
      <w:pPr>
        <w:pStyle w:val="19"/>
      </w:pPr>
      <w:r>
        <w:t>（十）负责全县机构编制电子政务和信息化工作。负责全县机构编制统计工作；负责机构编制网站的建设管理以及网络安全工作；负责全县党政群机关、事业单位和其他非营利性单位网上名称管理工作。负责本部门电子政务建设和信息化建设工作。</w:t>
      </w:r>
    </w:p>
    <w:p>
      <w:pPr>
        <w:pStyle w:val="19"/>
      </w:pPr>
      <w:r>
        <w:t>（十一）组织开展行政管理体制改革及机构编制管理创新基础性和前瞻性研究。</w:t>
      </w:r>
    </w:p>
    <w:p>
      <w:pPr>
        <w:pStyle w:val="19"/>
      </w:pPr>
      <w:r>
        <w:t>（十二）完成县委和县委机构编制委员会交办的其他任务。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中共宁晋县委机构编制委员会办公室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按照预算管理有关规定，目前我省部门预算的编制实行综合预算管理，即全部收入和支出都反映在预算中。中共宁晋县委机构编制委员会办公室机关及所属事业单位的收支包含在部门预算中。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eastAsia="方正仿宋_GBK" w:cs="Times New Roman"/>
          <w:color w:val="000000"/>
          <w:sz w:val="28"/>
          <w:lang w:eastAsia="zh-CN"/>
        </w:rPr>
        <w:t>根据县财政局《关于</w:t>
      </w:r>
      <w:r>
        <w:rPr>
          <w:rFonts w:hint="eastAsia" w:eastAsia="方正仿宋_GBK" w:cs="Times New Roman"/>
          <w:color w:val="000000"/>
          <w:sz w:val="28"/>
          <w:lang w:val="en-US" w:eastAsia="zh-CN"/>
        </w:rPr>
        <w:t>2022年县级部门预算批复</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本部门</w:t>
      </w:r>
      <w:r>
        <w:rPr>
          <w:rFonts w:hint="eastAsia" w:ascii="Times New Roman" w:hAnsi="Times New Roman" w:eastAsia="方正仿宋_GBK" w:cs="Times New Roman"/>
          <w:color w:val="000000"/>
          <w:sz w:val="28"/>
        </w:rPr>
        <w:t>预算</w:t>
      </w:r>
      <w:r>
        <w:rPr>
          <w:rFonts w:hint="eastAsia" w:eastAsia="方正仿宋_GBK" w:cs="Times New Roman"/>
          <w:color w:val="000000"/>
          <w:sz w:val="28"/>
          <w:lang w:eastAsia="zh-CN"/>
        </w:rPr>
        <w:t>总</w:t>
      </w:r>
      <w:r>
        <w:rPr>
          <w:rFonts w:hint="eastAsia" w:ascii="Times New Roman" w:hAnsi="Times New Roman" w:eastAsia="方正仿宋_GBK" w:cs="Times New Roman"/>
          <w:color w:val="000000"/>
          <w:sz w:val="28"/>
        </w:rPr>
        <w:t>收入</w:t>
      </w:r>
      <w:r>
        <w:rPr>
          <w:rFonts w:hint="eastAsia" w:eastAsia="方正仿宋_GBK" w:cs="Times New Roman"/>
          <w:color w:val="000000"/>
          <w:sz w:val="28"/>
          <w:lang w:eastAsia="zh-CN"/>
        </w:rPr>
        <w:t>为</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支出说明</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     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w:t>
      </w:r>
      <w:r>
        <w:rPr>
          <w:rFonts w:hint="eastAsia" w:ascii="Times New Roman" w:hAnsi="Times New Roman" w:eastAsia="方正仿宋_GBK" w:cs="Times New Roman"/>
          <w:color w:val="000000"/>
          <w:sz w:val="28"/>
        </w:rPr>
        <w:t>部门预算</w:t>
      </w:r>
      <w:r>
        <w:rPr>
          <w:rFonts w:hint="eastAsia" w:eastAsia="方正仿宋_GBK" w:cs="Times New Roman"/>
          <w:color w:val="000000"/>
          <w:sz w:val="28"/>
          <w:lang w:eastAsia="zh-CN"/>
        </w:rPr>
        <w:t>总支出</w:t>
      </w:r>
      <w:r>
        <w:rPr>
          <w:rFonts w:hint="eastAsia" w:ascii="Times New Roman" w:hAnsi="Times New Roman" w:eastAsia="方正仿宋_GBK" w:cs="Times New Roman"/>
          <w:color w:val="000000"/>
          <w:sz w:val="28"/>
        </w:rPr>
        <w:t xml:space="preserve">为 </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204.35</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191.72</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12.63</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25.36</w:t>
      </w:r>
      <w:r>
        <w:rPr>
          <w:rFonts w:hint="eastAsia" w:ascii="Times New Roman" w:hAnsi="Times New Roman" w:eastAsia="方正仿宋_GBK" w:cs="Times New Roman"/>
          <w:color w:val="000000"/>
          <w:sz w:val="28"/>
        </w:rPr>
        <w:t>万元，全部为本级支出。</w:t>
      </w:r>
    </w:p>
    <w:p>
      <w:pPr>
        <w:spacing w:before="0" w:after="0" w:line="500" w:lineRule="exact"/>
        <w:jc w:val="left"/>
        <w:outlineLvl w:val="9"/>
        <w:rPr>
          <w:rFonts w:hint="default"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 xml:space="preserve">       3、与上年相比增减变化情况</w:t>
      </w:r>
    </w:p>
    <w:p>
      <w:pPr>
        <w:spacing w:before="0" w:after="0" w:line="500" w:lineRule="exact"/>
        <w:ind w:firstLine="560"/>
        <w:jc w:val="left"/>
        <w:outlineLvl w:val="9"/>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eastAsia="方正仿宋_GBK" w:cs="Times New Roman"/>
          <w:color w:val="000000"/>
          <w:sz w:val="28"/>
          <w:lang w:eastAsia="zh-CN"/>
        </w:rPr>
        <w:t>本</w:t>
      </w:r>
      <w:r>
        <w:rPr>
          <w:rFonts w:hint="eastAsia" w:ascii="Times New Roman" w:hAnsi="Times New Roman" w:eastAsia="方正仿宋_GBK" w:cs="Times New Roman"/>
          <w:color w:val="000000"/>
          <w:sz w:val="28"/>
        </w:rPr>
        <w:t>部门预算总支出</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万元，较2</w:t>
      </w:r>
      <w:r>
        <w:rPr>
          <w:rFonts w:hint="eastAsia" w:ascii="Times New Roman" w:hAnsi="Times New Roman" w:eastAsia="方正仿宋_GBK" w:cs="Times New Roman"/>
          <w:color w:val="000000"/>
          <w:sz w:val="28"/>
          <w:lang w:val="en-US" w:eastAsia="zh-CN"/>
        </w:rPr>
        <w:t>021</w:t>
      </w:r>
      <w:r>
        <w:rPr>
          <w:rFonts w:hint="eastAsia" w:ascii="Times New Roman" w:hAnsi="Times New Roman" w:eastAsia="方正仿宋_GBK" w:cs="Times New Roman"/>
          <w:color w:val="000000"/>
          <w:sz w:val="28"/>
        </w:rPr>
        <w:t>年预算总支出</w:t>
      </w:r>
      <w:r>
        <w:rPr>
          <w:rFonts w:hint="eastAsia" w:ascii="Times New Roman" w:hAnsi="Times New Roman" w:eastAsia="方正仿宋_GBK" w:cs="Times New Roman"/>
          <w:color w:val="000000"/>
          <w:sz w:val="28"/>
          <w:lang w:val="en-US" w:eastAsia="zh-CN"/>
        </w:rPr>
        <w:t>170.34</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59.37</w:t>
      </w:r>
      <w:r>
        <w:rPr>
          <w:rFonts w:hint="eastAsia" w:ascii="Times New Roman" w:hAnsi="Times New Roman" w:eastAsia="方正仿宋_GBK" w:cs="Times New Roman"/>
          <w:color w:val="000000"/>
          <w:sz w:val="28"/>
        </w:rPr>
        <w:t>万元，增</w:t>
      </w:r>
      <w:r>
        <w:rPr>
          <w:rFonts w:hint="eastAsia" w:eastAsia="方正仿宋_GBK" w:cs="Times New Roman"/>
          <w:color w:val="000000"/>
          <w:sz w:val="28"/>
          <w:lang w:eastAsia="zh-CN"/>
        </w:rPr>
        <w:t>长</w:t>
      </w:r>
      <w:r>
        <w:rPr>
          <w:rFonts w:hint="eastAsia" w:ascii="Times New Roman" w:hAnsi="Times New Roman" w:eastAsia="方正仿宋_GBK" w:cs="Times New Roman"/>
          <w:color w:val="000000"/>
          <w:sz w:val="28"/>
          <w:lang w:val="en-US" w:eastAsia="zh-CN"/>
        </w:rPr>
        <w:t>34.85</w:t>
      </w:r>
      <w:r>
        <w:rPr>
          <w:rFonts w:hint="eastAsia" w:ascii="Times New Roman" w:hAnsi="Times New Roman" w:eastAsia="方正仿宋_GBK" w:cs="Times New Roman"/>
          <w:color w:val="000000"/>
          <w:sz w:val="28"/>
        </w:rPr>
        <w:t>%。其中，人员经费支出</w:t>
      </w:r>
      <w:r>
        <w:rPr>
          <w:rFonts w:hint="eastAsia" w:ascii="Times New Roman" w:hAnsi="Times New Roman" w:eastAsia="方正仿宋_GBK" w:cs="Times New Roman"/>
          <w:color w:val="000000"/>
          <w:sz w:val="28"/>
          <w:lang w:val="en-US" w:eastAsia="zh-CN"/>
        </w:rPr>
        <w:t>191.72</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123.25</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68.47</w:t>
      </w:r>
      <w:r>
        <w:rPr>
          <w:rFonts w:hint="eastAsia" w:ascii="Times New Roman" w:hAnsi="Times New Roman" w:eastAsia="方正仿宋_GBK" w:cs="Times New Roman"/>
          <w:color w:val="000000"/>
          <w:sz w:val="28"/>
        </w:rPr>
        <w:t>万元，增长</w:t>
      </w:r>
      <w:r>
        <w:rPr>
          <w:rFonts w:hint="eastAsia" w:ascii="Times New Roman" w:hAnsi="Times New Roman" w:eastAsia="方正仿宋_GBK" w:cs="Times New Roman"/>
          <w:color w:val="000000"/>
          <w:sz w:val="28"/>
          <w:lang w:val="en-US" w:eastAsia="zh-CN"/>
        </w:rPr>
        <w:t>55.55</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，主要是人员增加；</w:t>
      </w:r>
      <w:r>
        <w:rPr>
          <w:rFonts w:hint="eastAsia" w:ascii="Times New Roman" w:hAnsi="Times New Roman" w:eastAsia="方正仿宋_GBK" w:cs="Times New Roman"/>
          <w:color w:val="000000"/>
          <w:sz w:val="28"/>
        </w:rPr>
        <w:t>日常公用经费支出</w:t>
      </w:r>
      <w:r>
        <w:rPr>
          <w:rFonts w:hint="eastAsia" w:ascii="Times New Roman" w:hAnsi="Times New Roman" w:eastAsia="方正仿宋_GBK" w:cs="Times New Roman"/>
          <w:color w:val="000000"/>
          <w:sz w:val="28"/>
          <w:lang w:val="en-US" w:eastAsia="zh-CN"/>
        </w:rPr>
        <w:t>12.63</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9.97</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2.66</w:t>
      </w:r>
      <w:r>
        <w:rPr>
          <w:rFonts w:hint="eastAsia" w:ascii="Times New Roman" w:hAnsi="Times New Roman" w:eastAsia="方正仿宋_GBK" w:cs="Times New Roman"/>
          <w:color w:val="000000"/>
          <w:sz w:val="28"/>
        </w:rPr>
        <w:t>万元，增长</w:t>
      </w:r>
      <w:r>
        <w:rPr>
          <w:rFonts w:hint="eastAsia" w:ascii="Times New Roman" w:hAnsi="Times New Roman" w:eastAsia="方正仿宋_GBK" w:cs="Times New Roman"/>
          <w:color w:val="000000"/>
          <w:sz w:val="28"/>
          <w:lang w:val="en-US" w:eastAsia="zh-CN"/>
        </w:rPr>
        <w:t>26.68</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，主要是人员增加</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25.36</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37.12</w:t>
      </w:r>
      <w:r>
        <w:rPr>
          <w:rFonts w:hint="eastAsia" w:ascii="Times New Roman" w:hAnsi="Times New Roman" w:eastAsia="方正仿宋_GBK" w:cs="Times New Roman"/>
          <w:color w:val="000000"/>
          <w:sz w:val="28"/>
        </w:rPr>
        <w:t>万元减少</w:t>
      </w:r>
      <w:r>
        <w:rPr>
          <w:rFonts w:hint="eastAsia" w:ascii="Times New Roman" w:hAnsi="Times New Roman" w:eastAsia="方正仿宋_GBK" w:cs="Times New Roman"/>
          <w:color w:val="000000"/>
          <w:sz w:val="28"/>
          <w:lang w:val="en-US" w:eastAsia="zh-CN"/>
        </w:rPr>
        <w:t>11.76</w:t>
      </w:r>
      <w:r>
        <w:rPr>
          <w:rFonts w:hint="eastAsia" w:ascii="Times New Roman" w:hAnsi="Times New Roman" w:eastAsia="方正仿宋_GBK" w:cs="Times New Roman"/>
          <w:color w:val="000000"/>
          <w:sz w:val="28"/>
        </w:rPr>
        <w:t>万元，下降</w:t>
      </w:r>
      <w:r>
        <w:rPr>
          <w:rFonts w:hint="eastAsia" w:ascii="Times New Roman" w:hAnsi="Times New Roman" w:eastAsia="方正仿宋_GBK" w:cs="Times New Roman"/>
          <w:color w:val="000000"/>
          <w:sz w:val="28"/>
          <w:lang w:val="en-US" w:eastAsia="zh-CN"/>
        </w:rPr>
        <w:t>31.68</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，主要是项目减少</w:t>
      </w:r>
      <w:r>
        <w:rPr>
          <w:rFonts w:hint="eastAsia"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rPr>
          <w:rFonts w:hint="eastAsia"/>
        </w:rPr>
        <w:t>我部门机关2022年日常公用经费共计安排12.63万元，较2021年9.97万元增加2.66万元，主要是2021年人员增加。</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rPr>
          <w:rFonts w:hint="eastAsia"/>
        </w:rPr>
        <w:t>2022年“三公”经费预算数为0万元</w:t>
      </w:r>
      <w:r>
        <w:rPr>
          <w:rFonts w:hint="eastAsia"/>
          <w:lang w:eastAsia="zh-CN"/>
        </w:rPr>
        <w:t>，与</w:t>
      </w:r>
      <w:r>
        <w:rPr>
          <w:rFonts w:hint="eastAsia"/>
          <w:lang w:val="en-US" w:eastAsia="zh-CN"/>
        </w:rPr>
        <w:t>2021年相比无变化。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进一步强化机构编制工作的主动性、前瞻性。按照既管住编制，又盘活资源，用好资源的总体要求，积极作为，探索更好服务全县经济发展的思路和举措，充分发挥好机构编制的保障作用，积极应对省市对县机构编制的目标考核工作，促进全县机构编制规范管理在上新台阶。</w:t>
      </w:r>
    </w:p>
    <w:p>
      <w:pPr>
        <w:pStyle w:val="23"/>
      </w:pPr>
      <w:r>
        <w:t>2.进一步加大取消下放力度。继续衔接好省、市政府取消下放行政审批事项。在广泛征求意见建议和深入论证的基础上聚焦民营经济、开发区等重点领域，根据省要求，进一步精简市政府各部门行政审批事项。</w:t>
      </w:r>
    </w:p>
    <w:p>
      <w:pPr>
        <w:pStyle w:val="23"/>
      </w:pPr>
      <w:r>
        <w:t>3.认真做好事业单位分类改革各项工作。关注和分析研究国家及省市关于行政体制改革和事业单位分类改革的动向和有关政策规定，为我县各项改革的实施扎实做好准备工作，继续抓好分类推进事业单位改革工作，构建公益服务新格局，完善支持公益事业发展政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深化“放管服”行政审批制度改革。一是持续推进简政放权，进一步激发市场活力和社会创造力。二是完善清单管理体系。三推进政府监管体制改革，加快构建事中事后监管体系。四是清理规范审批中介事项和收费，着力规范中介服务行为。五是对简政放权进行专项督查，确保制度落实。六、开展“评估问效”成立专家组，对简政放权重大政策落实情况进行跟踪评估，完成上级督查任务。</w:t>
      </w:r>
    </w:p>
    <w:p>
      <w:pPr>
        <w:pStyle w:val="24"/>
      </w:pPr>
      <w:r>
        <w:t>2.积极开展事业单位登记和机关群团赋码工作。一是深入推进事业单位法人治理结构试点工作。上半年全面完成我县2016年度349个事业单位年度报告公示工作，截止2017年11月份，事业单位法人新设立登记4个，事业单位法人变更登记19个。二是全面完成机关群团统一社会信用代码赋码工作。</w:t>
      </w:r>
    </w:p>
    <w:p>
      <w:pPr>
        <w:pStyle w:val="24"/>
      </w:pPr>
      <w:r>
        <w:t>3.严格机构编制管理，认真落实上级控编减编要求。一是严格执行编制使用核准制度。二是严格落实公开招聘用编备案制度。三是认真落实控编减编工作方案。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1、推进精准放权和精确落地</w:t>
      </w:r>
    </w:p>
    <w:p>
      <w:pPr>
        <w:pStyle w:val="25"/>
      </w:pPr>
      <w:r>
        <w:t>及时衔接落实国家和省取消下放行政审批事项，统一规范取消下放的必经程序、落实责任、效果评估等，加强统筹、横向配套，开展取消下放情况“回头看”。衔接好国务院、省政府清理规范行政审批中介服务事项，动态调整我县中介服务事项清单。</w:t>
      </w:r>
    </w:p>
    <w:p>
      <w:pPr>
        <w:pStyle w:val="25"/>
      </w:pPr>
      <w:r>
        <w:t>2、积极探索行政审批标准化工作</w:t>
      </w:r>
    </w:p>
    <w:p>
      <w:pPr>
        <w:pStyle w:val="25"/>
      </w:pPr>
      <w:r>
        <w:t>依据《行政许可事项编码规则》，将编制县行政许可事项通用目录，推进行政审批标准化建设。</w:t>
      </w:r>
    </w:p>
    <w:p>
      <w:pPr>
        <w:pStyle w:val="25"/>
      </w:pPr>
      <w:r>
        <w:t>3、健全“两个清单”和事中事后监管制度</w:t>
      </w:r>
    </w:p>
    <w:p>
      <w:pPr>
        <w:pStyle w:val="25"/>
      </w:pPr>
      <w:r>
        <w:t>继续深入推行清单制度，实行动态管理，不断完善清单的内容和形式。推动县政府各部门健全完善事中事后监管制度，进一步创新监管机制，规范监管行为，明确监管主体，落实监管责任。                                                                4、继续做好控编减编工作</w:t>
      </w:r>
    </w:p>
    <w:p>
      <w:pPr>
        <w:pStyle w:val="25"/>
      </w:pPr>
      <w:r>
        <w:t>进一步落实好控编减编工作方案，强化工作责任，确保党政群机关和事业单位编制总量不突破，确保财政供养人员只减不增。</w:t>
      </w:r>
    </w:p>
    <w:p>
      <w:pPr>
        <w:pStyle w:val="25"/>
      </w:pPr>
      <w:r>
        <w:t>5、继续加强机构编制管理基础建设</w:t>
      </w:r>
    </w:p>
    <w:p>
      <w:pPr>
        <w:pStyle w:val="25"/>
      </w:pPr>
      <w:r>
        <w:t>一是严格落实机构编制实名制管理各项规定，进一步完善机构编制实名制数据库，严格实名制平台信息管理工作。二是完善机构编制统计工作，结合实名制管理做好机构编制统计年报工作。三是做好中文域名注册、网站挂标等工作，争取中文域名注册完成达100%。</w:t>
      </w:r>
    </w:p>
    <w:p>
      <w:pPr>
        <w:pStyle w:val="25"/>
      </w:pPr>
      <w:r>
        <w:t>6、健全完善机构编制规范管理示范县创建工作。</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jc w:val="left"/>
        <w:outlineLvl w:val="9"/>
      </w:pPr>
      <w:r>
        <w:rPr>
          <w:rFonts w:ascii="方正仿宋_GBK" w:hAnsi="方正仿宋_GBK" w:eastAsia="方正仿宋_GBK" w:cs="方正仿宋_GBK"/>
          <w:b/>
          <w:color w:val="000000"/>
          <w:sz w:val="28"/>
        </w:rPr>
        <w:t>1、“一网通办”工作经费绩效目标表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32"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各职能部门间人员信息共享</w:t>
            </w:r>
          </w:p>
        </w:tc>
        <w:tc>
          <w:tcPr>
            <w:tcW w:w="2466" w:type="dxa"/>
            <w:vAlign w:val="center"/>
          </w:tcPr>
          <w:p>
            <w:pPr>
              <w:pStyle w:val="14"/>
            </w:pPr>
            <w:r>
              <w:t>人员信息口径统一、数据一致</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信息共享准确率</w:t>
            </w:r>
          </w:p>
        </w:tc>
        <w:tc>
          <w:tcPr>
            <w:tcW w:w="2466" w:type="dxa"/>
            <w:vAlign w:val="center"/>
          </w:tcPr>
          <w:p>
            <w:pPr>
              <w:pStyle w:val="14"/>
            </w:pPr>
            <w:r>
              <w:t>信息共享准确率</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缩短办理时限</w:t>
            </w:r>
          </w:p>
        </w:tc>
        <w:tc>
          <w:tcPr>
            <w:tcW w:w="2466" w:type="dxa"/>
            <w:vAlign w:val="center"/>
          </w:tcPr>
          <w:p>
            <w:pPr>
              <w:pStyle w:val="14"/>
            </w:pPr>
            <w:r>
              <w:t>简化流程</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提高工作效能</w:t>
            </w:r>
          </w:p>
        </w:tc>
        <w:tc>
          <w:tcPr>
            <w:tcW w:w="2466" w:type="dxa"/>
            <w:vAlign w:val="center"/>
          </w:tcPr>
          <w:p>
            <w:pPr>
              <w:pStyle w:val="14"/>
            </w:pPr>
            <w:r>
              <w:t>业务全程网办</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数据多跑路</w:t>
            </w:r>
          </w:p>
        </w:tc>
        <w:tc>
          <w:tcPr>
            <w:tcW w:w="2466" w:type="dxa"/>
            <w:vAlign w:val="center"/>
          </w:tcPr>
          <w:p>
            <w:pPr>
              <w:pStyle w:val="14"/>
            </w:pPr>
            <w:r>
              <w:t>解决重复录入</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信息数据实时共享</w:t>
            </w:r>
          </w:p>
        </w:tc>
        <w:tc>
          <w:tcPr>
            <w:tcW w:w="2466" w:type="dxa"/>
            <w:vAlign w:val="center"/>
          </w:tcPr>
          <w:p>
            <w:pPr>
              <w:pStyle w:val="14"/>
            </w:pPr>
            <w:r>
              <w:t>共享共用</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共建共享共用</w:t>
            </w:r>
          </w:p>
        </w:tc>
        <w:tc>
          <w:tcPr>
            <w:tcW w:w="2466" w:type="dxa"/>
            <w:vAlign w:val="center"/>
          </w:tcPr>
          <w:p>
            <w:pPr>
              <w:pStyle w:val="14"/>
            </w:pPr>
            <w:r>
              <w:t>全程无缝衔接</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优化办事流程</w:t>
            </w:r>
          </w:p>
        </w:tc>
        <w:tc>
          <w:tcPr>
            <w:tcW w:w="2466" w:type="dxa"/>
            <w:vAlign w:val="center"/>
          </w:tcPr>
          <w:p>
            <w:pPr>
              <w:pStyle w:val="14"/>
            </w:pPr>
            <w:r>
              <w:t>解决多头报送</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服务对象满意程度</w:t>
            </w:r>
          </w:p>
        </w:tc>
        <w:tc>
          <w:tcPr>
            <w:tcW w:w="2466" w:type="dxa"/>
            <w:vAlign w:val="center"/>
          </w:tcPr>
          <w:p>
            <w:pPr>
              <w:pStyle w:val="14"/>
            </w:pPr>
            <w:r>
              <w:t>人事管理满意度</w:t>
            </w:r>
          </w:p>
        </w:tc>
        <w:tc>
          <w:tcPr>
            <w:tcW w:w="2466" w:type="dxa"/>
            <w:vAlign w:val="center"/>
          </w:tcPr>
          <w:p>
            <w:pPr>
              <w:pStyle w:val="14"/>
            </w:pPr>
            <w:r>
              <w:t>≥100百分比</w:t>
            </w:r>
          </w:p>
        </w:tc>
        <w:tc>
          <w:tcPr>
            <w:tcW w:w="2466" w:type="dxa"/>
            <w:vAlign w:val="center"/>
          </w:tcPr>
          <w:p>
            <w:pPr>
              <w:pStyle w:val="14"/>
            </w:pPr>
            <w:r>
              <w:t>邢编委发【2021】5号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2、机构编制标准化管理工作经费绩效目标表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4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全面推行实名制管理和编制使用</w:t>
            </w:r>
          </w:p>
        </w:tc>
        <w:tc>
          <w:tcPr>
            <w:tcW w:w="2835" w:type="dxa"/>
            <w:vAlign w:val="center"/>
          </w:tcPr>
          <w:p>
            <w:pPr>
              <w:pStyle w:val="14"/>
            </w:pPr>
            <w:r>
              <w:t>机构编制实名制管理推行率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为机构编制管理工作提供数据支持</w:t>
            </w:r>
          </w:p>
        </w:tc>
        <w:tc>
          <w:tcPr>
            <w:tcW w:w="2835" w:type="dxa"/>
            <w:vAlign w:val="center"/>
          </w:tcPr>
          <w:p>
            <w:pPr>
              <w:pStyle w:val="14"/>
            </w:pPr>
            <w:r>
              <w:t>机构编制实名制推行率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统计上报工作完成率</w:t>
            </w:r>
          </w:p>
        </w:tc>
        <w:tc>
          <w:tcPr>
            <w:tcW w:w="2835" w:type="dxa"/>
            <w:vAlign w:val="center"/>
          </w:tcPr>
          <w:p>
            <w:pPr>
              <w:pStyle w:val="14"/>
            </w:pPr>
            <w:r>
              <w:t>完成率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0"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统计数据的成本</w:t>
            </w:r>
          </w:p>
        </w:tc>
        <w:tc>
          <w:tcPr>
            <w:tcW w:w="2835" w:type="dxa"/>
            <w:vAlign w:val="center"/>
          </w:tcPr>
          <w:p>
            <w:pPr>
              <w:pStyle w:val="14"/>
            </w:pPr>
            <w:r>
              <w:t>统计指标是否与文件一致</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机构编制实名制的推行率</w:t>
            </w:r>
          </w:p>
        </w:tc>
        <w:tc>
          <w:tcPr>
            <w:tcW w:w="2835" w:type="dxa"/>
            <w:vAlign w:val="center"/>
          </w:tcPr>
          <w:p>
            <w:pPr>
              <w:pStyle w:val="14"/>
            </w:pPr>
            <w:r>
              <w:t>推行率和使用率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提供数据支撑准确率</w:t>
            </w:r>
          </w:p>
        </w:tc>
        <w:tc>
          <w:tcPr>
            <w:tcW w:w="2835" w:type="dxa"/>
            <w:vAlign w:val="center"/>
          </w:tcPr>
          <w:p>
            <w:pPr>
              <w:pStyle w:val="14"/>
            </w:pPr>
            <w:r>
              <w:t>准确率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提高工作积极性</w:t>
            </w:r>
          </w:p>
        </w:tc>
        <w:tc>
          <w:tcPr>
            <w:tcW w:w="2835" w:type="dxa"/>
            <w:vAlign w:val="center"/>
          </w:tcPr>
          <w:p>
            <w:pPr>
              <w:pStyle w:val="14"/>
            </w:pPr>
            <w:r>
              <w:t>提高职工工作积极性</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统计上报工作完成率</w:t>
            </w:r>
          </w:p>
        </w:tc>
        <w:tc>
          <w:tcPr>
            <w:tcW w:w="2835" w:type="dxa"/>
            <w:vAlign w:val="center"/>
          </w:tcPr>
          <w:p>
            <w:pPr>
              <w:pStyle w:val="14"/>
            </w:pPr>
            <w:r>
              <w:t>完成率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接受编制办理的满意程度</w:t>
            </w:r>
          </w:p>
        </w:tc>
        <w:tc>
          <w:tcPr>
            <w:tcW w:w="2551" w:type="dxa"/>
            <w:vAlign w:val="center"/>
          </w:tcPr>
          <w:p>
            <w:pPr>
              <w:pStyle w:val="14"/>
            </w:pPr>
            <w:r>
              <w:t>≥100百分比</w:t>
            </w:r>
          </w:p>
        </w:tc>
        <w:tc>
          <w:tcPr>
            <w:tcW w:w="2268" w:type="dxa"/>
            <w:vAlign w:val="center"/>
          </w:tcPr>
          <w:p>
            <w:pPr>
              <w:pStyle w:val="14"/>
            </w:pPr>
            <w:r>
              <w:t>邢机编[2015]43号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3、机构改革工作经费绩效目标表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调整优化乡镇机构和职能</w:t>
            </w:r>
          </w:p>
        </w:tc>
        <w:tc>
          <w:tcPr>
            <w:tcW w:w="2835" w:type="dxa"/>
            <w:vAlign w:val="center"/>
          </w:tcPr>
          <w:p>
            <w:pPr>
              <w:pStyle w:val="14"/>
            </w:pPr>
            <w:r>
              <w:t>保证严格落实党中央路线方针政策和省委的决策部署</w:t>
            </w:r>
          </w:p>
        </w:tc>
        <w:tc>
          <w:tcPr>
            <w:tcW w:w="2551" w:type="dxa"/>
            <w:vAlign w:val="center"/>
          </w:tcPr>
          <w:p>
            <w:pPr>
              <w:pStyle w:val="14"/>
            </w:pPr>
            <w:r>
              <w:t>≥100百分比</w:t>
            </w:r>
          </w:p>
        </w:tc>
        <w:tc>
          <w:tcPr>
            <w:tcW w:w="2268" w:type="dxa"/>
            <w:vAlign w:val="center"/>
          </w:tcPr>
          <w:p>
            <w:pPr>
              <w:pStyle w:val="14"/>
            </w:pPr>
            <w:r>
              <w:t>邢办字[2018]83号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做好事业单位改革</w:t>
            </w:r>
          </w:p>
        </w:tc>
        <w:tc>
          <w:tcPr>
            <w:tcW w:w="2835" w:type="dxa"/>
            <w:vAlign w:val="center"/>
          </w:tcPr>
          <w:p>
            <w:pPr>
              <w:pStyle w:val="14"/>
            </w:pPr>
            <w:r>
              <w:t>保证严格落实党中央路线方针政策和省委的决策部署</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构建简约高效的基层管理体制</w:t>
            </w:r>
          </w:p>
        </w:tc>
        <w:tc>
          <w:tcPr>
            <w:tcW w:w="2835" w:type="dxa"/>
            <w:vAlign w:val="center"/>
          </w:tcPr>
          <w:p>
            <w:pPr>
              <w:pStyle w:val="14"/>
            </w:pPr>
            <w:r>
              <w:t>统筹各类编制资源，实行扁平和网格化管理</w:t>
            </w:r>
          </w:p>
          <w:p>
            <w:pPr>
              <w:pStyle w:val="14"/>
            </w:pPr>
          </w:p>
        </w:tc>
        <w:tc>
          <w:tcPr>
            <w:tcW w:w="2551" w:type="dxa"/>
            <w:vAlign w:val="center"/>
          </w:tcPr>
          <w:p>
            <w:pPr>
              <w:pStyle w:val="14"/>
            </w:pPr>
            <w:r>
              <w:t>≥100百分比</w:t>
            </w:r>
          </w:p>
        </w:tc>
        <w:tc>
          <w:tcPr>
            <w:tcW w:w="2268" w:type="dxa"/>
            <w:vAlign w:val="center"/>
          </w:tcPr>
          <w:p>
            <w:pPr>
              <w:pStyle w:val="14"/>
            </w:pPr>
            <w:r>
              <w:t>中办发【2020】13号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完善配套政策</w:t>
            </w:r>
          </w:p>
        </w:tc>
        <w:tc>
          <w:tcPr>
            <w:tcW w:w="2835" w:type="dxa"/>
            <w:vAlign w:val="center"/>
          </w:tcPr>
          <w:p>
            <w:pPr>
              <w:pStyle w:val="14"/>
            </w:pPr>
            <w:r>
              <w:t>继续完善财政支持政策</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构建简约高效的基层管理体制</w:t>
            </w:r>
          </w:p>
        </w:tc>
        <w:tc>
          <w:tcPr>
            <w:tcW w:w="2835" w:type="dxa"/>
            <w:vAlign w:val="center"/>
          </w:tcPr>
          <w:p>
            <w:pPr>
              <w:pStyle w:val="14"/>
            </w:pPr>
            <w:r>
              <w:t>构建简约高效的基层管理体制</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优化布局结构</w:t>
            </w:r>
          </w:p>
        </w:tc>
        <w:tc>
          <w:tcPr>
            <w:tcW w:w="2835" w:type="dxa"/>
            <w:vAlign w:val="center"/>
          </w:tcPr>
          <w:p>
            <w:pPr>
              <w:pStyle w:val="14"/>
            </w:pPr>
            <w:r>
              <w:t>建立政事权限清单，理顺政事官办关系</w:t>
            </w:r>
          </w:p>
        </w:tc>
        <w:tc>
          <w:tcPr>
            <w:tcW w:w="2551" w:type="dxa"/>
            <w:vAlign w:val="center"/>
          </w:tcPr>
          <w:p>
            <w:pPr>
              <w:pStyle w:val="14"/>
            </w:pPr>
            <w:r>
              <w:t>≥100百分比</w:t>
            </w:r>
          </w:p>
        </w:tc>
        <w:tc>
          <w:tcPr>
            <w:tcW w:w="2268" w:type="dxa"/>
            <w:vAlign w:val="center"/>
          </w:tcPr>
          <w:p>
            <w:pPr>
              <w:pStyle w:val="14"/>
            </w:pPr>
            <w:r>
              <w:t>中办发【2020】13号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建立健全制度机制</w:t>
            </w:r>
          </w:p>
        </w:tc>
        <w:tc>
          <w:tcPr>
            <w:tcW w:w="2835" w:type="dxa"/>
            <w:vAlign w:val="center"/>
          </w:tcPr>
          <w:p>
            <w:pPr>
              <w:pStyle w:val="14"/>
            </w:pPr>
            <w:r>
              <w:t>完善章程管理，健全治理机制</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保障社会发展</w:t>
            </w:r>
          </w:p>
        </w:tc>
        <w:tc>
          <w:tcPr>
            <w:tcW w:w="2835" w:type="dxa"/>
            <w:vAlign w:val="center"/>
          </w:tcPr>
          <w:p>
            <w:pPr>
              <w:pStyle w:val="14"/>
            </w:pPr>
            <w:r>
              <w:t>保障社会发展</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对机构改革和事业单位改革的满意程度</w:t>
            </w:r>
          </w:p>
        </w:tc>
        <w:tc>
          <w:tcPr>
            <w:tcW w:w="2551" w:type="dxa"/>
            <w:vAlign w:val="center"/>
          </w:tcPr>
          <w:p>
            <w:pPr>
              <w:pStyle w:val="14"/>
            </w:pPr>
            <w:r>
              <w:t>≥100百分比</w:t>
            </w:r>
          </w:p>
        </w:tc>
        <w:tc>
          <w:tcPr>
            <w:tcW w:w="2268" w:type="dxa"/>
            <w:vAlign w:val="center"/>
          </w:tcPr>
          <w:p>
            <w:pPr>
              <w:pStyle w:val="14"/>
            </w:pPr>
            <w:r>
              <w:t>邢办字[2018]83号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4、行政审批制度改革工作经费绩效目标表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方案编制完成情况</w:t>
            </w:r>
          </w:p>
        </w:tc>
        <w:tc>
          <w:tcPr>
            <w:tcW w:w="2835" w:type="dxa"/>
            <w:vAlign w:val="center"/>
          </w:tcPr>
          <w:p>
            <w:pPr>
              <w:pStyle w:val="14"/>
            </w:pPr>
            <w:r>
              <w:t>反映方案编制完成情况</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提高效能，形成权责一致</w:t>
            </w:r>
          </w:p>
        </w:tc>
        <w:tc>
          <w:tcPr>
            <w:tcW w:w="2835" w:type="dxa"/>
            <w:vAlign w:val="center"/>
          </w:tcPr>
          <w:p>
            <w:pPr>
              <w:pStyle w:val="14"/>
            </w:pPr>
            <w:r>
              <w:t>执行顺畅</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分工合理、决策科学、执行顺畅、监督有力的行政管理体制</w:t>
            </w:r>
          </w:p>
        </w:tc>
        <w:tc>
          <w:tcPr>
            <w:tcW w:w="2835" w:type="dxa"/>
            <w:vAlign w:val="center"/>
          </w:tcPr>
          <w:p>
            <w:pPr>
              <w:pStyle w:val="14"/>
            </w:pPr>
            <w:r>
              <w:t>分工合理，县政府机构改革目标完成率</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服务型机关</w:t>
            </w:r>
          </w:p>
        </w:tc>
        <w:tc>
          <w:tcPr>
            <w:tcW w:w="2835" w:type="dxa"/>
            <w:vAlign w:val="center"/>
          </w:tcPr>
          <w:p>
            <w:pPr>
              <w:pStyle w:val="14"/>
            </w:pPr>
            <w:r>
              <w:t>清权、减权、制权</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有限、有为、有法</w:t>
            </w:r>
          </w:p>
        </w:tc>
        <w:tc>
          <w:tcPr>
            <w:tcW w:w="2835" w:type="dxa"/>
            <w:vAlign w:val="center"/>
          </w:tcPr>
          <w:p>
            <w:pPr>
              <w:pStyle w:val="14"/>
            </w:pPr>
            <w:r>
              <w:t>加大简政放权力度</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事中事后监管</w:t>
            </w:r>
          </w:p>
        </w:tc>
        <w:tc>
          <w:tcPr>
            <w:tcW w:w="2835" w:type="dxa"/>
            <w:vAlign w:val="center"/>
          </w:tcPr>
          <w:p>
            <w:pPr>
              <w:pStyle w:val="14"/>
            </w:pPr>
            <w:r>
              <w:t>真实、准确和完整性</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动态调整</w:t>
            </w:r>
          </w:p>
        </w:tc>
        <w:tc>
          <w:tcPr>
            <w:tcW w:w="2835" w:type="dxa"/>
            <w:vAlign w:val="center"/>
          </w:tcPr>
          <w:p>
            <w:pPr>
              <w:pStyle w:val="14"/>
            </w:pPr>
            <w:r>
              <w:t>数据准确性</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透明、高效、便捷</w:t>
            </w:r>
          </w:p>
        </w:tc>
        <w:tc>
          <w:tcPr>
            <w:tcW w:w="2551" w:type="dxa"/>
            <w:vAlign w:val="center"/>
          </w:tcPr>
          <w:p>
            <w:pPr>
              <w:pStyle w:val="14"/>
            </w:pPr>
            <w:r>
              <w:t>≥100百分比</w:t>
            </w:r>
          </w:p>
        </w:tc>
        <w:tc>
          <w:tcPr>
            <w:tcW w:w="2268" w:type="dxa"/>
            <w:vAlign w:val="center"/>
          </w:tcPr>
          <w:p>
            <w:pPr>
              <w:pStyle w:val="14"/>
            </w:pPr>
            <w:r>
              <w:t>邢审改办【2015】16号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5、中文域名工作经费绩效目标表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加大网上名称管理宣传力度</w:t>
            </w:r>
          </w:p>
        </w:tc>
        <w:tc>
          <w:tcPr>
            <w:tcW w:w="2835" w:type="dxa"/>
            <w:vAlign w:val="center"/>
          </w:tcPr>
          <w:p>
            <w:pPr>
              <w:pStyle w:val="14"/>
            </w:pPr>
            <w:r>
              <w:t>实现全覆盖工作目标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领会中央编办域名管理中心提出</w:t>
            </w:r>
          </w:p>
        </w:tc>
        <w:tc>
          <w:tcPr>
            <w:tcW w:w="2835" w:type="dxa"/>
            <w:vAlign w:val="center"/>
          </w:tcPr>
          <w:p>
            <w:pPr>
              <w:pStyle w:val="14"/>
            </w:pPr>
            <w:r>
              <w:t>网上挂标率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完善机构编制管理体制的常规性事项</w:t>
            </w:r>
          </w:p>
        </w:tc>
        <w:tc>
          <w:tcPr>
            <w:tcW w:w="2835" w:type="dxa"/>
            <w:vAlign w:val="center"/>
          </w:tcPr>
          <w:p>
            <w:pPr>
              <w:pStyle w:val="14"/>
            </w:pPr>
            <w:r>
              <w:t>领会中央编办域名管理中心 提出的“四位一体”的工作体系要求，切实将网上名称管理作为一项综合性管理工作</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网上挂标率</w:t>
            </w:r>
          </w:p>
        </w:tc>
        <w:tc>
          <w:tcPr>
            <w:tcW w:w="2835" w:type="dxa"/>
            <w:vAlign w:val="center"/>
          </w:tcPr>
          <w:p>
            <w:pPr>
              <w:pStyle w:val="14"/>
            </w:pPr>
            <w:r>
              <w:t xml:space="preserve">网上挂标率 </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全县覆盖率</w:t>
            </w:r>
          </w:p>
        </w:tc>
        <w:tc>
          <w:tcPr>
            <w:tcW w:w="2835" w:type="dxa"/>
            <w:vAlign w:val="center"/>
          </w:tcPr>
          <w:p>
            <w:pPr>
              <w:pStyle w:val="14"/>
            </w:pPr>
            <w:r>
              <w:t>全线覆盖率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实现全覆盖工作目标</w:t>
            </w:r>
          </w:p>
        </w:tc>
        <w:tc>
          <w:tcPr>
            <w:tcW w:w="2835" w:type="dxa"/>
            <w:vAlign w:val="center"/>
          </w:tcPr>
          <w:p>
            <w:pPr>
              <w:pStyle w:val="14"/>
            </w:pPr>
            <w:r>
              <w:t>所有单位都要进行网站挂标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节约成本</w:t>
            </w:r>
          </w:p>
        </w:tc>
        <w:tc>
          <w:tcPr>
            <w:tcW w:w="2835" w:type="dxa"/>
            <w:vAlign w:val="center"/>
          </w:tcPr>
          <w:p>
            <w:pPr>
              <w:pStyle w:val="14"/>
            </w:pPr>
            <w:r>
              <w:t>节约成本</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对网站挂标的满意程度</w:t>
            </w:r>
          </w:p>
        </w:tc>
        <w:tc>
          <w:tcPr>
            <w:tcW w:w="2551" w:type="dxa"/>
            <w:vAlign w:val="center"/>
          </w:tcPr>
          <w:p>
            <w:pPr>
              <w:pStyle w:val="14"/>
            </w:pPr>
            <w:r>
              <w:t>≥100百分比</w:t>
            </w:r>
          </w:p>
        </w:tc>
        <w:tc>
          <w:tcPr>
            <w:tcW w:w="2268" w:type="dxa"/>
            <w:vAlign w:val="center"/>
          </w:tcPr>
          <w:p>
            <w:pPr>
              <w:pStyle w:val="14"/>
            </w:pPr>
            <w:r>
              <w:t>部门职责</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2022年，中共宁晋县委机构编制委员会办公室安排政府采购预算0.00万元。具体内容见下表。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225中共宁晋县委机构编制委员会办公室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中共宁晋县委机构编制委员会办公室</w:t>
      </w:r>
      <w:bookmarkStart w:id="18" w:name="_GoBack"/>
      <w:bookmarkEnd w:id="18"/>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1.93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225中共宁晋县委机构编制委员会办公室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ind w:firstLine="0" w:firstLineChars="0"/>
              <w:jc w:val="left"/>
            </w:pPr>
            <w:r>
              <w:rPr>
                <w:rFonts w:hint="eastAsia"/>
                <w:lang w:val="en-US" w:eastAsia="zh-CN"/>
              </w:rPr>
              <w:t>1.通用电子设备（台）</w:t>
            </w:r>
          </w:p>
        </w:tc>
        <w:tc>
          <w:tcPr>
            <w:tcW w:w="2835" w:type="dxa"/>
            <w:vAlign w:val="center"/>
          </w:tcPr>
          <w:p>
            <w:pPr>
              <w:pStyle w:val="15"/>
              <w:ind w:firstLine="0" w:firstLineChars="0"/>
            </w:pPr>
            <w:r>
              <w:rPr>
                <w:rFonts w:hint="eastAsia"/>
                <w:lang w:val="en-US" w:eastAsia="zh-CN"/>
              </w:rPr>
              <w:t>13</w:t>
            </w:r>
          </w:p>
        </w:tc>
        <w:tc>
          <w:tcPr>
            <w:tcW w:w="2835" w:type="dxa"/>
            <w:vAlign w:val="center"/>
          </w:tcPr>
          <w:p>
            <w:pPr>
              <w:pStyle w:val="13"/>
              <w:ind w:firstLine="0" w:firstLineChars="0"/>
              <w:jc w:val="center"/>
            </w:pPr>
            <w:r>
              <w:rPr>
                <w:rFonts w:hint="eastAsia"/>
                <w:lang w:val="en-US" w:eastAsia="zh-CN"/>
              </w:rP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ind w:firstLine="0" w:firstLineChars="0"/>
              <w:jc w:val="left"/>
            </w:pPr>
            <w:r>
              <w:rPr>
                <w:rFonts w:hint="eastAsia"/>
                <w:lang w:val="en-US" w:eastAsia="zh-CN"/>
              </w:rPr>
              <w:t>2.家具用品（张）</w:t>
            </w:r>
          </w:p>
        </w:tc>
        <w:tc>
          <w:tcPr>
            <w:tcW w:w="2835" w:type="dxa"/>
            <w:vAlign w:val="center"/>
          </w:tcPr>
          <w:p>
            <w:pPr>
              <w:pStyle w:val="15"/>
              <w:ind w:firstLine="0" w:firstLineChars="0"/>
            </w:pPr>
            <w:r>
              <w:rPr>
                <w:rFonts w:hint="eastAsia"/>
                <w:lang w:val="en-US" w:eastAsia="zh-CN"/>
              </w:rPr>
              <w:t>8</w:t>
            </w:r>
          </w:p>
        </w:tc>
        <w:tc>
          <w:tcPr>
            <w:tcW w:w="2835" w:type="dxa"/>
            <w:vAlign w:val="center"/>
          </w:tcPr>
          <w:p>
            <w:pPr>
              <w:pStyle w:val="13"/>
              <w:ind w:firstLine="0" w:firstLineChars="0"/>
              <w:jc w:val="center"/>
            </w:pPr>
            <w:r>
              <w:rPr>
                <w:rFonts w:hint="eastAsia"/>
                <w:lang w:val="en-US" w:eastAsia="zh-CN"/>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ind w:firstLine="0" w:firstLineChars="0"/>
              <w:jc w:val="center"/>
            </w:pPr>
            <w:r>
              <w:rPr>
                <w:rFonts w:hint="eastAsia"/>
                <w:lang w:eastAsia="zh-CN"/>
              </w:rPr>
              <w:t>固定资产金额</w:t>
            </w:r>
          </w:p>
        </w:tc>
        <w:tc>
          <w:tcPr>
            <w:tcW w:w="2835" w:type="dxa"/>
            <w:vAlign w:val="center"/>
          </w:tcPr>
          <w:p>
            <w:pPr>
              <w:pStyle w:val="15"/>
              <w:ind w:firstLine="0" w:firstLineChars="0"/>
            </w:pPr>
          </w:p>
        </w:tc>
        <w:tc>
          <w:tcPr>
            <w:tcW w:w="2835" w:type="dxa"/>
            <w:vAlign w:val="center"/>
          </w:tcPr>
          <w:p>
            <w:pPr>
              <w:pStyle w:val="13"/>
              <w:ind w:firstLine="0" w:firstLineChars="0"/>
              <w:jc w:val="center"/>
            </w:pPr>
            <w:r>
              <w:rPr>
                <w:rFonts w:hint="eastAsia"/>
                <w:lang w:val="en-US" w:eastAsia="zh-CN"/>
              </w:rPr>
              <w:t>1.93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iZDFhZGIwMjRiZDA3ZWE0MzliMTQwMWNjMWI0MTcifQ=="/>
  </w:docVars>
  <w:rsids>
    <w:rsidRoot w:val="00000000"/>
    <w:rsid w:val="00040E6E"/>
    <w:rsid w:val="00643BE3"/>
    <w:rsid w:val="00931656"/>
    <w:rsid w:val="00C75CC1"/>
    <w:rsid w:val="00E92866"/>
    <w:rsid w:val="00F205CE"/>
    <w:rsid w:val="010827C0"/>
    <w:rsid w:val="010D3EFE"/>
    <w:rsid w:val="013730A5"/>
    <w:rsid w:val="016A5229"/>
    <w:rsid w:val="022C6982"/>
    <w:rsid w:val="023375B6"/>
    <w:rsid w:val="02403C86"/>
    <w:rsid w:val="02A62291"/>
    <w:rsid w:val="02D768EE"/>
    <w:rsid w:val="02FE3F81"/>
    <w:rsid w:val="030671D3"/>
    <w:rsid w:val="034E3CB1"/>
    <w:rsid w:val="035F0179"/>
    <w:rsid w:val="03EC6418"/>
    <w:rsid w:val="04471852"/>
    <w:rsid w:val="04C11604"/>
    <w:rsid w:val="051554AC"/>
    <w:rsid w:val="051931EE"/>
    <w:rsid w:val="05294D64"/>
    <w:rsid w:val="05551D4C"/>
    <w:rsid w:val="05B747B5"/>
    <w:rsid w:val="05B90B89"/>
    <w:rsid w:val="05BE1FE7"/>
    <w:rsid w:val="060774EA"/>
    <w:rsid w:val="064E5741"/>
    <w:rsid w:val="065344DE"/>
    <w:rsid w:val="0680104B"/>
    <w:rsid w:val="069042C4"/>
    <w:rsid w:val="06EB6E0C"/>
    <w:rsid w:val="06F07F7E"/>
    <w:rsid w:val="0796000D"/>
    <w:rsid w:val="07A56FBB"/>
    <w:rsid w:val="07B0770E"/>
    <w:rsid w:val="07BA04DB"/>
    <w:rsid w:val="07D93108"/>
    <w:rsid w:val="07EF46DA"/>
    <w:rsid w:val="081952B3"/>
    <w:rsid w:val="084C5688"/>
    <w:rsid w:val="085A5FF7"/>
    <w:rsid w:val="087F0F2D"/>
    <w:rsid w:val="08964B56"/>
    <w:rsid w:val="08BF40AC"/>
    <w:rsid w:val="08D60105"/>
    <w:rsid w:val="0930099F"/>
    <w:rsid w:val="09894884"/>
    <w:rsid w:val="09C83435"/>
    <w:rsid w:val="09E57B43"/>
    <w:rsid w:val="0A173A74"/>
    <w:rsid w:val="0A2A37A7"/>
    <w:rsid w:val="0A3002E1"/>
    <w:rsid w:val="0A9B5CF9"/>
    <w:rsid w:val="0AAC1FC6"/>
    <w:rsid w:val="0AB415CF"/>
    <w:rsid w:val="0ADB7197"/>
    <w:rsid w:val="0B163D2C"/>
    <w:rsid w:val="0B2E376B"/>
    <w:rsid w:val="0BDD4154"/>
    <w:rsid w:val="0C05627A"/>
    <w:rsid w:val="0C4D07AA"/>
    <w:rsid w:val="0C5C3A6E"/>
    <w:rsid w:val="0C832E23"/>
    <w:rsid w:val="0C917B0E"/>
    <w:rsid w:val="0C9870EE"/>
    <w:rsid w:val="0D2F0593"/>
    <w:rsid w:val="0D8B6C53"/>
    <w:rsid w:val="0D8E10AA"/>
    <w:rsid w:val="0D9A4F5E"/>
    <w:rsid w:val="0DCB52A1"/>
    <w:rsid w:val="0E342E47"/>
    <w:rsid w:val="0E3E1F7C"/>
    <w:rsid w:val="0E9D049B"/>
    <w:rsid w:val="0FC95811"/>
    <w:rsid w:val="0FDD12BC"/>
    <w:rsid w:val="0FDF2F6F"/>
    <w:rsid w:val="0FF442E2"/>
    <w:rsid w:val="10151DD4"/>
    <w:rsid w:val="107E484D"/>
    <w:rsid w:val="10974502"/>
    <w:rsid w:val="10A65B52"/>
    <w:rsid w:val="10AB142F"/>
    <w:rsid w:val="10B116A2"/>
    <w:rsid w:val="10B34A9A"/>
    <w:rsid w:val="10E723F2"/>
    <w:rsid w:val="11074842"/>
    <w:rsid w:val="112076B2"/>
    <w:rsid w:val="11352B54"/>
    <w:rsid w:val="11421D1E"/>
    <w:rsid w:val="11A93670"/>
    <w:rsid w:val="11A958FA"/>
    <w:rsid w:val="11C52008"/>
    <w:rsid w:val="12816876"/>
    <w:rsid w:val="12883761"/>
    <w:rsid w:val="12A367ED"/>
    <w:rsid w:val="12CE3384"/>
    <w:rsid w:val="12EA06CC"/>
    <w:rsid w:val="1336140F"/>
    <w:rsid w:val="1340228E"/>
    <w:rsid w:val="137837D5"/>
    <w:rsid w:val="13CF0260"/>
    <w:rsid w:val="141E51F0"/>
    <w:rsid w:val="14253460"/>
    <w:rsid w:val="145048EB"/>
    <w:rsid w:val="145C6C53"/>
    <w:rsid w:val="14813126"/>
    <w:rsid w:val="14B7032D"/>
    <w:rsid w:val="14DE7716"/>
    <w:rsid w:val="15C9656A"/>
    <w:rsid w:val="15FF5E46"/>
    <w:rsid w:val="16057435"/>
    <w:rsid w:val="166B13D0"/>
    <w:rsid w:val="167E55A7"/>
    <w:rsid w:val="16A6065A"/>
    <w:rsid w:val="16D01B7A"/>
    <w:rsid w:val="16E64EFA"/>
    <w:rsid w:val="1719707D"/>
    <w:rsid w:val="171F3122"/>
    <w:rsid w:val="179928DD"/>
    <w:rsid w:val="17C0574B"/>
    <w:rsid w:val="180B10BC"/>
    <w:rsid w:val="185365BF"/>
    <w:rsid w:val="18CD6371"/>
    <w:rsid w:val="18DE057F"/>
    <w:rsid w:val="18F953B8"/>
    <w:rsid w:val="19834846"/>
    <w:rsid w:val="198509FA"/>
    <w:rsid w:val="199663FA"/>
    <w:rsid w:val="19BC1F42"/>
    <w:rsid w:val="19DE010A"/>
    <w:rsid w:val="19F82192"/>
    <w:rsid w:val="1A491AD4"/>
    <w:rsid w:val="1A8C5DB8"/>
    <w:rsid w:val="1AF23E6D"/>
    <w:rsid w:val="1AF851FC"/>
    <w:rsid w:val="1B0436BF"/>
    <w:rsid w:val="1B087B35"/>
    <w:rsid w:val="1B1C70FB"/>
    <w:rsid w:val="1B775612"/>
    <w:rsid w:val="1B7C4315"/>
    <w:rsid w:val="1B8B6070"/>
    <w:rsid w:val="1B974A15"/>
    <w:rsid w:val="1BA23AE5"/>
    <w:rsid w:val="1BDD6BCF"/>
    <w:rsid w:val="1BFD36C5"/>
    <w:rsid w:val="1C2F4C4D"/>
    <w:rsid w:val="1C3A08D4"/>
    <w:rsid w:val="1C4C57FF"/>
    <w:rsid w:val="1C5F51C6"/>
    <w:rsid w:val="1CE57F1E"/>
    <w:rsid w:val="1CE67A02"/>
    <w:rsid w:val="1CE7377A"/>
    <w:rsid w:val="1D2247B2"/>
    <w:rsid w:val="1D570900"/>
    <w:rsid w:val="1D5D0E0B"/>
    <w:rsid w:val="1DA10FC2"/>
    <w:rsid w:val="1DBC4FE6"/>
    <w:rsid w:val="1DBE272D"/>
    <w:rsid w:val="1E0F11DA"/>
    <w:rsid w:val="1E3F274D"/>
    <w:rsid w:val="1E85149C"/>
    <w:rsid w:val="1EA72126"/>
    <w:rsid w:val="1EC75611"/>
    <w:rsid w:val="1F226CEB"/>
    <w:rsid w:val="1F4153C3"/>
    <w:rsid w:val="1FF266BE"/>
    <w:rsid w:val="1FF40688"/>
    <w:rsid w:val="200F7270"/>
    <w:rsid w:val="200F76A6"/>
    <w:rsid w:val="201865BF"/>
    <w:rsid w:val="20592BE1"/>
    <w:rsid w:val="20861683"/>
    <w:rsid w:val="209C2214"/>
    <w:rsid w:val="20A64532"/>
    <w:rsid w:val="20D34084"/>
    <w:rsid w:val="216E6218"/>
    <w:rsid w:val="21F229A5"/>
    <w:rsid w:val="22001566"/>
    <w:rsid w:val="22334856"/>
    <w:rsid w:val="22BE7B97"/>
    <w:rsid w:val="22FC78F8"/>
    <w:rsid w:val="2305275B"/>
    <w:rsid w:val="23164DB9"/>
    <w:rsid w:val="231764A8"/>
    <w:rsid w:val="239A0718"/>
    <w:rsid w:val="239C3122"/>
    <w:rsid w:val="23A56138"/>
    <w:rsid w:val="23C13EDB"/>
    <w:rsid w:val="23E66539"/>
    <w:rsid w:val="23F252C0"/>
    <w:rsid w:val="24417C14"/>
    <w:rsid w:val="2442300E"/>
    <w:rsid w:val="24747FE9"/>
    <w:rsid w:val="24775DB4"/>
    <w:rsid w:val="2480073C"/>
    <w:rsid w:val="25090731"/>
    <w:rsid w:val="255C0AB5"/>
    <w:rsid w:val="25AF13AC"/>
    <w:rsid w:val="25F339CE"/>
    <w:rsid w:val="261D1FBA"/>
    <w:rsid w:val="263315C3"/>
    <w:rsid w:val="26AB5818"/>
    <w:rsid w:val="26C32B62"/>
    <w:rsid w:val="26C80178"/>
    <w:rsid w:val="26CB349E"/>
    <w:rsid w:val="270A7F20"/>
    <w:rsid w:val="275E5EB1"/>
    <w:rsid w:val="27C04855"/>
    <w:rsid w:val="27E45486"/>
    <w:rsid w:val="27EC7E96"/>
    <w:rsid w:val="288051AE"/>
    <w:rsid w:val="28856E04"/>
    <w:rsid w:val="28D043D2"/>
    <w:rsid w:val="29096BD2"/>
    <w:rsid w:val="29147C8F"/>
    <w:rsid w:val="29283150"/>
    <w:rsid w:val="294F34D1"/>
    <w:rsid w:val="29D8191C"/>
    <w:rsid w:val="2A426494"/>
    <w:rsid w:val="2A930A9D"/>
    <w:rsid w:val="2B606BD1"/>
    <w:rsid w:val="2B624A3B"/>
    <w:rsid w:val="2B8A1EA0"/>
    <w:rsid w:val="2B9140C6"/>
    <w:rsid w:val="2BB67139"/>
    <w:rsid w:val="2BC5737C"/>
    <w:rsid w:val="2C004054"/>
    <w:rsid w:val="2C5A7BC2"/>
    <w:rsid w:val="2C7F535E"/>
    <w:rsid w:val="2C8879D7"/>
    <w:rsid w:val="2CA64AB8"/>
    <w:rsid w:val="2CCE400E"/>
    <w:rsid w:val="2CD72C54"/>
    <w:rsid w:val="2CED6B8B"/>
    <w:rsid w:val="2D2307FE"/>
    <w:rsid w:val="2D285F31"/>
    <w:rsid w:val="2D2F2CFF"/>
    <w:rsid w:val="2D300825"/>
    <w:rsid w:val="2D7149CE"/>
    <w:rsid w:val="2D83304B"/>
    <w:rsid w:val="2DAF3E40"/>
    <w:rsid w:val="2DB76B15"/>
    <w:rsid w:val="2DDA23E8"/>
    <w:rsid w:val="2DEA4E78"/>
    <w:rsid w:val="2E536746"/>
    <w:rsid w:val="2E5A5945"/>
    <w:rsid w:val="2F3357D4"/>
    <w:rsid w:val="2F4F1612"/>
    <w:rsid w:val="2F6F1AD9"/>
    <w:rsid w:val="2FEA0268"/>
    <w:rsid w:val="300114B1"/>
    <w:rsid w:val="301306B6"/>
    <w:rsid w:val="306233EC"/>
    <w:rsid w:val="30D74501"/>
    <w:rsid w:val="31440D43"/>
    <w:rsid w:val="3163741B"/>
    <w:rsid w:val="3194066D"/>
    <w:rsid w:val="31C22EA0"/>
    <w:rsid w:val="31C3435E"/>
    <w:rsid w:val="31CB13C9"/>
    <w:rsid w:val="31DB5204"/>
    <w:rsid w:val="324E3C27"/>
    <w:rsid w:val="32EB3B6C"/>
    <w:rsid w:val="32F43417"/>
    <w:rsid w:val="330A4485"/>
    <w:rsid w:val="330A7AFB"/>
    <w:rsid w:val="334176E6"/>
    <w:rsid w:val="339B7340"/>
    <w:rsid w:val="339C174C"/>
    <w:rsid w:val="33F20F2A"/>
    <w:rsid w:val="34311A53"/>
    <w:rsid w:val="34E940DB"/>
    <w:rsid w:val="34F211E2"/>
    <w:rsid w:val="35004F81"/>
    <w:rsid w:val="358A6C0E"/>
    <w:rsid w:val="360C62D3"/>
    <w:rsid w:val="3613710F"/>
    <w:rsid w:val="363C2BC4"/>
    <w:rsid w:val="36973A6B"/>
    <w:rsid w:val="37AD3697"/>
    <w:rsid w:val="37BA58BB"/>
    <w:rsid w:val="37C4673A"/>
    <w:rsid w:val="381274A5"/>
    <w:rsid w:val="381B0A50"/>
    <w:rsid w:val="383A69FC"/>
    <w:rsid w:val="38714956"/>
    <w:rsid w:val="388859B9"/>
    <w:rsid w:val="38B14F10"/>
    <w:rsid w:val="3902576C"/>
    <w:rsid w:val="391A0D07"/>
    <w:rsid w:val="397E75E4"/>
    <w:rsid w:val="39A6259B"/>
    <w:rsid w:val="39E84962"/>
    <w:rsid w:val="39F72DF7"/>
    <w:rsid w:val="3A241712"/>
    <w:rsid w:val="3A26548A"/>
    <w:rsid w:val="3A2B2B4A"/>
    <w:rsid w:val="3A9C574C"/>
    <w:rsid w:val="3AA12D62"/>
    <w:rsid w:val="3AD15273"/>
    <w:rsid w:val="3AF85078"/>
    <w:rsid w:val="3B201ED9"/>
    <w:rsid w:val="3B5129DA"/>
    <w:rsid w:val="3B516536"/>
    <w:rsid w:val="3B567FF1"/>
    <w:rsid w:val="3BEF2B4D"/>
    <w:rsid w:val="3C37572C"/>
    <w:rsid w:val="3C3F2833"/>
    <w:rsid w:val="3C701445"/>
    <w:rsid w:val="3CBD0327"/>
    <w:rsid w:val="3CD9606B"/>
    <w:rsid w:val="3CEC29BB"/>
    <w:rsid w:val="3D100B2A"/>
    <w:rsid w:val="3D7529B0"/>
    <w:rsid w:val="3DAF084E"/>
    <w:rsid w:val="3DCE3E6E"/>
    <w:rsid w:val="3DDF607B"/>
    <w:rsid w:val="3DE6740A"/>
    <w:rsid w:val="3E19659F"/>
    <w:rsid w:val="3E1F5331"/>
    <w:rsid w:val="3F0E7A41"/>
    <w:rsid w:val="3F144AD7"/>
    <w:rsid w:val="3F6B2D2B"/>
    <w:rsid w:val="3FFA719D"/>
    <w:rsid w:val="3FFB1C76"/>
    <w:rsid w:val="405A12FE"/>
    <w:rsid w:val="405B0A5F"/>
    <w:rsid w:val="40703903"/>
    <w:rsid w:val="40866C82"/>
    <w:rsid w:val="40B732E0"/>
    <w:rsid w:val="40BC6B48"/>
    <w:rsid w:val="40C34833"/>
    <w:rsid w:val="40CB0B39"/>
    <w:rsid w:val="40D13611"/>
    <w:rsid w:val="40D75730"/>
    <w:rsid w:val="411E335F"/>
    <w:rsid w:val="418A09F4"/>
    <w:rsid w:val="41915912"/>
    <w:rsid w:val="41B65345"/>
    <w:rsid w:val="41D91034"/>
    <w:rsid w:val="42024A2E"/>
    <w:rsid w:val="42116A20"/>
    <w:rsid w:val="421502BE"/>
    <w:rsid w:val="42246753"/>
    <w:rsid w:val="426E4D48"/>
    <w:rsid w:val="42F0679A"/>
    <w:rsid w:val="433F136A"/>
    <w:rsid w:val="43471FE5"/>
    <w:rsid w:val="43670FED"/>
    <w:rsid w:val="43684A23"/>
    <w:rsid w:val="43DD153F"/>
    <w:rsid w:val="43EA69B6"/>
    <w:rsid w:val="44D97CC8"/>
    <w:rsid w:val="45251DDE"/>
    <w:rsid w:val="454B2248"/>
    <w:rsid w:val="459B141C"/>
    <w:rsid w:val="462F1280"/>
    <w:rsid w:val="462F5E6A"/>
    <w:rsid w:val="46372227"/>
    <w:rsid w:val="46524241"/>
    <w:rsid w:val="465305B7"/>
    <w:rsid w:val="46830FA7"/>
    <w:rsid w:val="468679DC"/>
    <w:rsid w:val="46B81B2D"/>
    <w:rsid w:val="46D00C57"/>
    <w:rsid w:val="471E7C15"/>
    <w:rsid w:val="47307948"/>
    <w:rsid w:val="474D674C"/>
    <w:rsid w:val="47B17EC7"/>
    <w:rsid w:val="4800556C"/>
    <w:rsid w:val="480D7C89"/>
    <w:rsid w:val="49064E04"/>
    <w:rsid w:val="490E3CB9"/>
    <w:rsid w:val="492D2391"/>
    <w:rsid w:val="494249BB"/>
    <w:rsid w:val="495D254A"/>
    <w:rsid w:val="49D243A1"/>
    <w:rsid w:val="49F31A11"/>
    <w:rsid w:val="4A0D21C2"/>
    <w:rsid w:val="4A2319E6"/>
    <w:rsid w:val="4A241DF1"/>
    <w:rsid w:val="4A4F09E1"/>
    <w:rsid w:val="4A5120AF"/>
    <w:rsid w:val="4ADA2ABE"/>
    <w:rsid w:val="4AE9329F"/>
    <w:rsid w:val="4AFA15FB"/>
    <w:rsid w:val="4B3774F7"/>
    <w:rsid w:val="4B563752"/>
    <w:rsid w:val="4B5F07FC"/>
    <w:rsid w:val="4B761187"/>
    <w:rsid w:val="4B7A73E4"/>
    <w:rsid w:val="4B7D0C82"/>
    <w:rsid w:val="4BA5402A"/>
    <w:rsid w:val="4BBE3774"/>
    <w:rsid w:val="4BDA206F"/>
    <w:rsid w:val="4BE331DB"/>
    <w:rsid w:val="4C3752D5"/>
    <w:rsid w:val="4C4341F5"/>
    <w:rsid w:val="4C91241F"/>
    <w:rsid w:val="4C9F1402"/>
    <w:rsid w:val="4CC76658"/>
    <w:rsid w:val="4CF32D3D"/>
    <w:rsid w:val="4D5679DC"/>
    <w:rsid w:val="4D6C0FAE"/>
    <w:rsid w:val="4E2C2A55"/>
    <w:rsid w:val="4E4925F9"/>
    <w:rsid w:val="4E6112A5"/>
    <w:rsid w:val="4E775E5C"/>
    <w:rsid w:val="4E964534"/>
    <w:rsid w:val="4EAA7FE0"/>
    <w:rsid w:val="4EEC05F8"/>
    <w:rsid w:val="4EFB506E"/>
    <w:rsid w:val="4F2A1121"/>
    <w:rsid w:val="4F4210BE"/>
    <w:rsid w:val="4F7622B4"/>
    <w:rsid w:val="4F7F146C"/>
    <w:rsid w:val="4F89697F"/>
    <w:rsid w:val="4FCF72BB"/>
    <w:rsid w:val="501658D5"/>
    <w:rsid w:val="502E7C52"/>
    <w:rsid w:val="505D5412"/>
    <w:rsid w:val="50F87728"/>
    <w:rsid w:val="50FA3B34"/>
    <w:rsid w:val="51CE66DB"/>
    <w:rsid w:val="51D830B6"/>
    <w:rsid w:val="51E6045F"/>
    <w:rsid w:val="51E67581"/>
    <w:rsid w:val="52892D6A"/>
    <w:rsid w:val="52DC0984"/>
    <w:rsid w:val="52F74712"/>
    <w:rsid w:val="53034162"/>
    <w:rsid w:val="53043E75"/>
    <w:rsid w:val="5371731E"/>
    <w:rsid w:val="53762B86"/>
    <w:rsid w:val="53842779"/>
    <w:rsid w:val="539D6365"/>
    <w:rsid w:val="53D06CA2"/>
    <w:rsid w:val="53D8114B"/>
    <w:rsid w:val="53FA5565"/>
    <w:rsid w:val="542D76E9"/>
    <w:rsid w:val="545F361A"/>
    <w:rsid w:val="54A0435F"/>
    <w:rsid w:val="54B020C8"/>
    <w:rsid w:val="54B24092"/>
    <w:rsid w:val="550A5C7C"/>
    <w:rsid w:val="559425F0"/>
    <w:rsid w:val="55A7171D"/>
    <w:rsid w:val="5612303A"/>
    <w:rsid w:val="562D25B4"/>
    <w:rsid w:val="56503B63"/>
    <w:rsid w:val="565F5230"/>
    <w:rsid w:val="56694C24"/>
    <w:rsid w:val="56731B3E"/>
    <w:rsid w:val="568630E0"/>
    <w:rsid w:val="568A7075"/>
    <w:rsid w:val="57790E97"/>
    <w:rsid w:val="579A4DF2"/>
    <w:rsid w:val="57CC7219"/>
    <w:rsid w:val="57E9312A"/>
    <w:rsid w:val="58A27F7A"/>
    <w:rsid w:val="591F781C"/>
    <w:rsid w:val="59757E35"/>
    <w:rsid w:val="59A74F0E"/>
    <w:rsid w:val="59AF12B9"/>
    <w:rsid w:val="59B9510A"/>
    <w:rsid w:val="59C60A89"/>
    <w:rsid w:val="59CC52AE"/>
    <w:rsid w:val="59E07329"/>
    <w:rsid w:val="5A2275C4"/>
    <w:rsid w:val="5A6E45B7"/>
    <w:rsid w:val="5A783688"/>
    <w:rsid w:val="5A962C48"/>
    <w:rsid w:val="5A9A1850"/>
    <w:rsid w:val="5A9E5E67"/>
    <w:rsid w:val="5AC32B55"/>
    <w:rsid w:val="5ADC3C17"/>
    <w:rsid w:val="5B1D5796"/>
    <w:rsid w:val="5B433C96"/>
    <w:rsid w:val="5B433D33"/>
    <w:rsid w:val="5B4506D2"/>
    <w:rsid w:val="5B6D2AC1"/>
    <w:rsid w:val="5B99183B"/>
    <w:rsid w:val="5B995664"/>
    <w:rsid w:val="5BC31BCA"/>
    <w:rsid w:val="5C173E24"/>
    <w:rsid w:val="5C1E200D"/>
    <w:rsid w:val="5C252EE1"/>
    <w:rsid w:val="5C361105"/>
    <w:rsid w:val="5CB5471F"/>
    <w:rsid w:val="5CEB1EEF"/>
    <w:rsid w:val="5CF52D6E"/>
    <w:rsid w:val="5CF83A26"/>
    <w:rsid w:val="5D375134"/>
    <w:rsid w:val="5D5E0913"/>
    <w:rsid w:val="5D8924AB"/>
    <w:rsid w:val="5DFD637E"/>
    <w:rsid w:val="5E280F21"/>
    <w:rsid w:val="5E283F46"/>
    <w:rsid w:val="5EAB402C"/>
    <w:rsid w:val="5F4A5B1F"/>
    <w:rsid w:val="5F6D2922"/>
    <w:rsid w:val="5F6E6E08"/>
    <w:rsid w:val="5F942D12"/>
    <w:rsid w:val="5FA168CF"/>
    <w:rsid w:val="601B3DC0"/>
    <w:rsid w:val="604A517F"/>
    <w:rsid w:val="60771CEC"/>
    <w:rsid w:val="60940AF0"/>
    <w:rsid w:val="60D07E21"/>
    <w:rsid w:val="61181F1A"/>
    <w:rsid w:val="61B76844"/>
    <w:rsid w:val="61FF370F"/>
    <w:rsid w:val="62173786"/>
    <w:rsid w:val="62243678"/>
    <w:rsid w:val="623B56C7"/>
    <w:rsid w:val="62802DF2"/>
    <w:rsid w:val="62D022B3"/>
    <w:rsid w:val="62E418BB"/>
    <w:rsid w:val="62F31BF5"/>
    <w:rsid w:val="64030466"/>
    <w:rsid w:val="6424218B"/>
    <w:rsid w:val="64430863"/>
    <w:rsid w:val="646B11FC"/>
    <w:rsid w:val="64CF20F6"/>
    <w:rsid w:val="64D176A3"/>
    <w:rsid w:val="65414924"/>
    <w:rsid w:val="65BF3B8D"/>
    <w:rsid w:val="65C77271"/>
    <w:rsid w:val="65C92FEA"/>
    <w:rsid w:val="676D1753"/>
    <w:rsid w:val="67B35CFF"/>
    <w:rsid w:val="684833E0"/>
    <w:rsid w:val="68567A56"/>
    <w:rsid w:val="685E210F"/>
    <w:rsid w:val="686B6B0D"/>
    <w:rsid w:val="68817BAC"/>
    <w:rsid w:val="68831B76"/>
    <w:rsid w:val="696F3EA8"/>
    <w:rsid w:val="69821E2D"/>
    <w:rsid w:val="69D361E5"/>
    <w:rsid w:val="69E4657A"/>
    <w:rsid w:val="69F937FB"/>
    <w:rsid w:val="6A9040D6"/>
    <w:rsid w:val="6AA87672"/>
    <w:rsid w:val="6B0600C0"/>
    <w:rsid w:val="6B301415"/>
    <w:rsid w:val="6B6F1F3D"/>
    <w:rsid w:val="6B737C7F"/>
    <w:rsid w:val="6BFB1A23"/>
    <w:rsid w:val="6C096CBF"/>
    <w:rsid w:val="6C2C6080"/>
    <w:rsid w:val="6C4B4758"/>
    <w:rsid w:val="6C5555D7"/>
    <w:rsid w:val="6CA976D1"/>
    <w:rsid w:val="6CAB3449"/>
    <w:rsid w:val="6CB8291E"/>
    <w:rsid w:val="6CBE317C"/>
    <w:rsid w:val="6D36185D"/>
    <w:rsid w:val="6D8141AA"/>
    <w:rsid w:val="6E34121C"/>
    <w:rsid w:val="6E5C0D00"/>
    <w:rsid w:val="6EBF6757"/>
    <w:rsid w:val="6EEB1191"/>
    <w:rsid w:val="6F1E43A6"/>
    <w:rsid w:val="6F4A3F3C"/>
    <w:rsid w:val="6F502086"/>
    <w:rsid w:val="6F646F71"/>
    <w:rsid w:val="6FA7614A"/>
    <w:rsid w:val="6FE32EFA"/>
    <w:rsid w:val="6FE96534"/>
    <w:rsid w:val="706950A3"/>
    <w:rsid w:val="70BD199D"/>
    <w:rsid w:val="70D77F28"/>
    <w:rsid w:val="710F1337"/>
    <w:rsid w:val="71193077"/>
    <w:rsid w:val="712B4B58"/>
    <w:rsid w:val="71683119"/>
    <w:rsid w:val="71722787"/>
    <w:rsid w:val="71836742"/>
    <w:rsid w:val="71ED1E0E"/>
    <w:rsid w:val="7229553C"/>
    <w:rsid w:val="72312642"/>
    <w:rsid w:val="725D51E5"/>
    <w:rsid w:val="727D63C7"/>
    <w:rsid w:val="72E24FC7"/>
    <w:rsid w:val="72E254FD"/>
    <w:rsid w:val="72E476B5"/>
    <w:rsid w:val="72F21323"/>
    <w:rsid w:val="732C6241"/>
    <w:rsid w:val="738E13CF"/>
    <w:rsid w:val="739C1D3D"/>
    <w:rsid w:val="73AA6208"/>
    <w:rsid w:val="73F64FDE"/>
    <w:rsid w:val="74784559"/>
    <w:rsid w:val="75157FF9"/>
    <w:rsid w:val="756D1BE3"/>
    <w:rsid w:val="75751129"/>
    <w:rsid w:val="75AD3D8E"/>
    <w:rsid w:val="75EB2B08"/>
    <w:rsid w:val="764B1AB0"/>
    <w:rsid w:val="767672D1"/>
    <w:rsid w:val="769211D6"/>
    <w:rsid w:val="769A026B"/>
    <w:rsid w:val="769E5DCD"/>
    <w:rsid w:val="769F401E"/>
    <w:rsid w:val="76AA4771"/>
    <w:rsid w:val="76AE24AB"/>
    <w:rsid w:val="76CC0B8C"/>
    <w:rsid w:val="770C3AED"/>
    <w:rsid w:val="773D67BB"/>
    <w:rsid w:val="77404108"/>
    <w:rsid w:val="77976AA4"/>
    <w:rsid w:val="779E031E"/>
    <w:rsid w:val="77AD276B"/>
    <w:rsid w:val="77C61DA6"/>
    <w:rsid w:val="77F24622"/>
    <w:rsid w:val="78161D6A"/>
    <w:rsid w:val="784422EE"/>
    <w:rsid w:val="792512B8"/>
    <w:rsid w:val="793A6280"/>
    <w:rsid w:val="793B3DA7"/>
    <w:rsid w:val="79621333"/>
    <w:rsid w:val="798E2128"/>
    <w:rsid w:val="799D352A"/>
    <w:rsid w:val="79DA536E"/>
    <w:rsid w:val="7A2860D9"/>
    <w:rsid w:val="7A2F7467"/>
    <w:rsid w:val="7A5E7D4D"/>
    <w:rsid w:val="7B18439F"/>
    <w:rsid w:val="7B22057D"/>
    <w:rsid w:val="7B65510B"/>
    <w:rsid w:val="7B6B0973"/>
    <w:rsid w:val="7B9D48A5"/>
    <w:rsid w:val="7BB06386"/>
    <w:rsid w:val="7C2A2AC3"/>
    <w:rsid w:val="7C4F50C8"/>
    <w:rsid w:val="7C6D4277"/>
    <w:rsid w:val="7C831CEC"/>
    <w:rsid w:val="7C9D5FDB"/>
    <w:rsid w:val="7CB84A5A"/>
    <w:rsid w:val="7CDB7433"/>
    <w:rsid w:val="7D0050EB"/>
    <w:rsid w:val="7D0821F2"/>
    <w:rsid w:val="7D6E3C91"/>
    <w:rsid w:val="7D913F95"/>
    <w:rsid w:val="7DC0201E"/>
    <w:rsid w:val="7DC600E3"/>
    <w:rsid w:val="7DF3597E"/>
    <w:rsid w:val="7E327526"/>
    <w:rsid w:val="7E462FD2"/>
    <w:rsid w:val="7EAF501B"/>
    <w:rsid w:val="7EE953D2"/>
    <w:rsid w:val="7F045D64"/>
    <w:rsid w:val="7F054C3B"/>
    <w:rsid w:val="7F160BF6"/>
    <w:rsid w:val="7F171820"/>
    <w:rsid w:val="7F2D47C7"/>
    <w:rsid w:val="7F4875B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2022-07-29T10:46:54Z</dcterms:created>
  <dcterms:modified xsi:type="dcterms:W3CDTF">2022-07-29T02:46:54Z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2022-07-29T10:46:57Z</dcterms:created>
  <dcterms:modified xsi:type="dcterms:W3CDTF">2022-07-29T02:46:57Z</dcterms:modified>
</cp:coreProperties>
</file>

<file path=customXml/itemProps1.xml><?xml version="1.0" encoding="utf-8"?>
<ds:datastoreItem xmlns:ds="http://schemas.openxmlformats.org/officeDocument/2006/customXml" ds:itemID="{815195e5-3682-4581-8b09-49c9a450458b}">
  <ds:schemaRefs/>
</ds:datastoreItem>
</file>

<file path=customXml/itemProps10.xml><?xml version="1.0" encoding="utf-8"?>
<ds:datastoreItem xmlns:ds="http://schemas.openxmlformats.org/officeDocument/2006/customXml" ds:itemID="{1c06766b-f202-4821-afea-de6cd934f161}">
  <ds:schemaRefs/>
</ds:datastoreItem>
</file>

<file path=customXml/itemProps11.xml><?xml version="1.0" encoding="utf-8"?>
<ds:datastoreItem xmlns:ds="http://schemas.openxmlformats.org/officeDocument/2006/customXml" ds:itemID="{4da06f0a-710e-4b86-b1f6-0d9c265309fe}">
  <ds:schemaRefs/>
</ds:datastoreItem>
</file>

<file path=customXml/itemProps12.xml><?xml version="1.0" encoding="utf-8"?>
<ds:datastoreItem xmlns:ds="http://schemas.openxmlformats.org/officeDocument/2006/customXml" ds:itemID="{100ee51a-872a-424c-a893-a188f3d9fe9b}">
  <ds:schemaRefs/>
</ds:datastoreItem>
</file>

<file path=customXml/itemProps13.xml><?xml version="1.0" encoding="utf-8"?>
<ds:datastoreItem xmlns:ds="http://schemas.openxmlformats.org/officeDocument/2006/customXml" ds:itemID="{f326f2cc-01d3-414b-8d27-0b039665b820}">
  <ds:schemaRefs/>
</ds:datastoreItem>
</file>

<file path=customXml/itemProps14.xml><?xml version="1.0" encoding="utf-8"?>
<ds:datastoreItem xmlns:ds="http://schemas.openxmlformats.org/officeDocument/2006/customXml" ds:itemID="{6208a89f-deee-4e73-836d-f76425de1855}">
  <ds:schemaRefs/>
</ds:datastoreItem>
</file>

<file path=customXml/itemProps15.xml><?xml version="1.0" encoding="utf-8"?>
<ds:datastoreItem xmlns:ds="http://schemas.openxmlformats.org/officeDocument/2006/customXml" ds:itemID="{39d5ff32-f447-405a-97c4-d7b6406749a4}">
  <ds:schemaRefs/>
</ds:datastoreItem>
</file>

<file path=customXml/itemProps16.xml><?xml version="1.0" encoding="utf-8"?>
<ds:datastoreItem xmlns:ds="http://schemas.openxmlformats.org/officeDocument/2006/customXml" ds:itemID="{ca74be1f-422a-46b1-8576-f294fec9d6b7}">
  <ds:schemaRefs/>
</ds:datastoreItem>
</file>

<file path=customXml/itemProps17.xml><?xml version="1.0" encoding="utf-8"?>
<ds:datastoreItem xmlns:ds="http://schemas.openxmlformats.org/officeDocument/2006/customXml" ds:itemID="{c7f92682-cea7-4cda-acb0-9b102a4db753}">
  <ds:schemaRefs/>
</ds:datastoreItem>
</file>

<file path=customXml/itemProps18.xml><?xml version="1.0" encoding="utf-8"?>
<ds:datastoreItem xmlns:ds="http://schemas.openxmlformats.org/officeDocument/2006/customXml" ds:itemID="{f84ed7e2-cf01-4249-852b-44699c05cc07}">
  <ds:schemaRefs/>
</ds:datastoreItem>
</file>

<file path=customXml/itemProps19.xml><?xml version="1.0" encoding="utf-8"?>
<ds:datastoreItem xmlns:ds="http://schemas.openxmlformats.org/officeDocument/2006/customXml" ds:itemID="{bdd97287-4511-4d0d-8beb-71d3322637c1}">
  <ds:schemaRefs/>
</ds:datastoreItem>
</file>

<file path=customXml/itemProps2.xml><?xml version="1.0" encoding="utf-8"?>
<ds:datastoreItem xmlns:ds="http://schemas.openxmlformats.org/officeDocument/2006/customXml" ds:itemID="{2bd60f3d-40dd-4e8d-b186-6b13b29ae1e7}">
  <ds:schemaRefs/>
</ds:datastoreItem>
</file>

<file path=customXml/itemProps20.xml><?xml version="1.0" encoding="utf-8"?>
<ds:datastoreItem xmlns:ds="http://schemas.openxmlformats.org/officeDocument/2006/customXml" ds:itemID="{036b4130-85b2-4e31-9cd7-da87da3b5041}">
  <ds:schemaRefs/>
</ds:datastoreItem>
</file>

<file path=customXml/itemProps21.xml><?xml version="1.0" encoding="utf-8"?>
<ds:datastoreItem xmlns:ds="http://schemas.openxmlformats.org/officeDocument/2006/customXml" ds:itemID="{f36aae77-8e29-4208-8dc9-de7cdda491bc}">
  <ds:schemaRefs/>
</ds:datastoreItem>
</file>

<file path=customXml/itemProps22.xml><?xml version="1.0" encoding="utf-8"?>
<ds:datastoreItem xmlns:ds="http://schemas.openxmlformats.org/officeDocument/2006/customXml" ds:itemID="{1637bdf5-d9a7-4957-a93a-13920390a4f4}">
  <ds:schemaRefs/>
</ds:datastoreItem>
</file>

<file path=customXml/itemProps23.xml><?xml version="1.0" encoding="utf-8"?>
<ds:datastoreItem xmlns:ds="http://schemas.openxmlformats.org/officeDocument/2006/customXml" ds:itemID="{a3a0f6c4-c953-407a-89d0-16d450658658}">
  <ds:schemaRefs/>
</ds:datastoreItem>
</file>

<file path=customXml/itemProps24.xml><?xml version="1.0" encoding="utf-8"?>
<ds:datastoreItem xmlns:ds="http://schemas.openxmlformats.org/officeDocument/2006/customXml" ds:itemID="{2ce22ec8-d5f5-4d8c-97c4-81729bd30650}">
  <ds:schemaRefs/>
</ds:datastoreItem>
</file>

<file path=customXml/itemProps25.xml><?xml version="1.0" encoding="utf-8"?>
<ds:datastoreItem xmlns:ds="http://schemas.openxmlformats.org/officeDocument/2006/customXml" ds:itemID="{19cbca7a-401d-4c1e-b4b0-5b4529869db5}">
  <ds:schemaRefs/>
</ds:datastoreItem>
</file>

<file path=customXml/itemProps26.xml><?xml version="1.0" encoding="utf-8"?>
<ds:datastoreItem xmlns:ds="http://schemas.openxmlformats.org/officeDocument/2006/customXml" ds:itemID="{a9fd658b-3779-420d-9d85-4b3753d04871}">
  <ds:schemaRefs/>
</ds:datastoreItem>
</file>

<file path=customXml/itemProps27.xml><?xml version="1.0" encoding="utf-8"?>
<ds:datastoreItem xmlns:ds="http://schemas.openxmlformats.org/officeDocument/2006/customXml" ds:itemID="{5f403e0a-838b-4794-974b-88488787eca5}">
  <ds:schemaRefs/>
</ds:datastoreItem>
</file>

<file path=customXml/itemProps28.xml><?xml version="1.0" encoding="utf-8"?>
<ds:datastoreItem xmlns:ds="http://schemas.openxmlformats.org/officeDocument/2006/customXml" ds:itemID="{22249aa3-f669-4921-891a-b019ed61cd14}">
  <ds:schemaRefs/>
</ds:datastoreItem>
</file>

<file path=customXml/itemProps29.xml><?xml version="1.0" encoding="utf-8"?>
<ds:datastoreItem xmlns:ds="http://schemas.openxmlformats.org/officeDocument/2006/customXml" ds:itemID="{29d05b66-39aa-4309-83f5-7fb72329dd07}">
  <ds:schemaRefs/>
</ds:datastoreItem>
</file>

<file path=customXml/itemProps3.xml><?xml version="1.0" encoding="utf-8"?>
<ds:datastoreItem xmlns:ds="http://schemas.openxmlformats.org/officeDocument/2006/customXml" ds:itemID="{3a493fbe-af73-4c79-b041-5de1f2f91449}">
  <ds:schemaRefs/>
</ds:datastoreItem>
</file>

<file path=customXml/itemProps30.xml><?xml version="1.0" encoding="utf-8"?>
<ds:datastoreItem xmlns:ds="http://schemas.openxmlformats.org/officeDocument/2006/customXml" ds:itemID="{43fb54fd-8ff6-4c63-9749-c593a51c6a25}">
  <ds:schemaRefs/>
</ds:datastoreItem>
</file>

<file path=customXml/itemProps4.xml><?xml version="1.0" encoding="utf-8"?>
<ds:datastoreItem xmlns:ds="http://schemas.openxmlformats.org/officeDocument/2006/customXml" ds:itemID="{7e827f43-cb5f-4a44-b9f8-61ee11988084}">
  <ds:schemaRefs/>
</ds:datastoreItem>
</file>

<file path=customXml/itemProps5.xml><?xml version="1.0" encoding="utf-8"?>
<ds:datastoreItem xmlns:ds="http://schemas.openxmlformats.org/officeDocument/2006/customXml" ds:itemID="{e7b8e3d8-c470-42ca-bbde-88dc2d694b31}">
  <ds:schemaRefs/>
</ds:datastoreItem>
</file>

<file path=customXml/itemProps6.xml><?xml version="1.0" encoding="utf-8"?>
<ds:datastoreItem xmlns:ds="http://schemas.openxmlformats.org/officeDocument/2006/customXml" ds:itemID="{46bdc11e-4a6a-4f97-bea5-283afbec611f}">
  <ds:schemaRefs/>
</ds:datastoreItem>
</file>

<file path=customXml/itemProps7.xml><?xml version="1.0" encoding="utf-8"?>
<ds:datastoreItem xmlns:ds="http://schemas.openxmlformats.org/officeDocument/2006/customXml" ds:itemID="{65591813-cacf-45f9-94d2-6b19797ff24f}">
  <ds:schemaRefs/>
</ds:datastoreItem>
</file>

<file path=customXml/itemProps8.xml><?xml version="1.0" encoding="utf-8"?>
<ds:datastoreItem xmlns:ds="http://schemas.openxmlformats.org/officeDocument/2006/customXml" ds:itemID="{463fb1b2-9fcb-4143-b084-df49d72ee5b8}">
  <ds:schemaRefs/>
</ds:datastoreItem>
</file>

<file path=customXml/itemProps9.xml><?xml version="1.0" encoding="utf-8"?>
<ds:datastoreItem xmlns:ds="http://schemas.openxmlformats.org/officeDocument/2006/customXml" ds:itemID="{ff99bfb0-cf01-4d0c-b0d7-e90dcbe72b87}">
  <ds:schemaRefs/>
</ds:datastoreItem>
</file>

<file path=docProps/app.xml><?xml version="1.0" encoding="utf-8"?>
<Properties xmlns="http://schemas.openxmlformats.org/officeDocument/2006/extended-properties" xmlns:vt="http://schemas.openxmlformats.org/officeDocument/2006/docPropsVTypes">
  <Pages>57</Pages>
  <Words>16355</Words>
  <Characters>19470</Characters>
  <TotalTime>2</TotalTime>
  <ScaleCrop>false</ScaleCrop>
  <LinksUpToDate>false</LinksUpToDate>
  <CharactersWithSpaces>20449</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2022-07-29T10:46:00Z</dcterms:created>
  <dc:creator>Administrator</dc:creator>
  <cp:lastModifiedBy>刘sir</cp:lastModifiedBy>
  <dcterms:modified xsi:type="dcterms:W3CDTF">2023-09-04T06:46:03Z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71BC5F0617944567ABD0B22D45EAD5D3</vt:lpwstr>
  </property>
</Properties>
</file>