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36</w:t>
      </w:r>
      <w:r>
        <w:fldChar w:fldCharType="end"/>
      </w:r>
      <w:r>
        <w:fldChar w:fldCharType="end"/>
      </w:r>
    </w:p>
    <w:p>
      <w:pPr>
        <w:pStyle w:val="3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36</w:t>
      </w:r>
      <w:r>
        <w:fldChar w:fldCharType="end"/>
      </w:r>
      <w:r>
        <w:fldChar w:fldCharType="end"/>
      </w:r>
    </w:p>
    <w:p>
      <w:pPr>
        <w:pStyle w:val="3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36</w:t>
      </w:r>
      <w:r>
        <w:fldChar w:fldCharType="end"/>
      </w:r>
      <w:r>
        <w:fldChar w:fldCharType="end"/>
      </w:r>
    </w:p>
    <w:p>
      <w:pPr>
        <w:pStyle w:val="3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37</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一、宁晋县行政审批局本级收支预算</w:t>
      </w:r>
      <w:r>
        <w:tab/>
      </w:r>
      <w:r>
        <w:fldChar w:fldCharType="begin"/>
      </w:r>
      <w:r>
        <w:instrText xml:space="preserve">PAGEREF _Toc_4_4_0000000019 \h</w:instrText>
      </w:r>
      <w:r>
        <w:fldChar w:fldCharType="separate"/>
      </w:r>
      <w:r>
        <w:t>39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436宁晋县行政审批局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w:t>
            </w:r>
            <w:r>
              <w:rPr>
                <w:rFonts w:hint="eastAsia"/>
                <w:lang w:val="en-US" w:eastAsia="zh-CN"/>
              </w:rPr>
              <w:t>44.9</w:t>
            </w:r>
            <w:r>
              <w:t>4</w:t>
            </w:r>
          </w:p>
        </w:tc>
        <w:tc>
          <w:tcPr>
            <w:tcW w:w="4535" w:type="dxa"/>
            <w:vAlign w:val="center"/>
          </w:tcPr>
          <w:p>
            <w:pPr>
              <w:pStyle w:val="14"/>
            </w:pPr>
            <w:r>
              <w:t>一、一般公共服务支出</w:t>
            </w:r>
          </w:p>
        </w:tc>
        <w:tc>
          <w:tcPr>
            <w:tcW w:w="2126" w:type="dxa"/>
            <w:vAlign w:val="center"/>
          </w:tcPr>
          <w:p>
            <w:pPr>
              <w:pStyle w:val="13"/>
            </w:pPr>
            <w:r>
              <w:t>7</w:t>
            </w:r>
            <w:r>
              <w:rPr>
                <w:rFonts w:hint="eastAsia"/>
                <w:lang w:val="en-US" w:eastAsia="zh-CN"/>
              </w:rPr>
              <w:t>26.0</w:t>
            </w: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rPr>
                <w:rFonts w:hint="eastAsia" w:eastAsia="方正书宋_GBK"/>
                <w:lang w:eastAsia="zh-CN"/>
              </w:rPr>
            </w:pPr>
            <w:r>
              <w:rPr>
                <w:rFonts w:hint="eastAsia"/>
                <w:lang w:eastAsia="zh-CN"/>
              </w:rPr>
              <w:t>844.94</w:t>
            </w:r>
          </w:p>
        </w:tc>
        <w:tc>
          <w:tcPr>
            <w:tcW w:w="4535" w:type="dxa"/>
            <w:vAlign w:val="center"/>
          </w:tcPr>
          <w:p>
            <w:pPr>
              <w:pStyle w:val="16"/>
            </w:pPr>
            <w:r>
              <w:t>本年支出合计</w:t>
            </w:r>
          </w:p>
        </w:tc>
        <w:tc>
          <w:tcPr>
            <w:tcW w:w="2126" w:type="dxa"/>
            <w:vAlign w:val="center"/>
          </w:tcPr>
          <w:p>
            <w:pPr>
              <w:pStyle w:val="17"/>
              <w:rPr>
                <w:rFonts w:hint="eastAsia" w:eastAsia="方正书宋_GBK"/>
                <w:lang w:eastAsia="zh-CN"/>
              </w:rPr>
            </w:pPr>
            <w:r>
              <w:rPr>
                <w:rFonts w:hint="eastAsia"/>
                <w:lang w:eastAsia="zh-CN"/>
              </w:rPr>
              <w:t>844.94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rPr>
                <w:rFonts w:hint="eastAsia" w:eastAsia="方正书宋_GBK"/>
                <w:lang w:eastAsia="zh-CN"/>
              </w:rPr>
            </w:pPr>
            <w:r>
              <w:rPr>
                <w:rFonts w:hint="eastAsia"/>
                <w:lang w:eastAsia="zh-CN"/>
              </w:rPr>
              <w:t>844.94</w:t>
            </w:r>
          </w:p>
        </w:tc>
        <w:tc>
          <w:tcPr>
            <w:tcW w:w="4535" w:type="dxa"/>
            <w:vAlign w:val="center"/>
          </w:tcPr>
          <w:p>
            <w:pPr>
              <w:pStyle w:val="16"/>
            </w:pPr>
            <w:r>
              <w:t>支出总计</w:t>
            </w:r>
          </w:p>
        </w:tc>
        <w:tc>
          <w:tcPr>
            <w:tcW w:w="2126" w:type="dxa"/>
            <w:vAlign w:val="center"/>
          </w:tcPr>
          <w:p>
            <w:pPr>
              <w:pStyle w:val="17"/>
              <w:rPr>
                <w:rFonts w:hint="eastAsia" w:eastAsia="方正书宋_GBK"/>
                <w:lang w:eastAsia="zh-CN"/>
              </w:rPr>
            </w:pPr>
            <w:r>
              <w:rPr>
                <w:rFonts w:hint="eastAsia"/>
                <w:lang w:eastAsia="zh-CN"/>
              </w:rPr>
              <w:t>844.94</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436宁晋县行政审批局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w:t>
            </w:r>
            <w:r>
              <w:rPr>
                <w:rFonts w:hint="eastAsia"/>
                <w:lang w:val="en-US" w:eastAsia="zh-CN"/>
              </w:rPr>
              <w:t>44.9</w:t>
            </w:r>
            <w:r>
              <w:t>4</w:t>
            </w:r>
          </w:p>
        </w:tc>
        <w:tc>
          <w:tcPr>
            <w:tcW w:w="1134" w:type="dxa"/>
            <w:vAlign w:val="center"/>
          </w:tcPr>
          <w:p>
            <w:pPr>
              <w:pStyle w:val="17"/>
            </w:pPr>
            <w:r>
              <w:t>8</w:t>
            </w:r>
            <w:r>
              <w:rPr>
                <w:rFonts w:hint="eastAsia"/>
                <w:lang w:val="en-US" w:eastAsia="zh-CN"/>
              </w:rPr>
              <w:t>44.9</w:t>
            </w:r>
            <w:r>
              <w:t>4</w:t>
            </w:r>
          </w:p>
        </w:tc>
        <w:tc>
          <w:tcPr>
            <w:tcW w:w="1134" w:type="dxa"/>
            <w:vAlign w:val="center"/>
          </w:tcPr>
          <w:p>
            <w:pPr>
              <w:pStyle w:val="17"/>
            </w:pPr>
            <w:r>
              <w:t>8</w:t>
            </w:r>
            <w:r>
              <w:rPr>
                <w:rFonts w:hint="eastAsia"/>
                <w:lang w:val="en-US" w:eastAsia="zh-CN"/>
              </w:rPr>
              <w:t>44.9</w:t>
            </w:r>
            <w:r>
              <w:t>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w:t>
            </w:r>
            <w:r>
              <w:rPr>
                <w:rFonts w:hint="eastAsia"/>
                <w:lang w:val="en-US" w:eastAsia="zh-CN"/>
              </w:rPr>
              <w:t>26.0</w:t>
            </w:r>
            <w:r>
              <w:t>5</w:t>
            </w:r>
          </w:p>
        </w:tc>
        <w:tc>
          <w:tcPr>
            <w:tcW w:w="1134" w:type="dxa"/>
            <w:vAlign w:val="center"/>
          </w:tcPr>
          <w:p>
            <w:pPr>
              <w:pStyle w:val="13"/>
            </w:pPr>
            <w:r>
              <w:t>7</w:t>
            </w:r>
            <w:r>
              <w:rPr>
                <w:rFonts w:hint="eastAsia"/>
                <w:lang w:val="en-US" w:eastAsia="zh-CN"/>
              </w:rPr>
              <w:t>26.0</w:t>
            </w:r>
            <w:r>
              <w:t>5</w:t>
            </w:r>
          </w:p>
        </w:tc>
        <w:tc>
          <w:tcPr>
            <w:tcW w:w="1134" w:type="dxa"/>
            <w:vAlign w:val="center"/>
          </w:tcPr>
          <w:p>
            <w:pPr>
              <w:pStyle w:val="13"/>
            </w:pPr>
            <w:r>
              <w:t>7</w:t>
            </w:r>
            <w:r>
              <w:rPr>
                <w:rFonts w:hint="eastAsia"/>
                <w:lang w:val="en-US" w:eastAsia="zh-CN"/>
              </w:rPr>
              <w:t>26.0</w:t>
            </w:r>
            <w:r>
              <w:t>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7</w:t>
            </w:r>
            <w:r>
              <w:rPr>
                <w:rFonts w:hint="eastAsia"/>
                <w:lang w:val="en-US" w:eastAsia="zh-CN"/>
              </w:rPr>
              <w:t>26.0</w:t>
            </w:r>
            <w:r>
              <w:t>5</w:t>
            </w:r>
          </w:p>
        </w:tc>
        <w:tc>
          <w:tcPr>
            <w:tcW w:w="1134" w:type="dxa"/>
            <w:vAlign w:val="center"/>
          </w:tcPr>
          <w:p>
            <w:pPr>
              <w:pStyle w:val="13"/>
            </w:pPr>
            <w:r>
              <w:t>7</w:t>
            </w:r>
            <w:r>
              <w:rPr>
                <w:rFonts w:hint="eastAsia"/>
                <w:lang w:val="en-US" w:eastAsia="zh-CN"/>
              </w:rPr>
              <w:t>26.0</w:t>
            </w:r>
            <w:r>
              <w:t>5</w:t>
            </w:r>
          </w:p>
        </w:tc>
        <w:tc>
          <w:tcPr>
            <w:tcW w:w="1134" w:type="dxa"/>
            <w:vAlign w:val="center"/>
          </w:tcPr>
          <w:p>
            <w:pPr>
              <w:pStyle w:val="13"/>
            </w:pPr>
            <w:r>
              <w:t>7</w:t>
            </w:r>
            <w:r>
              <w:rPr>
                <w:rFonts w:hint="eastAsia"/>
                <w:lang w:val="en-US" w:eastAsia="zh-CN"/>
              </w:rPr>
              <w:t>26.0</w:t>
            </w:r>
            <w:r>
              <w:t>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420.03</w:t>
            </w:r>
          </w:p>
        </w:tc>
        <w:tc>
          <w:tcPr>
            <w:tcW w:w="1134" w:type="dxa"/>
            <w:vAlign w:val="center"/>
          </w:tcPr>
          <w:p>
            <w:pPr>
              <w:pStyle w:val="13"/>
            </w:pPr>
            <w:r>
              <w:t>420.03</w:t>
            </w:r>
          </w:p>
        </w:tc>
        <w:tc>
          <w:tcPr>
            <w:tcW w:w="1134" w:type="dxa"/>
            <w:vAlign w:val="center"/>
          </w:tcPr>
          <w:p>
            <w:pPr>
              <w:pStyle w:val="13"/>
            </w:pPr>
            <w:r>
              <w:t>420.03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2010306</w:t>
            </w:r>
          </w:p>
        </w:tc>
        <w:tc>
          <w:tcPr>
            <w:tcW w:w="1559" w:type="dxa"/>
            <w:vAlign w:val="center"/>
          </w:tcPr>
          <w:p>
            <w:pPr>
              <w:pStyle w:val="14"/>
            </w:pPr>
            <w:r>
              <w:t>政务公开审批</w:t>
            </w:r>
          </w:p>
        </w:tc>
        <w:tc>
          <w:tcPr>
            <w:tcW w:w="1134" w:type="dxa"/>
            <w:vAlign w:val="center"/>
          </w:tcPr>
          <w:p>
            <w:pPr>
              <w:pStyle w:val="13"/>
              <w:rPr>
                <w:rFonts w:hint="eastAsia" w:eastAsia="方正书宋_GBK"/>
                <w:lang w:eastAsia="zh-CN"/>
              </w:rPr>
            </w:pPr>
            <w:r>
              <w:rPr>
                <w:rFonts w:hint="eastAsia"/>
                <w:lang w:eastAsia="zh-CN"/>
              </w:rPr>
              <w:t>306.02</w:t>
            </w:r>
          </w:p>
        </w:tc>
        <w:tc>
          <w:tcPr>
            <w:tcW w:w="1134" w:type="dxa"/>
            <w:vAlign w:val="center"/>
          </w:tcPr>
          <w:p>
            <w:pPr>
              <w:pStyle w:val="13"/>
              <w:rPr>
                <w:rFonts w:hint="eastAsia" w:eastAsia="方正书宋_GBK"/>
                <w:lang w:eastAsia="zh-CN"/>
              </w:rPr>
            </w:pPr>
            <w:r>
              <w:rPr>
                <w:rFonts w:hint="eastAsia"/>
                <w:lang w:eastAsia="zh-CN"/>
              </w:rPr>
              <w:t>306.02</w:t>
            </w:r>
          </w:p>
        </w:tc>
        <w:tc>
          <w:tcPr>
            <w:tcW w:w="1134" w:type="dxa"/>
            <w:vAlign w:val="center"/>
          </w:tcPr>
          <w:p>
            <w:pPr>
              <w:pStyle w:val="13"/>
              <w:rPr>
                <w:rFonts w:hint="eastAsia" w:eastAsia="方正书宋_GBK"/>
                <w:lang w:eastAsia="zh-CN"/>
              </w:rPr>
            </w:pPr>
            <w:r>
              <w:rPr>
                <w:rFonts w:hint="eastAsia"/>
                <w:lang w:eastAsia="zh-CN"/>
              </w:rPr>
              <w:t>306.02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55.07</w:t>
            </w:r>
          </w:p>
        </w:tc>
        <w:tc>
          <w:tcPr>
            <w:tcW w:w="1134" w:type="dxa"/>
            <w:vAlign w:val="center"/>
          </w:tcPr>
          <w:p>
            <w:pPr>
              <w:pStyle w:val="13"/>
            </w:pPr>
            <w:r>
              <w:t>55.07</w:t>
            </w:r>
          </w:p>
        </w:tc>
        <w:tc>
          <w:tcPr>
            <w:tcW w:w="1134" w:type="dxa"/>
            <w:vAlign w:val="center"/>
          </w:tcPr>
          <w:p>
            <w:pPr>
              <w:pStyle w:val="13"/>
            </w:pPr>
            <w:r>
              <w:t>55.07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53.60</w:t>
            </w:r>
          </w:p>
        </w:tc>
        <w:tc>
          <w:tcPr>
            <w:tcW w:w="1134" w:type="dxa"/>
            <w:vAlign w:val="center"/>
          </w:tcPr>
          <w:p>
            <w:pPr>
              <w:pStyle w:val="13"/>
            </w:pPr>
            <w:r>
              <w:t>53.60</w:t>
            </w:r>
          </w:p>
        </w:tc>
        <w:tc>
          <w:tcPr>
            <w:tcW w:w="1134" w:type="dxa"/>
            <w:vAlign w:val="center"/>
          </w:tcPr>
          <w:p>
            <w:pPr>
              <w:pStyle w:val="13"/>
            </w:pPr>
            <w:r>
              <w:t>53.60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53.60</w:t>
            </w:r>
          </w:p>
        </w:tc>
        <w:tc>
          <w:tcPr>
            <w:tcW w:w="1134" w:type="dxa"/>
            <w:vAlign w:val="center"/>
          </w:tcPr>
          <w:p>
            <w:pPr>
              <w:pStyle w:val="13"/>
            </w:pPr>
            <w:r>
              <w:t>53.60</w:t>
            </w:r>
          </w:p>
        </w:tc>
        <w:tc>
          <w:tcPr>
            <w:tcW w:w="1134" w:type="dxa"/>
            <w:vAlign w:val="center"/>
          </w:tcPr>
          <w:p>
            <w:pPr>
              <w:pStyle w:val="13"/>
            </w:pPr>
            <w:r>
              <w:t>53.60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436宁晋县行政审批局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w:t>
            </w:r>
            <w:r>
              <w:rPr>
                <w:rFonts w:hint="eastAsia"/>
                <w:lang w:val="en-US" w:eastAsia="zh-CN"/>
              </w:rPr>
              <w:t>44.9</w:t>
            </w:r>
            <w:r>
              <w:t>4</w:t>
            </w:r>
          </w:p>
        </w:tc>
        <w:tc>
          <w:tcPr>
            <w:tcW w:w="1361" w:type="dxa"/>
            <w:vAlign w:val="center"/>
          </w:tcPr>
          <w:p>
            <w:pPr>
              <w:pStyle w:val="17"/>
            </w:pPr>
            <w:r>
              <w:t>538.92</w:t>
            </w:r>
          </w:p>
        </w:tc>
        <w:tc>
          <w:tcPr>
            <w:tcW w:w="1361" w:type="dxa"/>
            <w:vAlign w:val="center"/>
          </w:tcPr>
          <w:p>
            <w:pPr>
              <w:pStyle w:val="17"/>
            </w:pPr>
            <w:r>
              <w:t>3</w:t>
            </w:r>
            <w:r>
              <w:rPr>
                <w:rFonts w:hint="eastAsia"/>
                <w:lang w:val="en-US" w:eastAsia="zh-CN"/>
              </w:rPr>
              <w:t>06.0</w:t>
            </w:r>
            <w:r>
              <w:t>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w:t>
            </w:r>
            <w:r>
              <w:rPr>
                <w:rFonts w:hint="eastAsia"/>
                <w:lang w:val="en-US" w:eastAsia="zh-CN"/>
              </w:rPr>
              <w:t>26.0</w:t>
            </w:r>
            <w:r>
              <w:t>5</w:t>
            </w:r>
          </w:p>
        </w:tc>
        <w:tc>
          <w:tcPr>
            <w:tcW w:w="1361" w:type="dxa"/>
            <w:vAlign w:val="center"/>
          </w:tcPr>
          <w:p>
            <w:pPr>
              <w:pStyle w:val="13"/>
            </w:pPr>
            <w:r>
              <w:t>420.03</w:t>
            </w:r>
          </w:p>
        </w:tc>
        <w:tc>
          <w:tcPr>
            <w:tcW w:w="1361" w:type="dxa"/>
            <w:vAlign w:val="center"/>
          </w:tcPr>
          <w:p>
            <w:pPr>
              <w:pStyle w:val="13"/>
            </w:pPr>
            <w:r>
              <w:t>3</w:t>
            </w:r>
            <w:r>
              <w:rPr>
                <w:rFonts w:hint="eastAsia"/>
                <w:lang w:val="en-US" w:eastAsia="zh-CN"/>
              </w:rPr>
              <w:t>06.0</w:t>
            </w:r>
            <w:r>
              <w:t>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7</w:t>
            </w:r>
            <w:r>
              <w:rPr>
                <w:rFonts w:hint="eastAsia"/>
                <w:lang w:val="en-US" w:eastAsia="zh-CN"/>
              </w:rPr>
              <w:t>26.0</w:t>
            </w:r>
            <w:r>
              <w:t>5</w:t>
            </w:r>
          </w:p>
        </w:tc>
        <w:tc>
          <w:tcPr>
            <w:tcW w:w="1361" w:type="dxa"/>
            <w:vAlign w:val="center"/>
          </w:tcPr>
          <w:p>
            <w:pPr>
              <w:pStyle w:val="13"/>
            </w:pPr>
            <w:r>
              <w:t>420.03</w:t>
            </w:r>
          </w:p>
        </w:tc>
        <w:tc>
          <w:tcPr>
            <w:tcW w:w="1361" w:type="dxa"/>
            <w:vAlign w:val="center"/>
          </w:tcPr>
          <w:p>
            <w:pPr>
              <w:pStyle w:val="13"/>
            </w:pPr>
            <w:r>
              <w:t>3</w:t>
            </w:r>
            <w:r>
              <w:rPr>
                <w:rFonts w:hint="eastAsia"/>
                <w:lang w:val="en-US" w:eastAsia="zh-CN"/>
              </w:rPr>
              <w:t>06.0</w:t>
            </w:r>
            <w:r>
              <w:t>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420.03</w:t>
            </w:r>
          </w:p>
        </w:tc>
        <w:tc>
          <w:tcPr>
            <w:tcW w:w="1361" w:type="dxa"/>
            <w:vAlign w:val="center"/>
          </w:tcPr>
          <w:p>
            <w:pPr>
              <w:pStyle w:val="13"/>
            </w:pPr>
            <w:r>
              <w:t>420.03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2010306</w:t>
            </w:r>
          </w:p>
        </w:tc>
        <w:tc>
          <w:tcPr>
            <w:tcW w:w="4535" w:type="dxa"/>
            <w:vAlign w:val="center"/>
          </w:tcPr>
          <w:p>
            <w:pPr>
              <w:pStyle w:val="14"/>
            </w:pPr>
            <w:r>
              <w:t>政务公开审批</w:t>
            </w:r>
          </w:p>
        </w:tc>
        <w:tc>
          <w:tcPr>
            <w:tcW w:w="1361" w:type="dxa"/>
            <w:vAlign w:val="center"/>
          </w:tcPr>
          <w:p>
            <w:pPr>
              <w:pStyle w:val="13"/>
            </w:pPr>
            <w:r>
              <w:t>3</w:t>
            </w:r>
            <w:r>
              <w:rPr>
                <w:rFonts w:hint="eastAsia"/>
                <w:lang w:val="en-US" w:eastAsia="zh-CN"/>
              </w:rPr>
              <w:t>06.0</w:t>
            </w:r>
            <w:r>
              <w:t>2</w:t>
            </w:r>
          </w:p>
        </w:tc>
        <w:tc>
          <w:tcPr>
            <w:tcW w:w="1361" w:type="dxa"/>
            <w:vAlign w:val="center"/>
          </w:tcPr>
          <w:p>
            <w:pPr>
              <w:pStyle w:val="13"/>
            </w:pPr>
          </w:p>
        </w:tc>
        <w:tc>
          <w:tcPr>
            <w:tcW w:w="1361" w:type="dxa"/>
            <w:vAlign w:val="center"/>
          </w:tcPr>
          <w:p>
            <w:pPr>
              <w:pStyle w:val="13"/>
            </w:pPr>
            <w:r>
              <w:t>3</w:t>
            </w:r>
            <w:r>
              <w:rPr>
                <w:rFonts w:hint="eastAsia"/>
                <w:lang w:val="en-US" w:eastAsia="zh-CN"/>
              </w:rPr>
              <w:t>06.0</w:t>
            </w:r>
            <w:r>
              <w:t>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55.07</w:t>
            </w:r>
          </w:p>
        </w:tc>
        <w:tc>
          <w:tcPr>
            <w:tcW w:w="1361" w:type="dxa"/>
            <w:vAlign w:val="center"/>
          </w:tcPr>
          <w:p>
            <w:pPr>
              <w:pStyle w:val="13"/>
            </w:pPr>
            <w:r>
              <w:t>55.07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53.60</w:t>
            </w:r>
          </w:p>
        </w:tc>
        <w:tc>
          <w:tcPr>
            <w:tcW w:w="1361" w:type="dxa"/>
            <w:vAlign w:val="center"/>
          </w:tcPr>
          <w:p>
            <w:pPr>
              <w:pStyle w:val="13"/>
            </w:pPr>
            <w:r>
              <w:t>53.60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53.60</w:t>
            </w:r>
          </w:p>
        </w:tc>
        <w:tc>
          <w:tcPr>
            <w:tcW w:w="1361" w:type="dxa"/>
            <w:vAlign w:val="center"/>
          </w:tcPr>
          <w:p>
            <w:pPr>
              <w:pStyle w:val="13"/>
            </w:pPr>
            <w:r>
              <w:t>53.60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1.47</w:t>
            </w:r>
          </w:p>
        </w:tc>
        <w:tc>
          <w:tcPr>
            <w:tcW w:w="1361" w:type="dxa"/>
            <w:vAlign w:val="center"/>
          </w:tcPr>
          <w:p>
            <w:pPr>
              <w:pStyle w:val="13"/>
            </w:pPr>
            <w:r>
              <w:t>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1.47</w:t>
            </w:r>
          </w:p>
        </w:tc>
        <w:tc>
          <w:tcPr>
            <w:tcW w:w="1361" w:type="dxa"/>
            <w:vAlign w:val="center"/>
          </w:tcPr>
          <w:p>
            <w:pPr>
              <w:pStyle w:val="13"/>
            </w:pPr>
            <w:r>
              <w:t>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21.17</w:t>
            </w:r>
          </w:p>
        </w:tc>
        <w:tc>
          <w:tcPr>
            <w:tcW w:w="1361" w:type="dxa"/>
            <w:vAlign w:val="center"/>
          </w:tcPr>
          <w:p>
            <w:pPr>
              <w:pStyle w:val="13"/>
            </w:pPr>
            <w:r>
              <w:t>21.17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21.17</w:t>
            </w:r>
          </w:p>
        </w:tc>
        <w:tc>
          <w:tcPr>
            <w:tcW w:w="1361" w:type="dxa"/>
            <w:vAlign w:val="center"/>
          </w:tcPr>
          <w:p>
            <w:pPr>
              <w:pStyle w:val="13"/>
            </w:pPr>
            <w:r>
              <w:t>21.17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21.17</w:t>
            </w:r>
          </w:p>
        </w:tc>
        <w:tc>
          <w:tcPr>
            <w:tcW w:w="1361" w:type="dxa"/>
            <w:vAlign w:val="center"/>
          </w:tcPr>
          <w:p>
            <w:pPr>
              <w:pStyle w:val="13"/>
            </w:pPr>
            <w:r>
              <w:t>21.17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42.65</w:t>
            </w:r>
          </w:p>
        </w:tc>
        <w:tc>
          <w:tcPr>
            <w:tcW w:w="1361" w:type="dxa"/>
            <w:vAlign w:val="center"/>
          </w:tcPr>
          <w:p>
            <w:pPr>
              <w:pStyle w:val="13"/>
            </w:pPr>
            <w:r>
              <w:t>42.65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42.65</w:t>
            </w:r>
          </w:p>
        </w:tc>
        <w:tc>
          <w:tcPr>
            <w:tcW w:w="1361" w:type="dxa"/>
            <w:vAlign w:val="center"/>
          </w:tcPr>
          <w:p>
            <w:pPr>
              <w:pStyle w:val="13"/>
            </w:pPr>
            <w:r>
              <w:t>42.65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42.65</w:t>
            </w:r>
          </w:p>
        </w:tc>
        <w:tc>
          <w:tcPr>
            <w:tcW w:w="1361" w:type="dxa"/>
            <w:vAlign w:val="center"/>
          </w:tcPr>
          <w:p>
            <w:pPr>
              <w:pStyle w:val="13"/>
            </w:pPr>
            <w:r>
              <w:t>42.65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436宁晋县行政审批局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rPr>
                <w:rFonts w:hint="eastAsia" w:eastAsia="方正书宋_GBK"/>
                <w:lang w:eastAsia="zh-CN"/>
              </w:rPr>
            </w:pPr>
            <w:r>
              <w:rPr>
                <w:rFonts w:hint="eastAsia"/>
                <w:lang w:eastAsia="zh-CN"/>
              </w:rPr>
              <w:t>844.94</w:t>
            </w:r>
          </w:p>
        </w:tc>
        <w:tc>
          <w:tcPr>
            <w:tcW w:w="3402" w:type="dxa"/>
            <w:vAlign w:val="center"/>
          </w:tcPr>
          <w:p>
            <w:pPr>
              <w:pStyle w:val="14"/>
            </w:pPr>
            <w:r>
              <w:t>一、一般公共服务支出</w:t>
            </w:r>
          </w:p>
        </w:tc>
        <w:tc>
          <w:tcPr>
            <w:tcW w:w="1474" w:type="dxa"/>
            <w:vAlign w:val="center"/>
          </w:tcPr>
          <w:p>
            <w:pPr>
              <w:pStyle w:val="13"/>
            </w:pPr>
            <w:r>
              <w:t>7</w:t>
            </w:r>
            <w:r>
              <w:rPr>
                <w:rFonts w:hint="eastAsia"/>
                <w:lang w:val="en-US" w:eastAsia="zh-CN"/>
              </w:rPr>
              <w:t>26.0</w:t>
            </w:r>
            <w:r>
              <w:t>5</w:t>
            </w:r>
          </w:p>
        </w:tc>
        <w:tc>
          <w:tcPr>
            <w:tcW w:w="1474" w:type="dxa"/>
            <w:vAlign w:val="center"/>
          </w:tcPr>
          <w:p>
            <w:pPr>
              <w:pStyle w:val="13"/>
            </w:pPr>
            <w:r>
              <w:t>7</w:t>
            </w:r>
            <w:r>
              <w:rPr>
                <w:rFonts w:hint="eastAsia"/>
                <w:lang w:val="en-US" w:eastAsia="zh-CN"/>
              </w:rPr>
              <w:t>26.0</w:t>
            </w:r>
            <w:r>
              <w:t>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55.07</w:t>
            </w:r>
          </w:p>
        </w:tc>
        <w:tc>
          <w:tcPr>
            <w:tcW w:w="1474" w:type="dxa"/>
            <w:vAlign w:val="center"/>
          </w:tcPr>
          <w:p>
            <w:pPr>
              <w:pStyle w:val="13"/>
            </w:pPr>
            <w:r>
              <w:t>55.07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21.17</w:t>
            </w:r>
          </w:p>
        </w:tc>
        <w:tc>
          <w:tcPr>
            <w:tcW w:w="1474" w:type="dxa"/>
            <w:vAlign w:val="center"/>
          </w:tcPr>
          <w:p>
            <w:pPr>
              <w:pStyle w:val="13"/>
            </w:pPr>
            <w:r>
              <w:t>21.17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42.65</w:t>
            </w:r>
          </w:p>
        </w:tc>
        <w:tc>
          <w:tcPr>
            <w:tcW w:w="1474" w:type="dxa"/>
            <w:vAlign w:val="center"/>
          </w:tcPr>
          <w:p>
            <w:pPr>
              <w:pStyle w:val="13"/>
            </w:pPr>
            <w:r>
              <w:t>42.65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8</w:t>
            </w:r>
            <w:r>
              <w:rPr>
                <w:rFonts w:hint="eastAsia"/>
                <w:lang w:val="en-US" w:eastAsia="zh-CN"/>
              </w:rPr>
              <w:t>44.9</w:t>
            </w:r>
            <w:r>
              <w:t>4</w:t>
            </w:r>
          </w:p>
        </w:tc>
        <w:tc>
          <w:tcPr>
            <w:tcW w:w="3402" w:type="dxa"/>
            <w:vAlign w:val="center"/>
          </w:tcPr>
          <w:p>
            <w:pPr>
              <w:pStyle w:val="16"/>
            </w:pPr>
            <w:r>
              <w:t>本年支出合计</w:t>
            </w:r>
          </w:p>
        </w:tc>
        <w:tc>
          <w:tcPr>
            <w:tcW w:w="1474" w:type="dxa"/>
            <w:vAlign w:val="center"/>
          </w:tcPr>
          <w:p>
            <w:pPr>
              <w:pStyle w:val="17"/>
            </w:pPr>
            <w:r>
              <w:t>8</w:t>
            </w:r>
            <w:r>
              <w:rPr>
                <w:rFonts w:hint="eastAsia"/>
                <w:lang w:val="en-US" w:eastAsia="zh-CN"/>
              </w:rPr>
              <w:t>44.9</w:t>
            </w:r>
            <w:r>
              <w:t>4</w:t>
            </w:r>
          </w:p>
        </w:tc>
        <w:tc>
          <w:tcPr>
            <w:tcW w:w="1474" w:type="dxa"/>
            <w:vAlign w:val="center"/>
          </w:tcPr>
          <w:p>
            <w:pPr>
              <w:pStyle w:val="17"/>
            </w:pPr>
            <w:r>
              <w:t>8</w:t>
            </w:r>
            <w:r>
              <w:rPr>
                <w:rFonts w:hint="eastAsia"/>
                <w:lang w:val="en-US" w:eastAsia="zh-CN"/>
              </w:rPr>
              <w:t>44.9</w:t>
            </w:r>
            <w:r>
              <w:t>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rPr>
                <w:rFonts w:hint="eastAsia" w:eastAsia="方正书宋_GBK"/>
                <w:lang w:eastAsia="zh-CN"/>
              </w:rPr>
            </w:pPr>
            <w:r>
              <w:rPr>
                <w:rFonts w:hint="eastAsia"/>
                <w:lang w:eastAsia="zh-CN"/>
              </w:rPr>
              <w:t>844.94</w:t>
            </w:r>
          </w:p>
        </w:tc>
        <w:tc>
          <w:tcPr>
            <w:tcW w:w="3402" w:type="dxa"/>
            <w:vAlign w:val="center"/>
          </w:tcPr>
          <w:p>
            <w:pPr>
              <w:pStyle w:val="16"/>
            </w:pPr>
            <w:r>
              <w:t>支出总计</w:t>
            </w:r>
          </w:p>
        </w:tc>
        <w:tc>
          <w:tcPr>
            <w:tcW w:w="1474" w:type="dxa"/>
            <w:vAlign w:val="center"/>
          </w:tcPr>
          <w:p>
            <w:pPr>
              <w:pStyle w:val="17"/>
              <w:rPr>
                <w:rFonts w:hint="eastAsia" w:eastAsia="方正书宋_GBK"/>
                <w:lang w:eastAsia="zh-CN"/>
              </w:rPr>
            </w:pPr>
            <w:r>
              <w:rPr>
                <w:rFonts w:hint="eastAsia"/>
                <w:lang w:eastAsia="zh-CN"/>
              </w:rPr>
              <w:t>844.94</w:t>
            </w:r>
          </w:p>
        </w:tc>
        <w:tc>
          <w:tcPr>
            <w:tcW w:w="1474" w:type="dxa"/>
            <w:vAlign w:val="center"/>
          </w:tcPr>
          <w:p>
            <w:pPr>
              <w:pStyle w:val="17"/>
              <w:rPr>
                <w:rFonts w:hint="eastAsia" w:eastAsia="方正书宋_GBK"/>
                <w:lang w:eastAsia="zh-CN"/>
              </w:rPr>
            </w:pPr>
            <w:r>
              <w:rPr>
                <w:rFonts w:hint="eastAsia"/>
                <w:lang w:eastAsia="zh-CN"/>
              </w:rPr>
              <w:t>844.94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436宁晋县行政审批局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rPr>
                <w:rFonts w:hint="eastAsia" w:eastAsia="方正书宋_GBK"/>
                <w:lang w:eastAsia="zh-CN"/>
              </w:rPr>
            </w:pPr>
            <w:r>
              <w:rPr>
                <w:rFonts w:hint="eastAsia"/>
                <w:lang w:eastAsia="zh-CN"/>
              </w:rPr>
              <w:t>844.94</w:t>
            </w:r>
          </w:p>
        </w:tc>
        <w:tc>
          <w:tcPr>
            <w:tcW w:w="2551" w:type="dxa"/>
            <w:vAlign w:val="center"/>
          </w:tcPr>
          <w:p>
            <w:pPr>
              <w:pStyle w:val="17"/>
            </w:pPr>
            <w:r>
              <w:t>538.92</w:t>
            </w:r>
          </w:p>
        </w:tc>
        <w:tc>
          <w:tcPr>
            <w:tcW w:w="2551" w:type="dxa"/>
            <w:vAlign w:val="center"/>
          </w:tcPr>
          <w:p>
            <w:pPr>
              <w:pStyle w:val="17"/>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rPr>
                <w:rFonts w:hint="eastAsia" w:eastAsia="方正书宋_GBK"/>
                <w:lang w:eastAsia="zh-CN"/>
              </w:rPr>
            </w:pPr>
            <w:r>
              <w:rPr>
                <w:rFonts w:hint="eastAsia"/>
                <w:lang w:eastAsia="zh-CN"/>
              </w:rPr>
              <w:t>726.05</w:t>
            </w:r>
          </w:p>
        </w:tc>
        <w:tc>
          <w:tcPr>
            <w:tcW w:w="2551" w:type="dxa"/>
            <w:vAlign w:val="center"/>
          </w:tcPr>
          <w:p>
            <w:pPr>
              <w:pStyle w:val="13"/>
            </w:pPr>
            <w:r>
              <w:t>420.03</w:t>
            </w:r>
          </w:p>
        </w:tc>
        <w:tc>
          <w:tcPr>
            <w:tcW w:w="2551" w:type="dxa"/>
            <w:vAlign w:val="center"/>
          </w:tcPr>
          <w:p>
            <w:pPr>
              <w:pStyle w:val="13"/>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rPr>
                <w:rFonts w:hint="eastAsia" w:eastAsia="方正书宋_GBK"/>
                <w:lang w:eastAsia="zh-CN"/>
              </w:rPr>
            </w:pPr>
            <w:r>
              <w:rPr>
                <w:rFonts w:hint="eastAsia"/>
                <w:lang w:eastAsia="zh-CN"/>
              </w:rPr>
              <w:t>726.05</w:t>
            </w:r>
          </w:p>
        </w:tc>
        <w:tc>
          <w:tcPr>
            <w:tcW w:w="2551" w:type="dxa"/>
            <w:vAlign w:val="center"/>
          </w:tcPr>
          <w:p>
            <w:pPr>
              <w:pStyle w:val="13"/>
            </w:pPr>
            <w:r>
              <w:t>420.03</w:t>
            </w:r>
          </w:p>
        </w:tc>
        <w:tc>
          <w:tcPr>
            <w:tcW w:w="2551" w:type="dxa"/>
            <w:vAlign w:val="center"/>
          </w:tcPr>
          <w:p>
            <w:pPr>
              <w:pStyle w:val="13"/>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420.03</w:t>
            </w:r>
          </w:p>
        </w:tc>
        <w:tc>
          <w:tcPr>
            <w:tcW w:w="2551" w:type="dxa"/>
            <w:vAlign w:val="center"/>
          </w:tcPr>
          <w:p>
            <w:pPr>
              <w:pStyle w:val="13"/>
            </w:pPr>
            <w:r>
              <w:t>420.03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2010306</w:t>
            </w:r>
          </w:p>
        </w:tc>
        <w:tc>
          <w:tcPr>
            <w:tcW w:w="4535" w:type="dxa"/>
            <w:vAlign w:val="center"/>
          </w:tcPr>
          <w:p>
            <w:pPr>
              <w:pStyle w:val="14"/>
            </w:pPr>
            <w:r>
              <w:t>政务公开审批</w:t>
            </w:r>
          </w:p>
        </w:tc>
        <w:tc>
          <w:tcPr>
            <w:tcW w:w="2551" w:type="dxa"/>
            <w:vAlign w:val="center"/>
          </w:tcPr>
          <w:p>
            <w:pPr>
              <w:pStyle w:val="13"/>
              <w:rPr>
                <w:rFonts w:hint="eastAsia" w:eastAsia="方正书宋_GBK"/>
                <w:lang w:eastAsia="zh-CN"/>
              </w:rPr>
            </w:pPr>
            <w:r>
              <w:rPr>
                <w:rFonts w:hint="eastAsia"/>
                <w:lang w:eastAsia="zh-CN"/>
              </w:rPr>
              <w:t>306.02</w:t>
            </w:r>
          </w:p>
        </w:tc>
        <w:tc>
          <w:tcPr>
            <w:tcW w:w="2551" w:type="dxa"/>
            <w:vAlign w:val="center"/>
          </w:tcPr>
          <w:p>
            <w:pPr>
              <w:pStyle w:val="13"/>
            </w:pPr>
          </w:p>
        </w:tc>
        <w:tc>
          <w:tcPr>
            <w:tcW w:w="2551" w:type="dxa"/>
            <w:vAlign w:val="center"/>
          </w:tcPr>
          <w:p>
            <w:pPr>
              <w:pStyle w:val="13"/>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55.07</w:t>
            </w:r>
          </w:p>
        </w:tc>
        <w:tc>
          <w:tcPr>
            <w:tcW w:w="2551" w:type="dxa"/>
            <w:vAlign w:val="center"/>
          </w:tcPr>
          <w:p>
            <w:pPr>
              <w:pStyle w:val="13"/>
            </w:pPr>
            <w:r>
              <w:t>55.07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53.60</w:t>
            </w:r>
          </w:p>
        </w:tc>
        <w:tc>
          <w:tcPr>
            <w:tcW w:w="2551" w:type="dxa"/>
            <w:vAlign w:val="center"/>
          </w:tcPr>
          <w:p>
            <w:pPr>
              <w:pStyle w:val="13"/>
            </w:pPr>
            <w:r>
              <w:t>53.60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53.60</w:t>
            </w:r>
          </w:p>
        </w:tc>
        <w:tc>
          <w:tcPr>
            <w:tcW w:w="2551" w:type="dxa"/>
            <w:vAlign w:val="center"/>
          </w:tcPr>
          <w:p>
            <w:pPr>
              <w:pStyle w:val="13"/>
            </w:pPr>
            <w:r>
              <w:t>53.60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1.47</w:t>
            </w:r>
          </w:p>
        </w:tc>
        <w:tc>
          <w:tcPr>
            <w:tcW w:w="2551" w:type="dxa"/>
            <w:vAlign w:val="center"/>
          </w:tcPr>
          <w:p>
            <w:pPr>
              <w:pStyle w:val="13"/>
            </w:pPr>
            <w:r>
              <w:t>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1.47</w:t>
            </w:r>
          </w:p>
        </w:tc>
        <w:tc>
          <w:tcPr>
            <w:tcW w:w="2551" w:type="dxa"/>
            <w:vAlign w:val="center"/>
          </w:tcPr>
          <w:p>
            <w:pPr>
              <w:pStyle w:val="13"/>
            </w:pPr>
            <w:r>
              <w:t>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21.17</w:t>
            </w:r>
          </w:p>
        </w:tc>
        <w:tc>
          <w:tcPr>
            <w:tcW w:w="2551" w:type="dxa"/>
            <w:vAlign w:val="center"/>
          </w:tcPr>
          <w:p>
            <w:pPr>
              <w:pStyle w:val="13"/>
            </w:pPr>
            <w:r>
              <w:t>21.17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21.17</w:t>
            </w:r>
          </w:p>
        </w:tc>
        <w:tc>
          <w:tcPr>
            <w:tcW w:w="2551" w:type="dxa"/>
            <w:vAlign w:val="center"/>
          </w:tcPr>
          <w:p>
            <w:pPr>
              <w:pStyle w:val="13"/>
            </w:pPr>
            <w:r>
              <w:t>21.17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21.17</w:t>
            </w:r>
          </w:p>
        </w:tc>
        <w:tc>
          <w:tcPr>
            <w:tcW w:w="2551" w:type="dxa"/>
            <w:vAlign w:val="center"/>
          </w:tcPr>
          <w:p>
            <w:pPr>
              <w:pStyle w:val="13"/>
            </w:pPr>
            <w:r>
              <w:t>21.17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42.65</w:t>
            </w:r>
          </w:p>
        </w:tc>
        <w:tc>
          <w:tcPr>
            <w:tcW w:w="2551" w:type="dxa"/>
            <w:vAlign w:val="center"/>
          </w:tcPr>
          <w:p>
            <w:pPr>
              <w:pStyle w:val="13"/>
            </w:pPr>
            <w:r>
              <w:t>42.65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42.65</w:t>
            </w:r>
          </w:p>
        </w:tc>
        <w:tc>
          <w:tcPr>
            <w:tcW w:w="2551" w:type="dxa"/>
            <w:vAlign w:val="center"/>
          </w:tcPr>
          <w:p>
            <w:pPr>
              <w:pStyle w:val="13"/>
            </w:pPr>
            <w:r>
              <w:t>42.65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42.65</w:t>
            </w:r>
          </w:p>
        </w:tc>
        <w:tc>
          <w:tcPr>
            <w:tcW w:w="2551" w:type="dxa"/>
            <w:vAlign w:val="center"/>
          </w:tcPr>
          <w:p>
            <w:pPr>
              <w:pStyle w:val="13"/>
            </w:pPr>
            <w:r>
              <w:t>42.65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436宁晋县行政审批局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538.92</w:t>
            </w:r>
          </w:p>
        </w:tc>
        <w:tc>
          <w:tcPr>
            <w:tcW w:w="2551" w:type="dxa"/>
            <w:vAlign w:val="center"/>
          </w:tcPr>
          <w:p>
            <w:pPr>
              <w:pStyle w:val="17"/>
            </w:pPr>
            <w:r>
              <w:t>499.25</w:t>
            </w:r>
          </w:p>
        </w:tc>
        <w:tc>
          <w:tcPr>
            <w:tcW w:w="2551" w:type="dxa"/>
            <w:vAlign w:val="center"/>
          </w:tcPr>
          <w:p>
            <w:pPr>
              <w:pStyle w:val="17"/>
            </w:pPr>
            <w:r>
              <w:t>39.67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499.25</w:t>
            </w:r>
          </w:p>
        </w:tc>
        <w:tc>
          <w:tcPr>
            <w:tcW w:w="2551" w:type="dxa"/>
            <w:vAlign w:val="center"/>
          </w:tcPr>
          <w:p>
            <w:pPr>
              <w:pStyle w:val="13"/>
            </w:pPr>
            <w:r>
              <w:t>499.25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245.00</w:t>
            </w:r>
          </w:p>
        </w:tc>
        <w:tc>
          <w:tcPr>
            <w:tcW w:w="2551" w:type="dxa"/>
            <w:vAlign w:val="center"/>
          </w:tcPr>
          <w:p>
            <w:pPr>
              <w:pStyle w:val="13"/>
            </w:pPr>
            <w:r>
              <w:t>245.00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79.90</w:t>
            </w:r>
          </w:p>
        </w:tc>
        <w:tc>
          <w:tcPr>
            <w:tcW w:w="2551" w:type="dxa"/>
            <w:vAlign w:val="center"/>
          </w:tcPr>
          <w:p>
            <w:pPr>
              <w:pStyle w:val="13"/>
            </w:pPr>
            <w:r>
              <w:t>79.90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26.46</w:t>
            </w:r>
          </w:p>
        </w:tc>
        <w:tc>
          <w:tcPr>
            <w:tcW w:w="2551" w:type="dxa"/>
            <w:vAlign w:val="center"/>
          </w:tcPr>
          <w:p>
            <w:pPr>
              <w:pStyle w:val="13"/>
            </w:pPr>
            <w:r>
              <w:t>26.46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53.60</w:t>
            </w:r>
          </w:p>
        </w:tc>
        <w:tc>
          <w:tcPr>
            <w:tcW w:w="2551" w:type="dxa"/>
            <w:vAlign w:val="center"/>
          </w:tcPr>
          <w:p>
            <w:pPr>
              <w:pStyle w:val="13"/>
            </w:pPr>
            <w:r>
              <w:t>53.60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21.17</w:t>
            </w:r>
          </w:p>
        </w:tc>
        <w:tc>
          <w:tcPr>
            <w:tcW w:w="2551" w:type="dxa"/>
            <w:vAlign w:val="center"/>
          </w:tcPr>
          <w:p>
            <w:pPr>
              <w:pStyle w:val="13"/>
            </w:pPr>
            <w:r>
              <w:t>21.17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1.47</w:t>
            </w:r>
          </w:p>
        </w:tc>
        <w:tc>
          <w:tcPr>
            <w:tcW w:w="2551" w:type="dxa"/>
            <w:vAlign w:val="center"/>
          </w:tcPr>
          <w:p>
            <w:pPr>
              <w:pStyle w:val="13"/>
            </w:pPr>
            <w:r>
              <w:t>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42.65</w:t>
            </w:r>
          </w:p>
        </w:tc>
        <w:tc>
          <w:tcPr>
            <w:tcW w:w="2551" w:type="dxa"/>
            <w:vAlign w:val="center"/>
          </w:tcPr>
          <w:p>
            <w:pPr>
              <w:pStyle w:val="13"/>
            </w:pPr>
            <w:r>
              <w:t>42.65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39.67</w:t>
            </w:r>
          </w:p>
        </w:tc>
        <w:tc>
          <w:tcPr>
            <w:tcW w:w="2551" w:type="dxa"/>
            <w:vAlign w:val="center"/>
          </w:tcPr>
          <w:p>
            <w:pPr>
              <w:pStyle w:val="13"/>
            </w:pPr>
          </w:p>
        </w:tc>
        <w:tc>
          <w:tcPr>
            <w:tcW w:w="2551" w:type="dxa"/>
            <w:vAlign w:val="center"/>
          </w:tcPr>
          <w:p>
            <w:pPr>
              <w:pStyle w:val="13"/>
            </w:pPr>
            <w:r>
              <w:t>39.67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10.11</w:t>
            </w:r>
          </w:p>
        </w:tc>
        <w:tc>
          <w:tcPr>
            <w:tcW w:w="2551" w:type="dxa"/>
            <w:vAlign w:val="center"/>
          </w:tcPr>
          <w:p>
            <w:pPr>
              <w:pStyle w:val="13"/>
            </w:pPr>
          </w:p>
        </w:tc>
        <w:tc>
          <w:tcPr>
            <w:tcW w:w="2551" w:type="dxa"/>
            <w:vAlign w:val="center"/>
          </w:tcPr>
          <w:p>
            <w:pPr>
              <w:pStyle w:val="13"/>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7.00</w:t>
            </w:r>
          </w:p>
        </w:tc>
        <w:tc>
          <w:tcPr>
            <w:tcW w:w="2551" w:type="dxa"/>
            <w:vAlign w:val="center"/>
          </w:tcPr>
          <w:p>
            <w:pPr>
              <w:pStyle w:val="13"/>
            </w:pPr>
          </w:p>
        </w:tc>
        <w:tc>
          <w:tcPr>
            <w:tcW w:w="2551"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4.56</w:t>
            </w:r>
          </w:p>
        </w:tc>
        <w:tc>
          <w:tcPr>
            <w:tcW w:w="2551" w:type="dxa"/>
            <w:vAlign w:val="center"/>
          </w:tcPr>
          <w:p>
            <w:pPr>
              <w:pStyle w:val="13"/>
            </w:pPr>
          </w:p>
        </w:tc>
        <w:tc>
          <w:tcPr>
            <w:tcW w:w="2551" w:type="dxa"/>
            <w:vAlign w:val="center"/>
          </w:tcPr>
          <w:p>
            <w:pPr>
              <w:pStyle w:val="13"/>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436宁晋县行政审批局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436宁晋县行政审批局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436宁晋县行政审批局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t>第一部分  宁晋县行</w:t>
      </w:r>
    </w:p>
    <w:p>
      <w:p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批局2023年部门预算信息公开情况说明</w:t>
      </w:r>
    </w:p>
    <w:p>
      <w:pPr>
        <w:jc w:val="center"/>
      </w:pPr>
      <w:r>
        <w:rPr>
          <w:rFonts w:ascii="方正小标宋_GBK" w:hAnsi="方正小标宋_GBK" w:eastAsia="方正小标宋_GBK" w:cs="方正小标宋_GBK"/>
          <w:color w:val="000000"/>
          <w:sz w:val="44"/>
        </w:rPr>
        <w:t>宁晋县行政审批局2023年部门预算信息公开情况说明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按照《预算法》、《地方预决算公开操作规程》和《关于进一步推进预算公开工作的实施意见》规定，现将宁晋县行政审批局2023年部门预算公开如下：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tabs>
          <w:tab w:val="left" w:pos="4532"/>
        </w:tabs>
        <w:snapToGrid w:val="0"/>
        <w:spacing w:line="520" w:lineRule="exact"/>
        <w:ind w:firstLine="640" w:firstLineChars="200"/>
        <w:rPr>
          <w:rFonts w:ascii="仿宋_GB2312" w:hAnsi="仿宋" w:eastAsia="仿宋_GB2312"/>
          <w:sz w:val="32"/>
          <w:szCs w:val="32"/>
        </w:rPr>
      </w:pPr>
      <w:r>
        <w:rPr>
          <w:rFonts w:hint="eastAsia" w:ascii="仿宋" w:hAnsi="仿宋" w:eastAsia="仿宋" w:cs="宋体"/>
          <w:kern w:val="0"/>
          <w:sz w:val="32"/>
          <w:szCs w:val="32"/>
          <w:lang w:bidi="ar"/>
        </w:rPr>
        <w:t>（一）</w:t>
      </w:r>
      <w:r>
        <w:rPr>
          <w:rFonts w:hint="eastAsia" w:ascii="仿宋_GB2312" w:hAnsi="仿宋" w:eastAsia="仿宋_GB2312"/>
          <w:sz w:val="32"/>
          <w:szCs w:val="32"/>
        </w:rPr>
        <w:t>主要职能</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1.贯彻执行党中央、国务院和</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政府、市委、市政府及县委、县政府“放管服”改革、行政审批、政务服务、公共资源交易、社会信用体系建设有关方针政策和法律法规，制定和完善有关规章制度和管理办法并组织实施。</w:t>
      </w:r>
    </w:p>
    <w:p>
      <w:pPr>
        <w:adjustRightInd w:val="0"/>
        <w:snapToGrid w:val="0"/>
        <w:spacing w:line="560" w:lineRule="exact"/>
        <w:ind w:firstLine="640" w:firstLineChars="200"/>
        <w:rPr>
          <w:rFonts w:ascii="仿宋_GB2312" w:eastAsia="仿宋_GB2312"/>
          <w:sz w:val="32"/>
          <w:szCs w:val="32"/>
        </w:rPr>
      </w:pPr>
      <w:r>
        <w:rPr>
          <w:rFonts w:hint="eastAsia" w:ascii="仿宋_GB2312" w:hAnsi="仿宋_GB2312" w:eastAsia="仿宋_GB2312" w:cs="仿宋_GB2312"/>
          <w:kern w:val="1"/>
          <w:sz w:val="32"/>
          <w:szCs w:val="32"/>
        </w:rPr>
        <w:t>2.</w:t>
      </w:r>
      <w:r>
        <w:rPr>
          <w:rFonts w:hint="eastAsia" w:ascii="仿宋_GB2312" w:eastAsia="仿宋_GB2312"/>
          <w:sz w:val="32"/>
          <w:szCs w:val="32"/>
        </w:rPr>
        <w:t>负责综合协调和监督管理县级各部门行政审批等事项和公共服务事项的集中统一办理；</w:t>
      </w:r>
      <w:r>
        <w:rPr>
          <w:rFonts w:hint="eastAsia" w:ascii="仿宋_GB2312" w:hAnsi="仿宋_GB2312" w:eastAsia="仿宋_GB2312" w:cs="仿宋_GB2312"/>
          <w:kern w:val="1"/>
          <w:sz w:val="32"/>
          <w:szCs w:val="32"/>
        </w:rPr>
        <w:t>组织相关部门开展审批服务事项的联合办理和联审会办；研究推进并联审批服务工作。</w:t>
      </w:r>
      <w:r>
        <w:rPr>
          <w:rFonts w:hint="eastAsia" w:ascii="仿宋_GB2312" w:eastAsia="仿宋_GB2312"/>
          <w:sz w:val="32"/>
          <w:szCs w:val="32"/>
        </w:rPr>
        <w:t>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协调指导全县公共资源交易市场工作。拟订全县公共资源交易市场管理制度和规则；编制全县公共资源交易目录；负责建设、管理全县统一的公共资源交易电子服务系统；负责推进全县公共资源交易领域信用体系建设；指导全县并监督县本级公共资源交易项目进场交易；指导全县并负责县本级公共资源交易项目场内交易活动的监督工作，</w:t>
      </w:r>
      <w:r>
        <w:rPr>
          <w:rFonts w:hint="eastAsia" w:ascii="仿宋_GB2312" w:eastAsia="仿宋_GB2312"/>
          <w:sz w:val="32"/>
          <w:szCs w:val="32"/>
        </w:rPr>
        <w:t>受理对县公共资源交易中心的投诉举报，</w:t>
      </w:r>
      <w:r>
        <w:rPr>
          <w:rFonts w:hint="eastAsia" w:ascii="仿宋_GB2312" w:hAnsi="仿宋_GB2312" w:eastAsia="仿宋_GB2312" w:cs="仿宋_GB2312"/>
          <w:sz w:val="32"/>
          <w:szCs w:val="32"/>
        </w:rPr>
        <w:t>将违法违规问题移送有关部门处理；协调县级公共资源交易的联动执法。</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4.组织协调全县“放管服”改革工作。指导、协调贯彻落实党中央、国务院和</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政府，市委、市政府及县委、县政府关于“放管服”改革的政策措施，承担县推进政府职能转变和“放管服”改革协调小组的日常工作。</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5.指导协调全县行政审批制度改革工作。建立健全县行政审批管理体系；推进简政放权，清理和规范各类行政许可等管理事项；协调推进行政审批标准化工作；承担县行政审批制度改革工作领导小组的日常工作。</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指导协调全县政务服务管理工作。负责优化政务服务供给，降低制度性交易成本，提升政务服务效能；负责推进审批服务便民化；指导协调县有关部门为公民、法人或其他组织提供规范、高效、优质的政务服务。</w:t>
      </w:r>
    </w:p>
    <w:p>
      <w:pPr>
        <w:adjustRightInd w:val="0"/>
        <w:snapToGrid w:val="0"/>
        <w:spacing w:line="56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7.统筹推进全县“互联网</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政务服务”工作，构建全县一体化政务服务平台。推行政务服务网上办理，形成管理机构、实体大厅、网上平台“三位一体”的政务服务管理模式；推进全县电子证照库建设；推进全县政务服务平台规范化、标准化、集约化建设。</w:t>
      </w:r>
      <w:r>
        <w:rPr>
          <w:rFonts w:hint="eastAsia" w:ascii="仿宋_GB2312" w:eastAsia="仿宋_GB2312"/>
          <w:sz w:val="32"/>
          <w:szCs w:val="32"/>
        </w:rPr>
        <w:t>负责行政审批、公共资源交易平台的建设和管理，会同有关部门推进行政审批、公共资源交易信息化建设。</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引导和推动全县社会信用体系建设。组织制定发展规划和年度工作要点；推动健全信用法规制度和标准体系；负责县级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9.指导全县乡镇（区）便民服务中心和公共资源交易规范化建设，协调乡镇（区）便民服务中心与县有关部门，建立完善县乡审批服务联动工作机制。</w:t>
      </w:r>
    </w:p>
    <w:p>
      <w:pPr>
        <w:adjustRightInd w:val="0"/>
        <w:snapToGrid w:val="0"/>
        <w:spacing w:line="56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10.建立健全全县政务服务、行政审批服务效能可量化的考核评价制度；对具有政务服务职能的部门进行综合考评，对进驻事项的办理情况、办理效能，以及办事人员的服务质量等进行监督；负责</w:t>
      </w:r>
      <w:r>
        <w:rPr>
          <w:rFonts w:hint="eastAsia" w:ascii="仿宋_GB2312" w:eastAsia="仿宋_GB2312"/>
          <w:sz w:val="32"/>
          <w:szCs w:val="32"/>
        </w:rPr>
        <w:t>对各窗口及其工作人员进行教育、培训和管理；负责对各乡镇（区）便民服务中心进行监督管理。</w:t>
      </w:r>
    </w:p>
    <w:p>
      <w:pPr>
        <w:adjustRightInd w:val="0"/>
        <w:snapToGrid w:val="0"/>
        <w:spacing w:line="560" w:lineRule="exact"/>
        <w:ind w:firstLine="640" w:firstLineChars="200"/>
      </w:pPr>
      <w:r>
        <w:rPr>
          <w:rFonts w:hint="eastAsia" w:ascii="仿宋_GB2312" w:hAnsi="仿宋_GB2312" w:eastAsia="仿宋_GB2312" w:cs="仿宋_GB2312"/>
          <w:sz w:val="32"/>
          <w:szCs w:val="32"/>
        </w:rPr>
        <w:t>11.协调指导政府群众服务热线工作，协调交办相关部门及时处理群众诉求，负责指导县政府群众服务热线建设和管理工作。</w:t>
      </w:r>
    </w:p>
    <w:p>
      <w:pPr>
        <w:widowControl/>
        <w:ind w:left="739" w:leftChars="308"/>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12.完成县委、县政府交办的其他任务。</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widowControl/>
        <w:ind w:left="739" w:leftChars="308" w:firstLine="320" w:firstLineChars="100"/>
        <w:jc w:val="left"/>
        <w:rPr>
          <w:rFonts w:hint="eastAsia" w:ascii="仿宋" w:hAnsi="仿宋" w:eastAsia="仿宋" w:cs="宋体"/>
          <w:kern w:val="0"/>
          <w:sz w:val="32"/>
          <w:szCs w:val="32"/>
          <w:lang w:bidi="ar"/>
        </w:rPr>
      </w:pPr>
      <w:r>
        <w:rPr>
          <w:rFonts w:hint="eastAsia" w:ascii="仿宋" w:hAnsi="仿宋" w:eastAsia="仿宋" w:cs="宋体"/>
          <w:kern w:val="0"/>
          <w:sz w:val="32"/>
          <w:szCs w:val="32"/>
          <w:lang w:bidi="ar"/>
        </w:rPr>
        <w:t>1、宁晋县行政审批局</w:t>
      </w:r>
      <w:r>
        <w:rPr>
          <w:rFonts w:hint="eastAsia" w:ascii="仿宋" w:hAnsi="仿宋" w:eastAsia="仿宋" w:cs="宋体"/>
          <w:kern w:val="0"/>
          <w:sz w:val="32"/>
          <w:szCs w:val="32"/>
          <w:lang w:eastAsia="zh-CN" w:bidi="ar"/>
        </w:rPr>
        <w:t>202</w:t>
      </w:r>
      <w:r>
        <w:rPr>
          <w:rFonts w:hint="eastAsia" w:ascii="仿宋" w:hAnsi="仿宋" w:eastAsia="仿宋" w:cs="宋体"/>
          <w:kern w:val="0"/>
          <w:sz w:val="32"/>
          <w:szCs w:val="32"/>
          <w:lang w:val="en-US" w:eastAsia="zh-CN" w:bidi="ar"/>
        </w:rPr>
        <w:t>3</w:t>
      </w:r>
      <w:r>
        <w:rPr>
          <w:rFonts w:hint="eastAsia" w:ascii="仿宋" w:hAnsi="仿宋" w:eastAsia="仿宋" w:cs="宋体"/>
          <w:kern w:val="0"/>
          <w:sz w:val="32"/>
          <w:szCs w:val="32"/>
          <w:lang w:bidi="ar"/>
        </w:rPr>
        <w:t>年度部门预算编制单位情况见下表：</w:t>
      </w:r>
    </w:p>
    <w:tbl>
      <w:tblPr>
        <w:tblStyle w:val="6"/>
        <w:tblpPr w:leftFromText="180" w:rightFromText="180" w:vertAnchor="text" w:horzAnchor="page" w:tblpX="1889" w:tblpY="3"/>
        <w:tblOverlap w:val="never"/>
        <w:tblW w:w="905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14"/>
        <w:gridCol w:w="1239"/>
        <w:gridCol w:w="1430"/>
        <w:gridCol w:w="25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tblHeader/>
        </w:trPr>
        <w:tc>
          <w:tcPr>
            <w:tcW w:w="3814" w:type="dxa"/>
            <w:vAlign w:val="center"/>
          </w:tcPr>
          <w:p>
            <w:pPr>
              <w:pStyle w:val="12"/>
            </w:pPr>
            <w:r>
              <w:t>单位名称</w:t>
            </w:r>
          </w:p>
        </w:tc>
        <w:tc>
          <w:tcPr>
            <w:tcW w:w="1239" w:type="dxa"/>
            <w:vAlign w:val="center"/>
          </w:tcPr>
          <w:p>
            <w:pPr>
              <w:pStyle w:val="12"/>
            </w:pPr>
            <w:r>
              <w:t>单位性质</w:t>
            </w:r>
          </w:p>
        </w:tc>
        <w:tc>
          <w:tcPr>
            <w:tcW w:w="1430" w:type="dxa"/>
            <w:vAlign w:val="center"/>
          </w:tcPr>
          <w:p>
            <w:pPr>
              <w:pStyle w:val="12"/>
            </w:pPr>
            <w:r>
              <w:t>单位规格</w:t>
            </w:r>
          </w:p>
        </w:tc>
        <w:tc>
          <w:tcPr>
            <w:tcW w:w="257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5" w:hRule="atLeast"/>
        </w:trPr>
        <w:tc>
          <w:tcPr>
            <w:tcW w:w="3814" w:type="dxa"/>
            <w:vAlign w:val="center"/>
          </w:tcPr>
          <w:p>
            <w:pPr>
              <w:pStyle w:val="14"/>
            </w:pPr>
            <w:r>
              <w:t>宁晋县行政审批局本级</w:t>
            </w:r>
          </w:p>
        </w:tc>
        <w:tc>
          <w:tcPr>
            <w:tcW w:w="1239" w:type="dxa"/>
            <w:vAlign w:val="center"/>
          </w:tcPr>
          <w:p>
            <w:pPr>
              <w:pStyle w:val="15"/>
            </w:pPr>
            <w:r>
              <w:t>行政</w:t>
            </w:r>
          </w:p>
        </w:tc>
        <w:tc>
          <w:tcPr>
            <w:tcW w:w="1430" w:type="dxa"/>
            <w:vAlign w:val="center"/>
          </w:tcPr>
          <w:p>
            <w:pPr>
              <w:pStyle w:val="15"/>
            </w:pPr>
            <w:r>
              <w:t>正科级</w:t>
            </w:r>
          </w:p>
        </w:tc>
        <w:tc>
          <w:tcPr>
            <w:tcW w:w="2574" w:type="dxa"/>
            <w:vAlign w:val="center"/>
          </w:tcPr>
          <w:p>
            <w:pPr>
              <w:pStyle w:val="15"/>
            </w:pPr>
            <w:r>
              <w:t>财政拨款</w:t>
            </w:r>
          </w:p>
        </w:tc>
      </w:tr>
    </w:tbl>
    <w:p>
      <w:pPr>
        <w:widowControl/>
        <w:ind w:firstLine="640"/>
        <w:jc w:val="left"/>
        <w:rPr>
          <w:rFonts w:hint="eastAsia" w:ascii="仿宋" w:hAnsi="仿宋" w:eastAsia="仿宋" w:cs="宋体"/>
          <w:kern w:val="0"/>
          <w:sz w:val="32"/>
          <w:szCs w:val="32"/>
          <w:lang w:bidi="ar"/>
        </w:rPr>
      </w:pPr>
    </w:p>
    <w:p>
      <w:pPr>
        <w:widowControl/>
        <w:ind w:firstLine="640"/>
        <w:jc w:val="left"/>
        <w:rPr>
          <w:rFonts w:ascii="仿宋" w:hAnsi="仿宋" w:eastAsia="仿宋" w:cs="宋体"/>
          <w:kern w:val="0"/>
          <w:sz w:val="32"/>
          <w:szCs w:val="32"/>
          <w:lang w:bidi="ar"/>
        </w:rPr>
      </w:pPr>
      <w:r>
        <w:rPr>
          <w:rFonts w:hint="eastAsia" w:ascii="仿宋" w:hAnsi="仿宋" w:eastAsia="仿宋" w:cs="宋体"/>
          <w:kern w:val="0"/>
          <w:sz w:val="32"/>
          <w:szCs w:val="32"/>
          <w:lang w:bidi="ar"/>
        </w:rPr>
        <w:t>2、</w:t>
      </w:r>
      <w:r>
        <w:rPr>
          <w:rFonts w:ascii="仿宋" w:hAnsi="仿宋" w:eastAsia="仿宋" w:cs="宋体"/>
          <w:kern w:val="0"/>
          <w:sz w:val="32"/>
          <w:szCs w:val="32"/>
          <w:lang w:bidi="ar"/>
        </w:rPr>
        <w:t>内设机构</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按照《宁晋县行政审批局职能配置内设机构和人员编制规定》（宁办字</w:t>
      </w:r>
      <w:r>
        <w:rPr>
          <w:rFonts w:ascii="仿宋_GB2312" w:hAnsi="仿宋" w:eastAsia="仿宋_GB2312"/>
          <w:sz w:val="32"/>
          <w:szCs w:val="32"/>
        </w:rPr>
        <w:t>[2019]29</w:t>
      </w:r>
      <w:r>
        <w:rPr>
          <w:rFonts w:hint="eastAsia" w:ascii="仿宋_GB2312" w:hAnsi="仿宋" w:eastAsia="仿宋_GB2312"/>
          <w:sz w:val="32"/>
          <w:szCs w:val="32"/>
        </w:rPr>
        <w:t>号），我局机构设置更改为：</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（一）办公室。</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eastAsia="仿宋_GB2312"/>
          <w:sz w:val="32"/>
          <w:szCs w:val="32"/>
        </w:rPr>
        <w:t>（二）政策法规股。</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（三）审批一股。负责投资相关审批职责；负责城管交通相关审批职责</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（四）审批二股。负责教科文卫、农业相关审批职责；负责社会事务相关审批职责。</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（五）审批三股。负责商事登记相关审批职责。</w:t>
      </w:r>
      <w:r>
        <w:rPr>
          <w:rFonts w:ascii="仿宋_GB2312" w:eastAsia="仿宋_GB2312"/>
          <w:sz w:val="32"/>
          <w:szCs w:val="32"/>
        </w:rPr>
        <w:t xml:space="preserve"> </w:t>
      </w:r>
    </w:p>
    <w:p>
      <w:pPr>
        <w:snapToGrid w:val="0"/>
        <w:spacing w:line="520" w:lineRule="exact"/>
        <w:ind w:firstLine="640" w:firstLineChars="200"/>
        <w:rPr>
          <w:rFonts w:ascii="仿宋_GB2312" w:hAnsi="仿宋" w:eastAsia="仿宋_GB2312"/>
          <w:sz w:val="32"/>
          <w:szCs w:val="32"/>
        </w:rPr>
      </w:pPr>
      <w:r>
        <w:rPr>
          <w:rFonts w:hint="eastAsia" w:ascii="仿宋_GB2312" w:hAnsi="仿宋_GB2312" w:eastAsia="仿宋_GB2312" w:cs="仿宋_GB2312"/>
          <w:sz w:val="32"/>
          <w:szCs w:val="32"/>
        </w:rPr>
        <w:t>（六）信息技术协调股。</w:t>
      </w:r>
    </w:p>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部门预算的编制实行综合预算管理，即全部收入和支出都反映在预算中。宁晋县行政审批局机关及所属事业单位的收支包含在部门预算中。</w:t>
      </w:r>
    </w:p>
    <w:p>
      <w:pPr>
        <w:pStyle w:val="20"/>
      </w:pPr>
      <w:r>
        <w:t>2023年收入844.94万元，全部是公共财政预算拨款。2023年我局经费预算支出844.9万元，其中：①工资福利支出499.25万元。②公用经费支出39.67万元。③项目支出306.02万元（全部为一般公共预算财政拨款支出）。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2023年我局日常公用经费共计安排39.67万元，全部是公共财政预算拨款。</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2023年我局“三公”经费财政拨款支出合计2万元，与上年持平。其中：①因公出国（境）费0万元,与上年持平。②公务接待费0万元，与上年持平。③公务用车费支出2万元。与上年持平。</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总体绩效目标：</w:t>
      </w:r>
    </w:p>
    <w:p>
      <w:pPr>
        <w:pStyle w:val="23"/>
      </w:pPr>
      <w:r>
        <w:t>一、行政审批制度改革</w:t>
      </w:r>
      <w:r>
        <w:tab/>
      </w:r>
    </w:p>
    <w:p>
      <w:pPr>
        <w:pStyle w:val="23"/>
      </w:pPr>
      <w:r>
        <w:t>推行行政审批制度改革，以及相关工作体系、体制机制的创新和完善工作；提高办事效率、提升服务水平。</w:t>
      </w:r>
    </w:p>
    <w:p>
      <w:pPr>
        <w:pStyle w:val="23"/>
      </w:pPr>
      <w:r>
        <w:t>1、软硬件提升</w:t>
      </w:r>
      <w:r>
        <w:tab/>
      </w:r>
    </w:p>
    <w:p>
      <w:pPr>
        <w:pStyle w:val="23"/>
      </w:pPr>
      <w:r>
        <w:t>完善内网审批系统功能、优化大厅办事环境。增加网上审批系统服务功能，提高审批效率；维护、改善厅内公共服务、办公设施，创造优良的办事环境和工作环境。</w:t>
      </w:r>
    </w:p>
    <w:p>
      <w:pPr>
        <w:pStyle w:val="23"/>
      </w:pPr>
      <w:r>
        <w:t>2、建设独立电子监察室</w:t>
      </w:r>
      <w:r>
        <w:tab/>
      </w:r>
    </w:p>
    <w:p>
      <w:pPr>
        <w:pStyle w:val="23"/>
      </w:pPr>
      <w:r>
        <w:t>建设独立电子监察室，通过电子监察系统对审批过程实施实时监控。</w:t>
      </w:r>
      <w:r>
        <w:tab/>
      </w:r>
    </w:p>
    <w:p>
      <w:pPr>
        <w:pStyle w:val="23"/>
      </w:pPr>
      <w:r>
        <w:t>3、机房改造及服务器更换</w:t>
      </w:r>
      <w:r>
        <w:tab/>
      </w:r>
    </w:p>
    <w:p>
      <w:pPr>
        <w:pStyle w:val="23"/>
      </w:pPr>
      <w:r>
        <w:t>落实网上审批系统的升级改造，确保网上审批系统的正常运行与功能提升。</w:t>
      </w:r>
      <w:r>
        <w:tab/>
      </w:r>
      <w:r>
        <w:tab/>
      </w:r>
      <w:r>
        <w:tab/>
      </w:r>
      <w:r>
        <w:tab/>
      </w:r>
      <w:r>
        <w:tab/>
      </w:r>
      <w:r>
        <w:tab/>
      </w:r>
      <w:r>
        <w:tab/>
      </w:r>
    </w:p>
    <w:p>
      <w:pPr>
        <w:pStyle w:val="23"/>
      </w:pPr>
      <w:r>
        <w:t>4、政务公开</w:t>
      </w:r>
      <w:r>
        <w:tab/>
      </w:r>
    </w:p>
    <w:p>
      <w:pPr>
        <w:pStyle w:val="23"/>
      </w:pPr>
      <w:r>
        <w:t>通过网络、报刊、大屏、宣传栏、宣传资料等方式进行政务公开，对办理事项、所需材料、流程、时限、结果、收费等情况进行实时公开。</w:t>
      </w:r>
      <w:r>
        <w:tab/>
      </w:r>
    </w:p>
    <w:p>
      <w:pPr>
        <w:pStyle w:val="23"/>
      </w:pPr>
      <w:r>
        <w:t>5、行政审批</w:t>
      </w:r>
    </w:p>
    <w:p>
      <w:pPr>
        <w:pStyle w:val="23"/>
      </w:pPr>
      <w:r>
        <w:t>通过现场办公、外出勘察、部门专网等形式对所受理业务进行审批。同时，按上级部门要求进行业务培训。按规定完成事项审批，落实上级业务培训要求。</w:t>
      </w:r>
    </w:p>
    <w:p>
      <w:pPr>
        <w:pStyle w:val="23"/>
      </w:pPr>
      <w:r>
        <w:t>二、全县行政审批、行政服务体系的信息化建设</w:t>
      </w:r>
    </w:p>
    <w:p>
      <w:pPr>
        <w:pStyle w:val="23"/>
      </w:pPr>
      <w:r>
        <w:t>做好全县行政审批网络系统的完善和维护工作确保全县行政审批网络的正常运行。</w:t>
      </w:r>
      <w:r>
        <w:tab/>
      </w:r>
    </w:p>
    <w:p>
      <w:pPr>
        <w:pStyle w:val="23"/>
      </w:pPr>
      <w:r>
        <w:t>1、网络租赁、维护</w:t>
      </w:r>
      <w:r>
        <w:tab/>
      </w:r>
    </w:p>
    <w:p>
      <w:pPr>
        <w:pStyle w:val="23"/>
      </w:pPr>
      <w:r>
        <w:t>对各审批窗口专网、网上审批专网、中心光缆、短信平台、微信平台、网上审批系统、电子监察系统、杀毒软件等维护与完善确保设备的正常运行与功能提升。</w:t>
      </w:r>
    </w:p>
    <w:p>
      <w:pPr>
        <w:pStyle w:val="23"/>
      </w:pPr>
      <w:r>
        <w:t>2、网络托管</w:t>
      </w:r>
    </w:p>
    <w:p>
      <w:pPr>
        <w:pStyle w:val="23"/>
      </w:pPr>
      <w:r>
        <w:t>便民服务网在</w:t>
      </w:r>
      <w:r>
        <w:rPr>
          <w:rFonts w:hint="eastAsia"/>
          <w:lang w:eastAsia="zh-CN"/>
        </w:rPr>
        <w:t>县</w:t>
      </w:r>
      <w:r>
        <w:t>信管局备案和日常维护，确保便民服务网的正常运行与功能提升。</w:t>
      </w:r>
    </w:p>
    <w:p>
      <w:pPr>
        <w:pStyle w:val="23"/>
      </w:pPr>
      <w:r>
        <w:t>3、三级平台建设</w:t>
      </w:r>
      <w:r>
        <w:tab/>
      </w:r>
    </w:p>
    <w:p>
      <w:pPr>
        <w:pStyle w:val="23"/>
      </w:pPr>
      <w:r>
        <w:t>提高县级服务中心、乡级便民服务中心和村级便民服务站的软硬件建设水平和审批效率。</w:t>
      </w:r>
      <w:r>
        <w:tab/>
      </w:r>
    </w:p>
    <w:p>
      <w:pPr>
        <w:pStyle w:val="23"/>
      </w:pPr>
      <w:r>
        <w:t>4、村级网络租赁</w:t>
      </w:r>
      <w:r>
        <w:tab/>
      </w:r>
    </w:p>
    <w:p>
      <w:pPr>
        <w:pStyle w:val="23"/>
      </w:pPr>
      <w:r>
        <w:t>全县村级审批网络的日常维护与改造，确保全县村级审批网络的正常运行。</w:t>
      </w:r>
    </w:p>
    <w:p>
      <w:pPr>
        <w:pStyle w:val="23"/>
      </w:pPr>
      <w:r>
        <w:t>三、进驻中心窗口人员的教育、培训、管理和绩效考核</w:t>
      </w:r>
    </w:p>
    <w:p>
      <w:pPr>
        <w:pStyle w:val="23"/>
      </w:pPr>
      <w:r>
        <w:t>提高人员素质、服务水平和审批效率，确保“四零”服务承诺落实到位。</w:t>
      </w:r>
    </w:p>
    <w:p>
      <w:pPr>
        <w:pStyle w:val="23"/>
      </w:pPr>
      <w:r>
        <w:t>1、工作人员培训</w:t>
      </w:r>
      <w:r>
        <w:tab/>
      </w:r>
    </w:p>
    <w:p>
      <w:pPr>
        <w:pStyle w:val="23"/>
      </w:pPr>
      <w:r>
        <w:t>以提高服务水平和审批效率为目的定期举行培训活动</w:t>
      </w:r>
      <w:r>
        <w:tab/>
      </w:r>
      <w:r>
        <w:t>提升服务水平、提高办事效率。</w:t>
      </w:r>
    </w:p>
    <w:p>
      <w:pPr>
        <w:pStyle w:val="23"/>
      </w:pPr>
      <w:r>
        <w:t>2、工作人员政府奖励</w:t>
      </w:r>
      <w:r>
        <w:tab/>
      </w:r>
    </w:p>
    <w:p>
      <w:pPr>
        <w:pStyle w:val="23"/>
      </w:pPr>
      <w:r>
        <w:t>激活广大干部职工的工作热情、提升服务水平、提高办事效率。</w:t>
      </w:r>
    </w:p>
    <w:p>
      <w:pPr>
        <w:pStyle w:val="23"/>
      </w:pPr>
      <w:r>
        <w:t>3、开展文体活动与健康体检</w:t>
      </w:r>
      <w:r>
        <w:tab/>
      </w:r>
    </w:p>
    <w:p>
      <w:pPr>
        <w:pStyle w:val="23"/>
      </w:pPr>
      <w:r>
        <w:t>通过开展读书、读报、文体活动和健康检查，增强人员凝聚力和身体素质，增强人员凝聚力和身体素质。</w:t>
      </w:r>
    </w:p>
    <w:p>
      <w:pPr>
        <w:pStyle w:val="23"/>
      </w:pPr>
      <w:r>
        <w:t>4、对标学习</w:t>
      </w:r>
      <w:r>
        <w:tab/>
      </w:r>
    </w:p>
    <w:p>
      <w:pPr>
        <w:pStyle w:val="23"/>
      </w:pPr>
      <w:r>
        <w:t>以先进地区为对象，组织相关人员进行对标学习；做好外地来我中心学习交流工作。</w:t>
      </w:r>
      <w:r>
        <w:tab/>
      </w:r>
      <w:r>
        <w:t>学习先进经验，加强标准化建设水平。</w:t>
      </w:r>
    </w:p>
    <w:p>
      <w:pPr>
        <w:pStyle w:val="23"/>
      </w:pPr>
      <w:r>
        <w:t>5、工作人员制式着装</w:t>
      </w:r>
    </w:p>
    <w:p>
      <w:pPr>
        <w:pStyle w:val="23"/>
      </w:pPr>
      <w:r>
        <w:t>以统一、崭新的面貌为群众提高标准化服务，提高办事群众满意度，提升我县经济投资软环境水平。</w:t>
      </w:r>
    </w:p>
    <w:p>
      <w:pPr>
        <w:pStyle w:val="23"/>
      </w:pPr>
      <w:r>
        <w:t>四、协调指导功能区、乡镇行政审批相关工作</w:t>
      </w:r>
    </w:p>
    <w:p>
      <w:pPr>
        <w:pStyle w:val="23"/>
      </w:pPr>
      <w:r>
        <w:t>对乡镇审批工作开展指导和便民服务网的建设完善确保行政审批制度改革、简政放权等政策落实到位。</w:t>
      </w:r>
    </w:p>
    <w:p>
      <w:pPr>
        <w:pStyle w:val="23"/>
      </w:pPr>
      <w:r>
        <w:t>1、乡镇村业务指导</w:t>
      </w:r>
      <w:r>
        <w:tab/>
      </w:r>
    </w:p>
    <w:p>
      <w:pPr>
        <w:pStyle w:val="23"/>
      </w:pPr>
      <w:r>
        <w:t>对乡（镇）便民服务中心、村级便民服务站开展业务指导</w:t>
      </w:r>
      <w:r>
        <w:tab/>
      </w:r>
      <w:r>
        <w:t>提高办事效率、提升服务水平，落实简政放权相关政策。</w:t>
      </w:r>
    </w:p>
    <w:p>
      <w:pPr>
        <w:pStyle w:val="23"/>
      </w:pPr>
      <w:r>
        <w:t>2、便民服务网的建设与维护</w:t>
      </w:r>
      <w:r>
        <w:tab/>
      </w:r>
    </w:p>
    <w:p>
      <w:pPr>
        <w:pStyle w:val="23"/>
      </w:pPr>
      <w:r>
        <w:t>对便民服务网进行完善和维护，完善便民服务网服务功能和日常维护。</w:t>
      </w:r>
    </w:p>
    <w:p>
      <w:pPr>
        <w:pStyle w:val="23"/>
      </w:pPr>
      <w:r>
        <w:t>五、负责政务服务平台综合功能的建设和管理</w:t>
      </w:r>
    </w:p>
    <w:p>
      <w:pPr>
        <w:pStyle w:val="23"/>
      </w:pPr>
      <w:r>
        <w:t>完善服务环境，提升服务形象、提高服务水平</w:t>
      </w:r>
    </w:p>
    <w:p>
      <w:pPr>
        <w:pStyle w:val="23"/>
      </w:pPr>
      <w:r>
        <w:t>1、服务环境的日常卫生管理</w:t>
      </w:r>
      <w:r>
        <w:tab/>
      </w:r>
    </w:p>
    <w:p>
      <w:pPr>
        <w:pStyle w:val="23"/>
      </w:pPr>
      <w:r>
        <w:t>为办事群众提供健康舒适的等候环境，提升服务水平，提高群众满意率；对外树立文明整洁的办公形象</w:t>
      </w:r>
      <w:r>
        <w:tab/>
      </w:r>
      <w:r>
        <w:t>提高办事效率，优化便民环境。</w:t>
      </w:r>
      <w:r>
        <w:tab/>
      </w:r>
    </w:p>
    <w:p>
      <w:pPr>
        <w:pStyle w:val="23"/>
      </w:pPr>
    </w:p>
    <w:p>
      <w:pPr>
        <w:spacing w:line="500" w:lineRule="exact"/>
        <w:ind w:firstLine="560"/>
      </w:pPr>
      <w:r>
        <w:rPr>
          <w:rFonts w:eastAsia="方正仿宋_GBK"/>
          <w:color w:val="000000"/>
          <w:sz w:val="28"/>
        </w:rPr>
        <w:t>（二）分项绩效目标</w:t>
      </w:r>
    </w:p>
    <w:p>
      <w:pPr>
        <w:pStyle w:val="24"/>
      </w:pPr>
      <w:r>
        <w:t>分项绩效目标</w:t>
      </w:r>
      <w:r>
        <w:tab/>
      </w:r>
      <w:r>
        <w:tab/>
      </w:r>
    </w:p>
    <w:p>
      <w:pPr>
        <w:pStyle w:val="24"/>
      </w:pPr>
      <w:r>
        <w:t>1增加网上审批系统服务功能，提高审批效率；维护、改善厅内公共服务、办公设施，创造优良的办事环境和工作环境。提前办结率、提高办事效率、提升服务水平群众满意率</w:t>
      </w:r>
    </w:p>
    <w:p>
      <w:pPr>
        <w:pStyle w:val="24"/>
      </w:pPr>
      <w:r>
        <w:t>2通过电子监察系统对审批过程实施实时监控</w:t>
      </w:r>
    </w:p>
    <w:p>
      <w:pPr>
        <w:pStyle w:val="24"/>
      </w:pPr>
      <w:r>
        <w:t>确保网上审批系统的正常运行与功能提升</w:t>
      </w:r>
      <w:r>
        <w:tab/>
      </w:r>
      <w:r>
        <w:t>网上审批系统的正常运行率</w:t>
      </w:r>
    </w:p>
    <w:p>
      <w:pPr>
        <w:pStyle w:val="24"/>
      </w:pPr>
      <w:r>
        <w:t>3对办理事项、所需材料、流程、时限、结果、收费等情况进行实时公开，按规定完成事项审批，落实上级业务培训要求。</w:t>
      </w:r>
    </w:p>
    <w:p>
      <w:pPr>
        <w:pStyle w:val="24"/>
      </w:pPr>
      <w:r>
        <w:t>4标准建设</w:t>
      </w:r>
    </w:p>
    <w:p>
      <w:pPr>
        <w:pStyle w:val="24"/>
      </w:pPr>
      <w:r>
        <w:t>专网连接确保全县行政审批网络的正常运行，确保设备的正常运行与功能提升</w:t>
      </w:r>
      <w:r>
        <w:tab/>
      </w:r>
      <w:r>
        <w:t>各项设备的正常运行，确保便民服务网的正常运行与功能提升</w:t>
      </w:r>
      <w:r>
        <w:tab/>
      </w:r>
      <w:r>
        <w:t>便民服务网的正常运行</w:t>
      </w:r>
    </w:p>
    <w:p>
      <w:pPr>
        <w:pStyle w:val="24"/>
      </w:pPr>
      <w:r>
        <w:t>5确保全县村级审批网络的正常运行，村级审批网络的正常运行率，确保“四零”服务承诺落实到位</w:t>
      </w:r>
      <w:r>
        <w:tab/>
      </w:r>
    </w:p>
    <w:p>
      <w:pPr>
        <w:pStyle w:val="24"/>
      </w:pPr>
      <w:r>
        <w:t>6提升服务水平、提高办事效率。定期召开人员培训会次数，提高办事效率，学习先进经验，加强标准化建设水平</w:t>
      </w:r>
    </w:p>
    <w:p>
      <w:pPr>
        <w:pStyle w:val="24"/>
      </w:pPr>
      <w:r>
        <w:t>7增强人员凝聚力和身体素质</w:t>
      </w:r>
      <w:r>
        <w:tab/>
      </w:r>
      <w:r>
        <w:t>开展文体活动与健康体检的次数</w:t>
      </w:r>
    </w:p>
    <w:p>
      <w:pPr>
        <w:pStyle w:val="24"/>
      </w:pPr>
      <w:r>
        <w:t>8提高办事群众满意度，提升我县经济投资软环境水平</w:t>
      </w:r>
      <w:r>
        <w:tab/>
      </w:r>
      <w:r>
        <w:t>9确保行政审批制度改革、简政放权等政策落实到位</w:t>
      </w:r>
      <w:r>
        <w:tab/>
      </w:r>
    </w:p>
    <w:p>
      <w:pPr>
        <w:pStyle w:val="24"/>
      </w:pPr>
      <w:r>
        <w:t>提高办事效率、提升服务水平，落实简政放权相关政策</w:t>
      </w:r>
      <w:r>
        <w:tab/>
      </w:r>
    </w:p>
    <w:p>
      <w:pPr>
        <w:pStyle w:val="24"/>
      </w:pPr>
      <w:r>
        <w:t>10完成对乡镇村便民服务平台开展业务指导工作</w:t>
      </w:r>
    </w:p>
    <w:p>
      <w:pPr>
        <w:pStyle w:val="24"/>
      </w:pPr>
      <w:r>
        <w:t>11完善便民服务网服务功能和日常维护，确保便民服务网的正常运行</w:t>
      </w:r>
    </w:p>
    <w:p>
      <w:pPr>
        <w:pStyle w:val="24"/>
      </w:pPr>
      <w:r>
        <w:t>12对外形象提升、服务水平提高</w:t>
      </w:r>
      <w:r>
        <w:tab/>
      </w:r>
      <w:r>
        <w:t>，氛围清馨、环境整洁</w:t>
      </w:r>
    </w:p>
    <w:p>
      <w:pPr>
        <w:pStyle w:val="24"/>
      </w:pPr>
      <w:r>
        <w:t>窗明几净、安全卫生</w:t>
      </w:r>
    </w:p>
    <w:p>
      <w:pPr>
        <w:pStyle w:val="24"/>
      </w:pPr>
    </w:p>
    <w:p>
      <w:pPr>
        <w:pStyle w:val="24"/>
      </w:pPr>
    </w:p>
    <w:p>
      <w:pPr>
        <w:spacing w:line="500" w:lineRule="exact"/>
        <w:ind w:firstLine="560"/>
      </w:pPr>
      <w:r>
        <w:rPr>
          <w:rFonts w:eastAsia="方正仿宋_GBK"/>
          <w:color w:val="000000"/>
          <w:sz w:val="28"/>
        </w:rPr>
        <w:t>（三）工作保障措施</w:t>
      </w:r>
    </w:p>
    <w:p>
      <w:pPr>
        <w:pStyle w:val="25"/>
      </w:pPr>
      <w:r>
        <w:t>工作障措施</w:t>
      </w:r>
    </w:p>
    <w:p>
      <w:pPr>
        <w:pStyle w:val="25"/>
      </w:pPr>
      <w:r>
        <w:t>（一）以我县建设全国产业转型升级试验区先行县为契机，全力提升政务服务水平。一是围绕我县电线电缆、健康食品、纺织服装、光伏新能源、现代装备制造五大特色产业集群，积极争取更多</w:t>
      </w:r>
      <w:r>
        <w:rPr>
          <w:rFonts w:hint="eastAsia"/>
          <w:lang w:eastAsia="zh-CN"/>
        </w:rPr>
        <w:t>县</w:t>
      </w:r>
      <w:r>
        <w:t>市审批事项委托下放。二是不断完善“跨区域通办”窗口运行机制，抓紧对窗口人员进行业务培训，加强政策学习，确保委托下放的事项不仅接的住，还要效率高，服务好，最大限度地为企业和群众办事提供便利，降低企业和群众办事成本，助力我县产业转型升级进程。</w:t>
      </w:r>
    </w:p>
    <w:p>
      <w:pPr>
        <w:pStyle w:val="25"/>
      </w:pPr>
      <w:r>
        <w:t>（二）审批提质提效，助力企业发展。一是主动对接</w:t>
      </w:r>
      <w:r>
        <w:rPr>
          <w:rFonts w:hint="eastAsia"/>
          <w:lang w:eastAsia="zh-CN"/>
        </w:rPr>
        <w:t>县</w:t>
      </w:r>
      <w:r>
        <w:t>市县重点项目、民生工程，强化项目前期指导、持续推进审批提速、细化优化审批流程、大力推行并联审批、优化招投标服务、全面推行联合勘探、积极推动联合验收等措施，助力项目早落地、快投产。二是推动更多行政许可事项实行告知承诺制，大幅提高市场主体和群众办事便利度。将告知承诺履行情况纳入信用管理，推动信用承诺事前、事中、事后闭环管理。</w:t>
      </w:r>
    </w:p>
    <w:p>
      <w:pPr>
        <w:pStyle w:val="25"/>
      </w:pPr>
      <w:r>
        <w:t>（三）深入推进“政务服务就近办、网上办、自助办”提升工程。一是结合县委组织部，全面提升村（社区）综合服务站水平，每个乡镇确定三分之一的高标准示范村，建设2-3个高标准样板村。拓宽与金融机构、商超、医院、邮政、社区物业等经营网点的合作广度与深度，通过广泛布设政务服务自助终端并向其赋能，实现自助办理的高频便民服务事项不低于50个，每个乡镇接入政务服务智能终端的村（社区）及各类社会机构经营网点不少于3个，实现企业群众就近办事。二是深化“政策找人、服务上门”活动。建立与乡村振兴、人社、供销社、医保、民政、卫健等与群众企业密切相关部门的协调联动机制，充分发挥行业优势，推动各类民生政策和服务更快捷、更优质、更高效地覆盖所有群众。</w:t>
      </w:r>
    </w:p>
    <w:p>
      <w:pPr>
        <w:pStyle w:val="25"/>
      </w:pPr>
      <w:r>
        <w:t>（四）推进市民中心搬迁建设。一是按照高标准、高要求，科学布局、运转高效、规范标准，建设面积不低于15000平米的政务大厅。二是大力推进更多事项全链条入驻大厅，做到“应进必进”真正建成我县市民之家、企业之家，使企业群众“进一家门，办所有事”。</w:t>
      </w:r>
    </w:p>
    <w:p>
      <w:pPr>
        <w:pStyle w:val="25"/>
      </w:pPr>
    </w:p>
    <w:p>
      <w:pPr>
        <w:ind w:firstLine="640"/>
        <w:sectPr>
          <w:pgSz w:w="11900" w:h="16840"/>
          <w:pgMar w:top="1020" w:right="1361" w:bottom="1020" w:left="1361"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 窗口微机更换绩效目标表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1.保证办公设备正常运行，保障业务办结。</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≥95百分比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办公自动化系统覆盖的业务种类数量</w:t>
            </w:r>
          </w:p>
        </w:tc>
        <w:tc>
          <w:tcPr>
            <w:tcW w:w="2835" w:type="dxa"/>
            <w:vAlign w:val="center"/>
          </w:tcPr>
          <w:p>
            <w:pPr>
              <w:pStyle w:val="14"/>
            </w:pPr>
            <w:r>
              <w:t>办公自动化系统覆盖的业务种类数量</w:t>
            </w:r>
          </w:p>
        </w:tc>
        <w:tc>
          <w:tcPr>
            <w:tcW w:w="2551" w:type="dxa"/>
            <w:vAlign w:val="center"/>
          </w:tcPr>
          <w:p>
            <w:pPr>
              <w:pStyle w:val="14"/>
            </w:pPr>
            <w:r>
              <w:t>≥95百分比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及时处理业务数占总处理数的比率</w:t>
            </w:r>
          </w:p>
        </w:tc>
        <w:tc>
          <w:tcPr>
            <w:tcW w:w="2835" w:type="dxa"/>
            <w:vAlign w:val="center"/>
          </w:tcPr>
          <w:p>
            <w:pPr>
              <w:pStyle w:val="14"/>
            </w:pPr>
            <w:r>
              <w:t>及时处理业务数占总处理数的比率</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设备购置类项目持续使用时间（年）</w:t>
            </w:r>
          </w:p>
        </w:tc>
        <w:tc>
          <w:tcPr>
            <w:tcW w:w="2835" w:type="dxa"/>
            <w:vAlign w:val="center"/>
          </w:tcPr>
          <w:p>
            <w:pPr>
              <w:pStyle w:val="14"/>
            </w:pPr>
            <w:r>
              <w:t>设备购置类项目持续使用时间（年）</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资金投入放大倍数</w:t>
            </w:r>
          </w:p>
        </w:tc>
        <w:tc>
          <w:tcPr>
            <w:tcW w:w="2835" w:type="dxa"/>
            <w:vAlign w:val="center"/>
          </w:tcPr>
          <w:p>
            <w:pPr>
              <w:pStyle w:val="14"/>
            </w:pPr>
            <w:r>
              <w:t>资金投入放大倍数</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≥85百分比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≥85百分比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办事群众满意度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2、城市社会信用体系建设工作经费绩效目标表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1.诚信工作有序开展，工作保质保量完成</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宣传效果</w:t>
            </w:r>
          </w:p>
        </w:tc>
        <w:tc>
          <w:tcPr>
            <w:tcW w:w="2835" w:type="dxa"/>
            <w:vAlign w:val="center"/>
          </w:tcPr>
          <w:p>
            <w:pPr>
              <w:pStyle w:val="14"/>
            </w:pPr>
            <w:r>
              <w:t>宣传效果</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示范带动作用</w:t>
            </w:r>
          </w:p>
        </w:tc>
        <w:tc>
          <w:tcPr>
            <w:tcW w:w="2835" w:type="dxa"/>
            <w:vAlign w:val="center"/>
          </w:tcPr>
          <w:p>
            <w:pPr>
              <w:pStyle w:val="14"/>
            </w:pPr>
            <w:r>
              <w:t>示范带动作用</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社会教率</w:t>
            </w:r>
          </w:p>
        </w:tc>
        <w:tc>
          <w:tcPr>
            <w:tcW w:w="2835" w:type="dxa"/>
            <w:vAlign w:val="center"/>
          </w:tcPr>
          <w:p>
            <w:pPr>
              <w:pStyle w:val="14"/>
            </w:pPr>
            <w:r>
              <w:t>社会教率</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≥90百分比</w:t>
            </w:r>
          </w:p>
        </w:tc>
        <w:tc>
          <w:tcPr>
            <w:tcW w:w="2268" w:type="dxa"/>
            <w:vAlign w:val="center"/>
          </w:tcPr>
          <w:p>
            <w:pPr>
              <w:pStyle w:val="14"/>
            </w:pPr>
            <w:r>
              <w:t>工作保质保量完成</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3、工作人员培训绩效目标表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1.办事群众满意，业务办结完成质量</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培训覆盖率（%）</w:t>
            </w:r>
          </w:p>
        </w:tc>
        <w:tc>
          <w:tcPr>
            <w:tcW w:w="2835" w:type="dxa"/>
            <w:vAlign w:val="center"/>
          </w:tcPr>
          <w:p>
            <w:pPr>
              <w:pStyle w:val="14"/>
            </w:pPr>
            <w:r>
              <w:t>培训覆盖率（%）</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培训对象数量占应覆盖对象比率</w:t>
            </w:r>
          </w:p>
        </w:tc>
        <w:tc>
          <w:tcPr>
            <w:tcW w:w="2835" w:type="dxa"/>
            <w:vAlign w:val="center"/>
          </w:tcPr>
          <w:p>
            <w:pPr>
              <w:pStyle w:val="14"/>
            </w:pPr>
            <w:r>
              <w:t>培训对象数量占应覆盖对象比率</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培训出勤率</w:t>
            </w:r>
          </w:p>
        </w:tc>
        <w:tc>
          <w:tcPr>
            <w:tcW w:w="2835" w:type="dxa"/>
            <w:vAlign w:val="center"/>
          </w:tcPr>
          <w:p>
            <w:pPr>
              <w:pStyle w:val="14"/>
            </w:pPr>
            <w:r>
              <w:t>培训出勤率</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项目完成总成本</w:t>
            </w:r>
          </w:p>
        </w:tc>
        <w:tc>
          <w:tcPr>
            <w:tcW w:w="2551" w:type="dxa"/>
            <w:vAlign w:val="center"/>
          </w:tcPr>
          <w:p>
            <w:pPr>
              <w:pStyle w:val="14"/>
            </w:pPr>
            <w:r>
              <w:t>≤100百分比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长期性</w:t>
            </w:r>
          </w:p>
        </w:tc>
        <w:tc>
          <w:tcPr>
            <w:tcW w:w="2835" w:type="dxa"/>
            <w:vAlign w:val="center"/>
          </w:tcPr>
          <w:p>
            <w:pPr>
              <w:pStyle w:val="14"/>
            </w:pPr>
            <w:r>
              <w:t>长期性</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提供服务次数</w:t>
            </w:r>
          </w:p>
        </w:tc>
        <w:tc>
          <w:tcPr>
            <w:tcW w:w="2835" w:type="dxa"/>
            <w:vAlign w:val="center"/>
          </w:tcPr>
          <w:p>
            <w:pPr>
              <w:pStyle w:val="14"/>
            </w:pPr>
            <w:r>
              <w:t>提供服务次数</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≥90百分比</w:t>
            </w:r>
          </w:p>
        </w:tc>
        <w:tc>
          <w:tcPr>
            <w:tcW w:w="2268" w:type="dxa"/>
            <w:vAlign w:val="center"/>
          </w:tcPr>
          <w:p>
            <w:pPr>
              <w:pStyle w:val="14"/>
            </w:pPr>
            <w:r>
              <w:t>业务办结完成质量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4、工作人员政府绩效考核绩效目标表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考核通过率</w:t>
            </w:r>
          </w:p>
        </w:tc>
        <w:tc>
          <w:tcPr>
            <w:tcW w:w="2835" w:type="dxa"/>
            <w:vAlign w:val="center"/>
          </w:tcPr>
          <w:p>
            <w:pPr>
              <w:pStyle w:val="14"/>
            </w:pPr>
            <w:r>
              <w:t>考核通过率</w:t>
            </w:r>
          </w:p>
        </w:tc>
        <w:tc>
          <w:tcPr>
            <w:tcW w:w="2551" w:type="dxa"/>
            <w:vAlign w:val="center"/>
          </w:tcPr>
          <w:p>
            <w:pPr>
              <w:pStyle w:val="14"/>
            </w:pPr>
            <w:r>
              <w:t>≥90百分比</w:t>
            </w:r>
          </w:p>
        </w:tc>
        <w:tc>
          <w:tcPr>
            <w:tcW w:w="2268" w:type="dxa"/>
            <w:vAlign w:val="center"/>
          </w:tcPr>
          <w:p>
            <w:pPr>
              <w:pStyle w:val="14"/>
            </w:pPr>
            <w:r>
              <w:t>考核通过率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考核出勤率</w:t>
            </w:r>
          </w:p>
        </w:tc>
        <w:tc>
          <w:tcPr>
            <w:tcW w:w="2835" w:type="dxa"/>
            <w:vAlign w:val="center"/>
          </w:tcPr>
          <w:p>
            <w:pPr>
              <w:pStyle w:val="14"/>
            </w:pPr>
            <w:r>
              <w:t>考核出勤率</w:t>
            </w:r>
          </w:p>
        </w:tc>
        <w:tc>
          <w:tcPr>
            <w:tcW w:w="2551" w:type="dxa"/>
            <w:vAlign w:val="center"/>
          </w:tcPr>
          <w:p>
            <w:pPr>
              <w:pStyle w:val="14"/>
            </w:pPr>
            <w:r>
              <w:t>≥95百分比</w:t>
            </w:r>
          </w:p>
        </w:tc>
        <w:tc>
          <w:tcPr>
            <w:tcW w:w="2268" w:type="dxa"/>
            <w:vAlign w:val="center"/>
          </w:tcPr>
          <w:p>
            <w:pPr>
              <w:pStyle w:val="14"/>
            </w:pPr>
            <w:r>
              <w:t>考核出勤率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随机考核工作完成时限</w:t>
            </w:r>
          </w:p>
        </w:tc>
        <w:tc>
          <w:tcPr>
            <w:tcW w:w="2835" w:type="dxa"/>
            <w:vAlign w:val="center"/>
          </w:tcPr>
          <w:p>
            <w:pPr>
              <w:pStyle w:val="14"/>
            </w:pPr>
            <w:r>
              <w:t>随机考核工作完成时限</w:t>
            </w:r>
          </w:p>
        </w:tc>
        <w:tc>
          <w:tcPr>
            <w:tcW w:w="2551" w:type="dxa"/>
            <w:vAlign w:val="center"/>
          </w:tcPr>
          <w:p>
            <w:pPr>
              <w:pStyle w:val="14"/>
            </w:pPr>
            <w:r>
              <w:t>≤99百分比</w:t>
            </w:r>
          </w:p>
        </w:tc>
        <w:tc>
          <w:tcPr>
            <w:tcW w:w="2268" w:type="dxa"/>
            <w:vAlign w:val="center"/>
          </w:tcPr>
          <w:p>
            <w:pPr>
              <w:pStyle w:val="14"/>
            </w:pPr>
            <w:r>
              <w:t>随机考核工作完成时限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≤100百分比</w:t>
            </w:r>
          </w:p>
        </w:tc>
        <w:tc>
          <w:tcPr>
            <w:tcW w:w="2268" w:type="dxa"/>
            <w:vAlign w:val="center"/>
          </w:tcPr>
          <w:p>
            <w:pPr>
              <w:pStyle w:val="14"/>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提供优质服务</w:t>
            </w:r>
          </w:p>
        </w:tc>
        <w:tc>
          <w:tcPr>
            <w:tcW w:w="2835" w:type="dxa"/>
            <w:vAlign w:val="center"/>
          </w:tcPr>
          <w:p>
            <w:pPr>
              <w:pStyle w:val="14"/>
            </w:pPr>
            <w:r>
              <w:t>提供优质服务</w:t>
            </w:r>
          </w:p>
        </w:tc>
        <w:tc>
          <w:tcPr>
            <w:tcW w:w="2551" w:type="dxa"/>
            <w:vAlign w:val="center"/>
          </w:tcPr>
          <w:p>
            <w:pPr>
              <w:pStyle w:val="14"/>
            </w:pPr>
            <w:r>
              <w:t>≥90百分比</w:t>
            </w:r>
          </w:p>
        </w:tc>
        <w:tc>
          <w:tcPr>
            <w:tcW w:w="2268" w:type="dxa"/>
            <w:vAlign w:val="center"/>
          </w:tcPr>
          <w:p>
            <w:pPr>
              <w:pStyle w:val="14"/>
            </w:pPr>
            <w:r>
              <w:t>提供优质服务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≥80百分比</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业务办理率</w:t>
            </w:r>
          </w:p>
        </w:tc>
        <w:tc>
          <w:tcPr>
            <w:tcW w:w="2835" w:type="dxa"/>
            <w:vAlign w:val="center"/>
          </w:tcPr>
          <w:p>
            <w:pPr>
              <w:pStyle w:val="14"/>
            </w:pPr>
            <w:r>
              <w:t>业务办理率</w:t>
            </w:r>
          </w:p>
        </w:tc>
        <w:tc>
          <w:tcPr>
            <w:tcW w:w="2551" w:type="dxa"/>
            <w:vAlign w:val="center"/>
          </w:tcPr>
          <w:p>
            <w:pPr>
              <w:pStyle w:val="14"/>
            </w:pPr>
            <w:r>
              <w:t>≥90百分比</w:t>
            </w:r>
          </w:p>
        </w:tc>
        <w:tc>
          <w:tcPr>
            <w:tcW w:w="2268" w:type="dxa"/>
            <w:vAlign w:val="center"/>
          </w:tcPr>
          <w:p>
            <w:pPr>
              <w:pStyle w:val="14"/>
            </w:pPr>
            <w:r>
              <w:t>业务办理率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5、工作人员制式着装绩效目标表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1.外强形象、内提素质，提高群众满意度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提升服务形象</w:t>
            </w:r>
          </w:p>
        </w:tc>
        <w:tc>
          <w:tcPr>
            <w:tcW w:w="2835" w:type="dxa"/>
            <w:vAlign w:val="center"/>
          </w:tcPr>
          <w:p>
            <w:pPr>
              <w:pStyle w:val="14"/>
            </w:pPr>
            <w:r>
              <w:t>提升服务形象</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统一着装，整齐划一</w:t>
            </w:r>
          </w:p>
        </w:tc>
        <w:tc>
          <w:tcPr>
            <w:tcW w:w="2835" w:type="dxa"/>
            <w:vAlign w:val="center"/>
          </w:tcPr>
          <w:p>
            <w:pPr>
              <w:pStyle w:val="14"/>
            </w:pPr>
            <w:r>
              <w:t>统一着装，整齐划一</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外强形象、内提素质</w:t>
            </w:r>
          </w:p>
        </w:tc>
        <w:tc>
          <w:tcPr>
            <w:tcW w:w="2835" w:type="dxa"/>
            <w:vAlign w:val="center"/>
          </w:tcPr>
          <w:p>
            <w:pPr>
              <w:pStyle w:val="14"/>
            </w:pPr>
            <w:r>
              <w:t>外强形象、内提素质</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≤100百分比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社会效应</w:t>
            </w:r>
          </w:p>
        </w:tc>
        <w:tc>
          <w:tcPr>
            <w:tcW w:w="2835" w:type="dxa"/>
            <w:vAlign w:val="center"/>
          </w:tcPr>
          <w:p>
            <w:pPr>
              <w:pStyle w:val="14"/>
            </w:pPr>
            <w:r>
              <w:t>社会效应</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提供服务次数</w:t>
            </w:r>
          </w:p>
        </w:tc>
        <w:tc>
          <w:tcPr>
            <w:tcW w:w="2835" w:type="dxa"/>
            <w:vAlign w:val="center"/>
          </w:tcPr>
          <w:p>
            <w:pPr>
              <w:pStyle w:val="14"/>
            </w:pPr>
            <w:r>
              <w:t>提供服务次数</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大气环境质量改善</w:t>
            </w:r>
          </w:p>
        </w:tc>
        <w:tc>
          <w:tcPr>
            <w:tcW w:w="2835" w:type="dxa"/>
            <w:vAlign w:val="center"/>
          </w:tcPr>
          <w:p>
            <w:pPr>
              <w:pStyle w:val="14"/>
            </w:pPr>
            <w:r>
              <w:t>大气环境质量改善</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≥90百分比</w:t>
            </w:r>
          </w:p>
        </w:tc>
        <w:tc>
          <w:tcPr>
            <w:tcW w:w="2268" w:type="dxa"/>
            <w:vAlign w:val="center"/>
          </w:tcPr>
          <w:p>
            <w:pPr>
              <w:pStyle w:val="14"/>
            </w:pPr>
            <w:r>
              <w:t>统一着装，整齐划一</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6、宁晋县特色产业信用园区建设绩效目标表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1.达到</w:t>
            </w:r>
            <w:r>
              <w:rPr>
                <w:rFonts w:hint="eastAsia"/>
                <w:lang w:eastAsia="zh-CN"/>
              </w:rPr>
              <w:t>县</w:t>
            </w:r>
            <w:r>
              <w:t>市要求，保障工作有序开展。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pPr>
            <w:r>
              <w:t>完成项目数量</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群众活动参与率</w:t>
            </w:r>
          </w:p>
        </w:tc>
        <w:tc>
          <w:tcPr>
            <w:tcW w:w="2835" w:type="dxa"/>
            <w:vAlign w:val="center"/>
          </w:tcPr>
          <w:p>
            <w:pPr>
              <w:pStyle w:val="14"/>
            </w:pPr>
            <w:r>
              <w:t>群众活动参与率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报送网络时间</w:t>
            </w:r>
          </w:p>
        </w:tc>
        <w:tc>
          <w:tcPr>
            <w:tcW w:w="2835" w:type="dxa"/>
            <w:vAlign w:val="center"/>
          </w:tcPr>
          <w:p>
            <w:pPr>
              <w:pStyle w:val="14"/>
            </w:pPr>
            <w:r>
              <w:t>报送网络时间</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可持续影响指标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服务对象满意度指标</w:t>
            </w:r>
          </w:p>
        </w:tc>
        <w:tc>
          <w:tcPr>
            <w:tcW w:w="2551" w:type="dxa"/>
            <w:vAlign w:val="center"/>
          </w:tcPr>
          <w:p>
            <w:pPr>
              <w:pStyle w:val="14"/>
            </w:pPr>
            <w:r>
              <w:t>≥90百分比</w:t>
            </w:r>
          </w:p>
        </w:tc>
        <w:tc>
          <w:tcPr>
            <w:tcW w:w="2268" w:type="dxa"/>
            <w:vAlign w:val="center"/>
          </w:tcPr>
          <w:p>
            <w:pPr>
              <w:pStyle w:val="14"/>
            </w:pPr>
            <w:r>
              <w:t>保障工作开展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7、网络租赁、维护绩效目标表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1.保障网络安全、保证业务开展</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≥90百分比</w:t>
            </w:r>
          </w:p>
        </w:tc>
        <w:tc>
          <w:tcPr>
            <w:tcW w:w="2268" w:type="dxa"/>
            <w:vAlign w:val="center"/>
          </w:tcPr>
          <w:p>
            <w:pPr>
              <w:pStyle w:val="14"/>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≥90百分比</w:t>
            </w:r>
          </w:p>
        </w:tc>
        <w:tc>
          <w:tcPr>
            <w:tcW w:w="2268" w:type="dxa"/>
            <w:vAlign w:val="center"/>
          </w:tcPr>
          <w:p>
            <w:pPr>
              <w:pStyle w:val="14"/>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按期完成率</w:t>
            </w:r>
          </w:p>
        </w:tc>
        <w:tc>
          <w:tcPr>
            <w:tcW w:w="2551" w:type="dxa"/>
            <w:vAlign w:val="center"/>
          </w:tcPr>
          <w:p>
            <w:pPr>
              <w:pStyle w:val="14"/>
            </w:pPr>
            <w:r>
              <w:t>≥90百分比</w:t>
            </w:r>
          </w:p>
        </w:tc>
        <w:tc>
          <w:tcPr>
            <w:tcW w:w="2268" w:type="dxa"/>
            <w:vAlign w:val="center"/>
          </w:tcPr>
          <w:p>
            <w:pPr>
              <w:pStyle w:val="14"/>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w:t>
            </w:r>
          </w:p>
        </w:tc>
        <w:tc>
          <w:tcPr>
            <w:tcW w:w="2835" w:type="dxa"/>
            <w:vAlign w:val="center"/>
          </w:tcPr>
          <w:p>
            <w:pPr>
              <w:pStyle w:val="14"/>
            </w:pPr>
            <w:r>
              <w:t>预算总成本</w:t>
            </w:r>
          </w:p>
        </w:tc>
        <w:tc>
          <w:tcPr>
            <w:tcW w:w="2551" w:type="dxa"/>
            <w:vAlign w:val="center"/>
          </w:tcPr>
          <w:p>
            <w:pPr>
              <w:pStyle w:val="14"/>
            </w:pPr>
            <w:r>
              <w:t>≤100百分比</w:t>
            </w:r>
          </w:p>
        </w:tc>
        <w:tc>
          <w:tcPr>
            <w:tcW w:w="2268" w:type="dxa"/>
            <w:vAlign w:val="center"/>
          </w:tcPr>
          <w:p>
            <w:pPr>
              <w:pStyle w:val="14"/>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≥90百分比</w:t>
            </w:r>
          </w:p>
        </w:tc>
        <w:tc>
          <w:tcPr>
            <w:tcW w:w="2268" w:type="dxa"/>
            <w:vAlign w:val="center"/>
          </w:tcPr>
          <w:p>
            <w:pPr>
              <w:pStyle w:val="14"/>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≥90百分比</w:t>
            </w:r>
          </w:p>
        </w:tc>
        <w:tc>
          <w:tcPr>
            <w:tcW w:w="2268" w:type="dxa"/>
            <w:vAlign w:val="center"/>
          </w:tcPr>
          <w:p>
            <w:pPr>
              <w:pStyle w:val="14"/>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成果应用效果</w:t>
            </w:r>
          </w:p>
        </w:tc>
        <w:tc>
          <w:tcPr>
            <w:tcW w:w="2835" w:type="dxa"/>
            <w:vAlign w:val="center"/>
          </w:tcPr>
          <w:p>
            <w:pPr>
              <w:pStyle w:val="14"/>
            </w:pPr>
            <w:r>
              <w:t>成果应用效果</w:t>
            </w:r>
          </w:p>
        </w:tc>
        <w:tc>
          <w:tcPr>
            <w:tcW w:w="2551" w:type="dxa"/>
            <w:vAlign w:val="center"/>
          </w:tcPr>
          <w:p>
            <w:pPr>
              <w:pStyle w:val="14"/>
            </w:pPr>
            <w:r>
              <w:t>≥90百分比</w:t>
            </w:r>
          </w:p>
        </w:tc>
        <w:tc>
          <w:tcPr>
            <w:tcW w:w="2268" w:type="dxa"/>
            <w:vAlign w:val="center"/>
          </w:tcPr>
          <w:p>
            <w:pPr>
              <w:pStyle w:val="14"/>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群众满意率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8、项目投资评审评估费用绩效目标表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1.保障评审结果的质量，保障业务办理。</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资金投入放大倍数</w:t>
            </w:r>
          </w:p>
        </w:tc>
        <w:tc>
          <w:tcPr>
            <w:tcW w:w="2835" w:type="dxa"/>
            <w:vAlign w:val="center"/>
          </w:tcPr>
          <w:p>
            <w:pPr>
              <w:pStyle w:val="14"/>
            </w:pPr>
            <w:r>
              <w:t>资金投入放大倍数</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政策建议采纳率</w:t>
            </w:r>
          </w:p>
        </w:tc>
        <w:tc>
          <w:tcPr>
            <w:tcW w:w="2835" w:type="dxa"/>
            <w:vAlign w:val="center"/>
          </w:tcPr>
          <w:p>
            <w:pPr>
              <w:pStyle w:val="14"/>
            </w:pPr>
            <w:r>
              <w:t>政策建议采纳率</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≥90百分比</w:t>
            </w:r>
          </w:p>
        </w:tc>
        <w:tc>
          <w:tcPr>
            <w:tcW w:w="2268" w:type="dxa"/>
            <w:vAlign w:val="center"/>
          </w:tcPr>
          <w:p>
            <w:pPr>
              <w:pStyle w:val="14"/>
            </w:pPr>
            <w:r>
              <w:t>保障业务办理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9、协同联动办公平台绩效目标表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1.保证网络安全运行，保障日常办公</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年度信息系统数量</w:t>
            </w:r>
          </w:p>
        </w:tc>
        <w:tc>
          <w:tcPr>
            <w:tcW w:w="2835" w:type="dxa"/>
            <w:vAlign w:val="center"/>
          </w:tcPr>
          <w:p>
            <w:pPr>
              <w:pStyle w:val="14"/>
            </w:pPr>
            <w:r>
              <w:t>年度信息系统数量</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信息系统故障发生率</w:t>
            </w:r>
          </w:p>
        </w:tc>
        <w:tc>
          <w:tcPr>
            <w:tcW w:w="2835" w:type="dxa"/>
            <w:vAlign w:val="center"/>
          </w:tcPr>
          <w:p>
            <w:pPr>
              <w:pStyle w:val="14"/>
            </w:pPr>
            <w:r>
              <w:t>信息系统故障发生率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按总成本控制</w:t>
            </w:r>
          </w:p>
        </w:tc>
        <w:tc>
          <w:tcPr>
            <w:tcW w:w="2835" w:type="dxa"/>
            <w:vAlign w:val="center"/>
          </w:tcPr>
          <w:p>
            <w:pPr>
              <w:pStyle w:val="14"/>
            </w:pPr>
            <w:r>
              <w:t>按总成本控制</w:t>
            </w:r>
          </w:p>
        </w:tc>
        <w:tc>
          <w:tcPr>
            <w:tcW w:w="2551" w:type="dxa"/>
            <w:vAlign w:val="center"/>
          </w:tcPr>
          <w:p>
            <w:pPr>
              <w:pStyle w:val="14"/>
            </w:pPr>
            <w:r>
              <w:t>≤100百分比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10、协同联动办公平台扩容绩效目标表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1.提供足够平台数量，保障日常办公</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按期完成率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w:t>
            </w:r>
          </w:p>
        </w:tc>
        <w:tc>
          <w:tcPr>
            <w:tcW w:w="2835" w:type="dxa"/>
            <w:vAlign w:val="center"/>
          </w:tcPr>
          <w:p>
            <w:pPr>
              <w:pStyle w:val="14"/>
            </w:pPr>
            <w:r>
              <w:t>预算总成本</w:t>
            </w:r>
          </w:p>
        </w:tc>
        <w:tc>
          <w:tcPr>
            <w:tcW w:w="2551" w:type="dxa"/>
            <w:vAlign w:val="center"/>
          </w:tcPr>
          <w:p>
            <w:pPr>
              <w:pStyle w:val="14"/>
            </w:pPr>
            <w:r>
              <w:t>≤100百分比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成果应用效果</w:t>
            </w:r>
          </w:p>
        </w:tc>
        <w:tc>
          <w:tcPr>
            <w:tcW w:w="2835" w:type="dxa"/>
            <w:vAlign w:val="center"/>
          </w:tcPr>
          <w:p>
            <w:pPr>
              <w:pStyle w:val="14"/>
            </w:pPr>
            <w:r>
              <w:t>成果应用效果</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11、信息共享平台运维费绩效目标表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1.保障网络安全运行，保障业务开展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≥90百分比</w:t>
            </w:r>
          </w:p>
        </w:tc>
        <w:tc>
          <w:tcPr>
            <w:tcW w:w="2268" w:type="dxa"/>
            <w:vAlign w:val="center"/>
          </w:tcPr>
          <w:p>
            <w:pPr>
              <w:pStyle w:val="14"/>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≥90百分比</w:t>
            </w:r>
          </w:p>
        </w:tc>
        <w:tc>
          <w:tcPr>
            <w:tcW w:w="2268" w:type="dxa"/>
            <w:vAlign w:val="center"/>
          </w:tcPr>
          <w:p>
            <w:pPr>
              <w:pStyle w:val="14"/>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按期完成率</w:t>
            </w:r>
          </w:p>
        </w:tc>
        <w:tc>
          <w:tcPr>
            <w:tcW w:w="2551" w:type="dxa"/>
            <w:vAlign w:val="center"/>
          </w:tcPr>
          <w:p>
            <w:pPr>
              <w:pStyle w:val="14"/>
            </w:pPr>
            <w:r>
              <w:t>≥90百分比</w:t>
            </w:r>
          </w:p>
        </w:tc>
        <w:tc>
          <w:tcPr>
            <w:tcW w:w="2268" w:type="dxa"/>
            <w:vAlign w:val="center"/>
          </w:tcPr>
          <w:p>
            <w:pPr>
              <w:pStyle w:val="14"/>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w:t>
            </w:r>
          </w:p>
        </w:tc>
        <w:tc>
          <w:tcPr>
            <w:tcW w:w="2835" w:type="dxa"/>
            <w:vAlign w:val="center"/>
          </w:tcPr>
          <w:p>
            <w:pPr>
              <w:pStyle w:val="14"/>
            </w:pPr>
            <w:r>
              <w:t>预算总成本</w:t>
            </w:r>
          </w:p>
        </w:tc>
        <w:tc>
          <w:tcPr>
            <w:tcW w:w="2551" w:type="dxa"/>
            <w:vAlign w:val="center"/>
          </w:tcPr>
          <w:p>
            <w:pPr>
              <w:pStyle w:val="14"/>
            </w:pPr>
            <w:r>
              <w:t>≤100百分比</w:t>
            </w:r>
          </w:p>
        </w:tc>
        <w:tc>
          <w:tcPr>
            <w:tcW w:w="2268" w:type="dxa"/>
            <w:vAlign w:val="center"/>
          </w:tcPr>
          <w:p>
            <w:pPr>
              <w:pStyle w:val="14"/>
            </w:pPr>
            <w:r>
              <w:t>预算总成本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≥90百分比</w:t>
            </w:r>
          </w:p>
        </w:tc>
        <w:tc>
          <w:tcPr>
            <w:tcW w:w="2268" w:type="dxa"/>
            <w:vAlign w:val="center"/>
          </w:tcPr>
          <w:p>
            <w:pPr>
              <w:pStyle w:val="14"/>
            </w:pPr>
            <w: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成果应用效果</w:t>
            </w:r>
          </w:p>
        </w:tc>
        <w:tc>
          <w:tcPr>
            <w:tcW w:w="2835" w:type="dxa"/>
            <w:vAlign w:val="center"/>
          </w:tcPr>
          <w:p>
            <w:pPr>
              <w:pStyle w:val="14"/>
            </w:pPr>
            <w:r>
              <w:t>成果应用效果</w:t>
            </w:r>
          </w:p>
        </w:tc>
        <w:tc>
          <w:tcPr>
            <w:tcW w:w="2551" w:type="dxa"/>
            <w:vAlign w:val="center"/>
          </w:tcPr>
          <w:p>
            <w:pPr>
              <w:pStyle w:val="14"/>
            </w:pPr>
            <w:r>
              <w:t>≥90百分比</w:t>
            </w:r>
          </w:p>
        </w:tc>
        <w:tc>
          <w:tcPr>
            <w:tcW w:w="2268" w:type="dxa"/>
            <w:vAlign w:val="center"/>
          </w:tcPr>
          <w:p>
            <w:pPr>
              <w:pStyle w:val="14"/>
            </w:pPr>
            <w:r>
              <w:t>成果应用效果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12、行政审批工作经费绩效目标表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1.保障日常办公，按时办结业务。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业务处理及时性(％)</w:t>
            </w:r>
          </w:p>
        </w:tc>
        <w:tc>
          <w:tcPr>
            <w:tcW w:w="2835" w:type="dxa"/>
            <w:vAlign w:val="center"/>
          </w:tcPr>
          <w:p>
            <w:pPr>
              <w:pStyle w:val="14"/>
            </w:pPr>
            <w:r>
              <w:t>业务处理及时性(％)</w:t>
            </w:r>
          </w:p>
        </w:tc>
        <w:tc>
          <w:tcPr>
            <w:tcW w:w="2551" w:type="dxa"/>
            <w:vAlign w:val="center"/>
          </w:tcPr>
          <w:p>
            <w:pPr>
              <w:pStyle w:val="14"/>
            </w:pPr>
            <w:r>
              <w:t>≥95百分比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及时处理业务数占总处理数的比率</w:t>
            </w:r>
          </w:p>
        </w:tc>
        <w:tc>
          <w:tcPr>
            <w:tcW w:w="2835" w:type="dxa"/>
            <w:vAlign w:val="center"/>
          </w:tcPr>
          <w:p>
            <w:pPr>
              <w:pStyle w:val="14"/>
            </w:pPr>
            <w:r>
              <w:t>及时处理业务数占总处理数的比率</w:t>
            </w:r>
          </w:p>
        </w:tc>
        <w:tc>
          <w:tcPr>
            <w:tcW w:w="2551" w:type="dxa"/>
            <w:vAlign w:val="center"/>
          </w:tcPr>
          <w:p>
            <w:pPr>
              <w:pStyle w:val="14"/>
            </w:pPr>
            <w:r>
              <w:t>≥95百分比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提高办事效率</w:t>
            </w:r>
          </w:p>
        </w:tc>
        <w:tc>
          <w:tcPr>
            <w:tcW w:w="2835" w:type="dxa"/>
            <w:vAlign w:val="center"/>
          </w:tcPr>
          <w:p>
            <w:pPr>
              <w:pStyle w:val="14"/>
            </w:pPr>
            <w:r>
              <w:t>提高办事效率</w:t>
            </w:r>
          </w:p>
        </w:tc>
        <w:tc>
          <w:tcPr>
            <w:tcW w:w="2551" w:type="dxa"/>
            <w:vAlign w:val="center"/>
          </w:tcPr>
          <w:p>
            <w:pPr>
              <w:pStyle w:val="14"/>
            </w:pPr>
            <w:r>
              <w:t>≥90百分比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≥85百分比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≥85百分比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≥100百分比</w:t>
            </w:r>
          </w:p>
        </w:tc>
        <w:tc>
          <w:tcPr>
            <w:tcW w:w="2268" w:type="dxa"/>
            <w:vAlign w:val="center"/>
          </w:tcPr>
          <w:p>
            <w:pPr>
              <w:pStyle w:val="14"/>
            </w:pPr>
            <w:r>
              <w:t>业务按时办结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13、政府数字化转型（智慧城市）工作经费绩效目标表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1.我局牵头我县智慧城市的规划、论证、评审，2023年需办公费用5万元。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pPr>
            <w:r>
              <w:t>完成项目数量</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群众活动参与率</w:t>
            </w:r>
          </w:p>
        </w:tc>
        <w:tc>
          <w:tcPr>
            <w:tcW w:w="2835" w:type="dxa"/>
            <w:vAlign w:val="center"/>
          </w:tcPr>
          <w:p>
            <w:pPr>
              <w:pStyle w:val="14"/>
            </w:pPr>
            <w:r>
              <w:t>群众活动参与率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报送网络时间</w:t>
            </w:r>
          </w:p>
        </w:tc>
        <w:tc>
          <w:tcPr>
            <w:tcW w:w="2835" w:type="dxa"/>
            <w:vAlign w:val="center"/>
          </w:tcPr>
          <w:p>
            <w:pPr>
              <w:pStyle w:val="14"/>
            </w:pPr>
            <w:r>
              <w:t>报送网络时间</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可持续影响指标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服务对象满意度指标</w:t>
            </w:r>
          </w:p>
        </w:tc>
        <w:tc>
          <w:tcPr>
            <w:tcW w:w="2551" w:type="dxa"/>
            <w:vAlign w:val="center"/>
          </w:tcPr>
          <w:p>
            <w:pPr>
              <w:pStyle w:val="14"/>
            </w:pPr>
            <w:r>
              <w:t>≥90百分比</w:t>
            </w:r>
          </w:p>
        </w:tc>
        <w:tc>
          <w:tcPr>
            <w:tcW w:w="2268" w:type="dxa"/>
            <w:vAlign w:val="center"/>
          </w:tcPr>
          <w:p>
            <w:pPr>
              <w:pStyle w:val="14"/>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14、专家论证评审、营业执照证本费绩效目标表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1.保障业务按时办结，提升群众满意度。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资金投入放大倍数</w:t>
            </w:r>
          </w:p>
        </w:tc>
        <w:tc>
          <w:tcPr>
            <w:tcW w:w="2835" w:type="dxa"/>
            <w:vAlign w:val="center"/>
          </w:tcPr>
          <w:p>
            <w:pPr>
              <w:pStyle w:val="14"/>
            </w:pPr>
            <w:r>
              <w:t>资金投入放大倍数</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政策建议采纳率</w:t>
            </w:r>
          </w:p>
        </w:tc>
        <w:tc>
          <w:tcPr>
            <w:tcW w:w="2835" w:type="dxa"/>
            <w:vAlign w:val="center"/>
          </w:tcPr>
          <w:p>
            <w:pPr>
              <w:pStyle w:val="14"/>
            </w:pPr>
            <w:r>
              <w:t>政策建议采纳率</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≥90百分比</w:t>
            </w:r>
          </w:p>
        </w:tc>
        <w:tc>
          <w:tcPr>
            <w:tcW w:w="2268" w:type="dxa"/>
            <w:vAlign w:val="center"/>
          </w:tcPr>
          <w:p>
            <w:pPr>
              <w:pStyle w:val="14"/>
            </w:pPr>
            <w:r>
              <w:t>保障业务办结</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2023年，宁晋县行政审批局安排政府采购预算35.00万元。具体内容见下表。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436宁晋县行政审批局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35.00</w:t>
            </w:r>
          </w:p>
        </w:tc>
        <w:tc>
          <w:tcPr>
            <w:tcW w:w="964" w:type="dxa"/>
            <w:vAlign w:val="center"/>
          </w:tcPr>
          <w:p>
            <w:pPr>
              <w:pStyle w:val="17"/>
            </w:pPr>
            <w:r>
              <w:t>35.00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宁晋县行政审批局本级小计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35.00</w:t>
            </w:r>
          </w:p>
        </w:tc>
        <w:tc>
          <w:tcPr>
            <w:tcW w:w="964" w:type="dxa"/>
            <w:vAlign w:val="center"/>
          </w:tcPr>
          <w:p>
            <w:pPr>
              <w:pStyle w:val="17"/>
            </w:pPr>
            <w:r>
              <w:t>35.00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工作人员制式着装</w:t>
            </w:r>
          </w:p>
        </w:tc>
        <w:tc>
          <w:tcPr>
            <w:tcW w:w="964" w:type="dxa"/>
            <w:vAlign w:val="center"/>
          </w:tcPr>
          <w:p>
            <w:pPr>
              <w:pStyle w:val="13"/>
            </w:pPr>
            <w:r>
              <w:t>35.00</w:t>
            </w:r>
          </w:p>
        </w:tc>
        <w:tc>
          <w:tcPr>
            <w:tcW w:w="1134" w:type="dxa"/>
            <w:vAlign w:val="center"/>
          </w:tcPr>
          <w:p>
            <w:pPr>
              <w:pStyle w:val="14"/>
            </w:pPr>
            <w:r>
              <w:t>制服</w:t>
            </w:r>
          </w:p>
        </w:tc>
        <w:tc>
          <w:tcPr>
            <w:tcW w:w="1134" w:type="dxa"/>
            <w:vAlign w:val="center"/>
          </w:tcPr>
          <w:p>
            <w:pPr>
              <w:pStyle w:val="14"/>
            </w:pPr>
            <w:r>
              <w:t>A05030301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35.00</w:t>
            </w:r>
          </w:p>
        </w:tc>
        <w:tc>
          <w:tcPr>
            <w:tcW w:w="964" w:type="dxa"/>
            <w:vAlign w:val="center"/>
          </w:tcPr>
          <w:p>
            <w:pPr>
              <w:pStyle w:val="13"/>
            </w:pPr>
            <w:r>
              <w:t>35.00</w:t>
            </w:r>
          </w:p>
        </w:tc>
        <w:tc>
          <w:tcPr>
            <w:tcW w:w="964" w:type="dxa"/>
            <w:vAlign w:val="center"/>
          </w:tcPr>
          <w:p>
            <w:pPr>
              <w:pStyle w:val="13"/>
            </w:pPr>
            <w:r>
              <w:t>35.00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宁晋县行政审批局（含所属单位）上年末固定资产金额为0.00万元（详见下表）。本年度拟购置固定资产总额为0.00万元，已按要求列入政府采购预算，详见政府采购预算表。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436宁晋县行政审批局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注：无固定资产占用情况，空表列示。</w:t>
      </w:r>
    </w:p>
    <w:p>
      <w:pPr>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br w:type="page"/>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方正仿宋_GBK"/>
          <w:color w:val="000000"/>
          <w:sz w:val="28"/>
        </w:rPr>
      </w:pPr>
      <w:r>
        <w:rPr>
          <w:rFonts w:eastAsia="方正仿宋_GBK"/>
          <w:color w:val="000000"/>
          <w:sz w:val="28"/>
        </w:rPr>
        <w:t>我部门无其他需要说明的事项。</w:t>
      </w:r>
    </w:p>
    <w:p>
      <w:pPr>
        <w:rPr>
          <w:rFonts w:eastAsia="方正仿宋_GBK"/>
          <w:color w:val="000000"/>
          <w:sz w:val="28"/>
        </w:rPr>
      </w:pPr>
      <w:r>
        <w:rPr>
          <w:rFonts w:eastAsia="方正仿宋_GBK"/>
          <w:color w:val="000000"/>
          <w:sz w:val="28"/>
        </w:rPr>
        <w:br w:type="page"/>
      </w:r>
    </w:p>
    <w:p>
      <w:pPr>
        <w:spacing w:line="500" w:lineRule="exact"/>
        <w:ind w:firstLine="560"/>
        <w:rPr>
          <w:rFonts w:eastAsia="方正仿宋_GBK"/>
          <w:color w:val="000000"/>
          <w:sz w:val="28"/>
        </w:rPr>
        <w:sectPr>
          <w:pgSz w:w="16840" w:h="11900" w:orient="landscape"/>
          <w:pgMar w:top="1361" w:right="1020" w:bottom="1134" w:left="1020" w:header="720" w:footer="720" w:gutter="0"/>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一、宁晋县行政审批局本级收支预算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436001宁晋县行政审批局本级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rPr>
                <w:rFonts w:hint="eastAsia" w:eastAsia="方正书宋_GBK"/>
                <w:lang w:eastAsia="zh-CN"/>
              </w:rPr>
            </w:pPr>
            <w:r>
              <w:rPr>
                <w:rFonts w:hint="eastAsia"/>
                <w:lang w:eastAsia="zh-CN"/>
              </w:rPr>
              <w:t>844.94</w:t>
            </w:r>
          </w:p>
        </w:tc>
        <w:tc>
          <w:tcPr>
            <w:tcW w:w="4535" w:type="dxa"/>
            <w:vAlign w:val="center"/>
          </w:tcPr>
          <w:p>
            <w:pPr>
              <w:pStyle w:val="14"/>
            </w:pPr>
            <w:r>
              <w:t>一、一般公共服务支出</w:t>
            </w:r>
          </w:p>
        </w:tc>
        <w:tc>
          <w:tcPr>
            <w:tcW w:w="2126" w:type="dxa"/>
            <w:vAlign w:val="center"/>
          </w:tcPr>
          <w:p>
            <w:pPr>
              <w:pStyle w:val="13"/>
              <w:rPr>
                <w:rFonts w:hint="eastAsia" w:eastAsia="方正书宋_GBK"/>
                <w:lang w:eastAsia="zh-CN"/>
              </w:rPr>
            </w:pPr>
            <w:r>
              <w:rPr>
                <w:rFonts w:hint="eastAsia"/>
                <w:lang w:eastAsia="zh-CN"/>
              </w:rPr>
              <w:t>726.05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rPr>
                <w:rFonts w:hint="eastAsia" w:eastAsia="方正书宋_GBK"/>
                <w:lang w:eastAsia="zh-CN"/>
              </w:rPr>
            </w:pPr>
            <w:r>
              <w:rPr>
                <w:rFonts w:hint="eastAsia"/>
                <w:lang w:eastAsia="zh-CN"/>
              </w:rPr>
              <w:t>844.94</w:t>
            </w:r>
          </w:p>
        </w:tc>
        <w:tc>
          <w:tcPr>
            <w:tcW w:w="4535" w:type="dxa"/>
            <w:vAlign w:val="center"/>
          </w:tcPr>
          <w:p>
            <w:pPr>
              <w:pStyle w:val="16"/>
            </w:pPr>
            <w:r>
              <w:t>本年支出合计</w:t>
            </w:r>
          </w:p>
        </w:tc>
        <w:tc>
          <w:tcPr>
            <w:tcW w:w="2126" w:type="dxa"/>
            <w:vAlign w:val="center"/>
          </w:tcPr>
          <w:p>
            <w:pPr>
              <w:pStyle w:val="17"/>
              <w:rPr>
                <w:rFonts w:hint="eastAsia" w:eastAsia="方正书宋_GBK"/>
                <w:lang w:eastAsia="zh-CN"/>
              </w:rPr>
            </w:pPr>
            <w:r>
              <w:rPr>
                <w:rFonts w:hint="eastAsia"/>
                <w:lang w:eastAsia="zh-CN"/>
              </w:rPr>
              <w:t>844.94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rPr>
                <w:rFonts w:hint="eastAsia" w:eastAsia="方正书宋_GBK"/>
                <w:lang w:eastAsia="zh-CN"/>
              </w:rPr>
            </w:pPr>
            <w:r>
              <w:rPr>
                <w:rFonts w:hint="eastAsia"/>
                <w:lang w:eastAsia="zh-CN"/>
              </w:rPr>
              <w:t>844.94</w:t>
            </w:r>
          </w:p>
        </w:tc>
        <w:tc>
          <w:tcPr>
            <w:tcW w:w="4535" w:type="dxa"/>
            <w:vAlign w:val="center"/>
          </w:tcPr>
          <w:p>
            <w:pPr>
              <w:pStyle w:val="16"/>
            </w:pPr>
            <w:r>
              <w:t>支出总计</w:t>
            </w:r>
          </w:p>
        </w:tc>
        <w:tc>
          <w:tcPr>
            <w:tcW w:w="2126" w:type="dxa"/>
            <w:vAlign w:val="center"/>
          </w:tcPr>
          <w:p>
            <w:pPr>
              <w:pStyle w:val="17"/>
              <w:rPr>
                <w:rFonts w:hint="eastAsia" w:eastAsia="方正书宋_GBK"/>
                <w:lang w:eastAsia="zh-CN"/>
              </w:rPr>
            </w:pPr>
            <w:r>
              <w:rPr>
                <w:rFonts w:hint="eastAsia"/>
                <w:lang w:eastAsia="zh-CN"/>
              </w:rPr>
              <w:t>844.94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436001宁晋县行政审批局本级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rPr>
                <w:rFonts w:hint="eastAsia" w:eastAsia="方正书宋_GBK"/>
                <w:lang w:eastAsia="zh-CN"/>
              </w:rPr>
            </w:pPr>
            <w:r>
              <w:rPr>
                <w:rFonts w:hint="eastAsia"/>
                <w:lang w:eastAsia="zh-CN"/>
              </w:rPr>
              <w:t>844.94</w:t>
            </w:r>
          </w:p>
        </w:tc>
        <w:tc>
          <w:tcPr>
            <w:tcW w:w="1134" w:type="dxa"/>
            <w:vAlign w:val="center"/>
          </w:tcPr>
          <w:p>
            <w:pPr>
              <w:pStyle w:val="17"/>
              <w:rPr>
                <w:rFonts w:hint="eastAsia" w:eastAsia="方正书宋_GBK"/>
                <w:lang w:eastAsia="zh-CN"/>
              </w:rPr>
            </w:pPr>
            <w:r>
              <w:rPr>
                <w:rFonts w:hint="eastAsia"/>
                <w:lang w:eastAsia="zh-CN"/>
              </w:rPr>
              <w:t>844.94</w:t>
            </w:r>
          </w:p>
        </w:tc>
        <w:tc>
          <w:tcPr>
            <w:tcW w:w="1134" w:type="dxa"/>
            <w:vAlign w:val="center"/>
          </w:tcPr>
          <w:p>
            <w:pPr>
              <w:pStyle w:val="17"/>
              <w:rPr>
                <w:rFonts w:hint="eastAsia" w:eastAsia="方正书宋_GBK"/>
                <w:lang w:eastAsia="zh-CN"/>
              </w:rPr>
            </w:pPr>
            <w:r>
              <w:rPr>
                <w:rFonts w:hint="eastAsia"/>
                <w:lang w:eastAsia="zh-CN"/>
              </w:rPr>
              <w:t>844.94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rPr>
                <w:rFonts w:hint="eastAsia" w:eastAsia="方正书宋_GBK"/>
                <w:lang w:eastAsia="zh-CN"/>
              </w:rPr>
            </w:pPr>
            <w:r>
              <w:rPr>
                <w:rFonts w:hint="eastAsia"/>
                <w:lang w:eastAsia="zh-CN"/>
              </w:rPr>
              <w:t>726.05</w:t>
            </w:r>
          </w:p>
        </w:tc>
        <w:tc>
          <w:tcPr>
            <w:tcW w:w="1134" w:type="dxa"/>
            <w:vAlign w:val="center"/>
          </w:tcPr>
          <w:p>
            <w:pPr>
              <w:pStyle w:val="13"/>
              <w:rPr>
                <w:rFonts w:hint="eastAsia" w:eastAsia="方正书宋_GBK"/>
                <w:lang w:eastAsia="zh-CN"/>
              </w:rPr>
            </w:pPr>
            <w:r>
              <w:rPr>
                <w:rFonts w:hint="eastAsia"/>
                <w:lang w:eastAsia="zh-CN"/>
              </w:rPr>
              <w:t>726.05</w:t>
            </w:r>
          </w:p>
        </w:tc>
        <w:tc>
          <w:tcPr>
            <w:tcW w:w="1134" w:type="dxa"/>
            <w:vAlign w:val="center"/>
          </w:tcPr>
          <w:p>
            <w:pPr>
              <w:pStyle w:val="13"/>
              <w:rPr>
                <w:rFonts w:hint="eastAsia" w:eastAsia="方正书宋_GBK"/>
                <w:lang w:eastAsia="zh-CN"/>
              </w:rPr>
            </w:pPr>
            <w:r>
              <w:rPr>
                <w:rFonts w:hint="eastAsia"/>
                <w:lang w:eastAsia="zh-CN"/>
              </w:rPr>
              <w:t>726.05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rPr>
                <w:rFonts w:hint="eastAsia" w:eastAsia="方正书宋_GBK"/>
                <w:lang w:eastAsia="zh-CN"/>
              </w:rPr>
            </w:pPr>
            <w:r>
              <w:rPr>
                <w:rFonts w:hint="eastAsia"/>
                <w:lang w:eastAsia="zh-CN"/>
              </w:rPr>
              <w:t>726.05</w:t>
            </w:r>
          </w:p>
        </w:tc>
        <w:tc>
          <w:tcPr>
            <w:tcW w:w="1134" w:type="dxa"/>
            <w:vAlign w:val="center"/>
          </w:tcPr>
          <w:p>
            <w:pPr>
              <w:pStyle w:val="13"/>
              <w:rPr>
                <w:rFonts w:hint="eastAsia" w:eastAsia="方正书宋_GBK"/>
                <w:lang w:eastAsia="zh-CN"/>
              </w:rPr>
            </w:pPr>
            <w:r>
              <w:rPr>
                <w:rFonts w:hint="eastAsia"/>
                <w:lang w:eastAsia="zh-CN"/>
              </w:rPr>
              <w:t>726.05</w:t>
            </w:r>
          </w:p>
        </w:tc>
        <w:tc>
          <w:tcPr>
            <w:tcW w:w="1134" w:type="dxa"/>
            <w:vAlign w:val="center"/>
          </w:tcPr>
          <w:p>
            <w:pPr>
              <w:pStyle w:val="13"/>
              <w:rPr>
                <w:rFonts w:hint="eastAsia" w:eastAsia="方正书宋_GBK"/>
                <w:lang w:eastAsia="zh-CN"/>
              </w:rPr>
            </w:pPr>
            <w:r>
              <w:rPr>
                <w:rFonts w:hint="eastAsia"/>
                <w:lang w:eastAsia="zh-CN"/>
              </w:rPr>
              <w:t>726.05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420.03</w:t>
            </w:r>
          </w:p>
        </w:tc>
        <w:tc>
          <w:tcPr>
            <w:tcW w:w="1134" w:type="dxa"/>
            <w:vAlign w:val="center"/>
          </w:tcPr>
          <w:p>
            <w:pPr>
              <w:pStyle w:val="13"/>
            </w:pPr>
            <w:r>
              <w:t>420.03</w:t>
            </w:r>
          </w:p>
        </w:tc>
        <w:tc>
          <w:tcPr>
            <w:tcW w:w="1134" w:type="dxa"/>
            <w:vAlign w:val="center"/>
          </w:tcPr>
          <w:p>
            <w:pPr>
              <w:pStyle w:val="13"/>
            </w:pPr>
            <w:r>
              <w:t>420.03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5</w:t>
            </w:r>
          </w:p>
        </w:tc>
        <w:tc>
          <w:tcPr>
            <w:tcW w:w="992" w:type="dxa"/>
            <w:vAlign w:val="center"/>
          </w:tcPr>
          <w:p>
            <w:pPr>
              <w:pStyle w:val="14"/>
            </w:pPr>
            <w:r>
              <w:t>2010306</w:t>
            </w:r>
          </w:p>
        </w:tc>
        <w:tc>
          <w:tcPr>
            <w:tcW w:w="1559" w:type="dxa"/>
            <w:vAlign w:val="center"/>
          </w:tcPr>
          <w:p>
            <w:pPr>
              <w:pStyle w:val="14"/>
            </w:pPr>
            <w:r>
              <w:t>政务公开审批</w:t>
            </w:r>
          </w:p>
        </w:tc>
        <w:tc>
          <w:tcPr>
            <w:tcW w:w="1134" w:type="dxa"/>
            <w:vAlign w:val="center"/>
          </w:tcPr>
          <w:p>
            <w:pPr>
              <w:pStyle w:val="13"/>
              <w:rPr>
                <w:rFonts w:hint="eastAsia" w:eastAsia="方正书宋_GBK"/>
                <w:lang w:eastAsia="zh-CN"/>
              </w:rPr>
            </w:pPr>
            <w:r>
              <w:rPr>
                <w:rFonts w:hint="eastAsia"/>
                <w:lang w:eastAsia="zh-CN"/>
              </w:rPr>
              <w:t>306.02</w:t>
            </w:r>
          </w:p>
        </w:tc>
        <w:tc>
          <w:tcPr>
            <w:tcW w:w="1134" w:type="dxa"/>
            <w:vAlign w:val="center"/>
          </w:tcPr>
          <w:p>
            <w:pPr>
              <w:pStyle w:val="13"/>
              <w:rPr>
                <w:rFonts w:hint="eastAsia" w:eastAsia="方正书宋_GBK"/>
                <w:lang w:eastAsia="zh-CN"/>
              </w:rPr>
            </w:pPr>
            <w:r>
              <w:rPr>
                <w:rFonts w:hint="eastAsia"/>
                <w:lang w:eastAsia="zh-CN"/>
              </w:rPr>
              <w:t>306.02</w:t>
            </w:r>
          </w:p>
        </w:tc>
        <w:tc>
          <w:tcPr>
            <w:tcW w:w="1134" w:type="dxa"/>
            <w:vAlign w:val="center"/>
          </w:tcPr>
          <w:p>
            <w:pPr>
              <w:pStyle w:val="13"/>
              <w:rPr>
                <w:rFonts w:hint="eastAsia" w:eastAsia="方正书宋_GBK"/>
                <w:lang w:eastAsia="zh-CN"/>
              </w:rPr>
            </w:pPr>
            <w:r>
              <w:rPr>
                <w:rFonts w:hint="eastAsia"/>
                <w:lang w:eastAsia="zh-CN"/>
              </w:rPr>
              <w:t>306.02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55.07</w:t>
            </w:r>
          </w:p>
        </w:tc>
        <w:tc>
          <w:tcPr>
            <w:tcW w:w="1134" w:type="dxa"/>
            <w:vAlign w:val="center"/>
          </w:tcPr>
          <w:p>
            <w:pPr>
              <w:pStyle w:val="13"/>
            </w:pPr>
            <w:r>
              <w:t>55.07</w:t>
            </w:r>
          </w:p>
        </w:tc>
        <w:tc>
          <w:tcPr>
            <w:tcW w:w="1134" w:type="dxa"/>
            <w:vAlign w:val="center"/>
          </w:tcPr>
          <w:p>
            <w:pPr>
              <w:pStyle w:val="13"/>
            </w:pPr>
            <w:r>
              <w:t>55.07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53.60</w:t>
            </w:r>
          </w:p>
        </w:tc>
        <w:tc>
          <w:tcPr>
            <w:tcW w:w="1134" w:type="dxa"/>
            <w:vAlign w:val="center"/>
          </w:tcPr>
          <w:p>
            <w:pPr>
              <w:pStyle w:val="13"/>
            </w:pPr>
            <w:r>
              <w:t>53.60</w:t>
            </w:r>
          </w:p>
        </w:tc>
        <w:tc>
          <w:tcPr>
            <w:tcW w:w="1134" w:type="dxa"/>
            <w:vAlign w:val="center"/>
          </w:tcPr>
          <w:p>
            <w:pPr>
              <w:pStyle w:val="13"/>
            </w:pPr>
            <w:r>
              <w:t>53.60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53.60</w:t>
            </w:r>
          </w:p>
        </w:tc>
        <w:tc>
          <w:tcPr>
            <w:tcW w:w="1134" w:type="dxa"/>
            <w:vAlign w:val="center"/>
          </w:tcPr>
          <w:p>
            <w:pPr>
              <w:pStyle w:val="13"/>
            </w:pPr>
            <w:r>
              <w:t>53.60</w:t>
            </w:r>
          </w:p>
        </w:tc>
        <w:tc>
          <w:tcPr>
            <w:tcW w:w="1134" w:type="dxa"/>
            <w:vAlign w:val="center"/>
          </w:tcPr>
          <w:p>
            <w:pPr>
              <w:pStyle w:val="13"/>
            </w:pPr>
            <w:r>
              <w:t>53.60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r>
              <w:t>21.17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r>
              <w:t>42.65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436001宁晋县行政审批局本级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rPr>
                <w:rFonts w:hint="eastAsia" w:eastAsia="方正书宋_GBK"/>
                <w:lang w:eastAsia="zh-CN"/>
              </w:rPr>
            </w:pPr>
            <w:r>
              <w:rPr>
                <w:rFonts w:hint="eastAsia"/>
                <w:lang w:eastAsia="zh-CN"/>
              </w:rPr>
              <w:t>844.94</w:t>
            </w:r>
          </w:p>
        </w:tc>
        <w:tc>
          <w:tcPr>
            <w:tcW w:w="1361" w:type="dxa"/>
            <w:vAlign w:val="center"/>
          </w:tcPr>
          <w:p>
            <w:pPr>
              <w:pStyle w:val="17"/>
            </w:pPr>
            <w:r>
              <w:t>538.92</w:t>
            </w:r>
          </w:p>
        </w:tc>
        <w:tc>
          <w:tcPr>
            <w:tcW w:w="1361" w:type="dxa"/>
            <w:vAlign w:val="center"/>
          </w:tcPr>
          <w:p>
            <w:pPr>
              <w:pStyle w:val="17"/>
              <w:rPr>
                <w:rFonts w:hint="eastAsia" w:eastAsia="方正书宋_GBK"/>
                <w:lang w:eastAsia="zh-CN"/>
              </w:rPr>
            </w:pPr>
            <w:r>
              <w:rPr>
                <w:rFonts w:hint="eastAsia"/>
                <w:lang w:eastAsia="zh-CN"/>
              </w:rPr>
              <w:t>306.02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rPr>
                <w:rFonts w:hint="eastAsia" w:eastAsia="方正书宋_GBK"/>
                <w:lang w:eastAsia="zh-CN"/>
              </w:rPr>
            </w:pPr>
            <w:r>
              <w:rPr>
                <w:rFonts w:hint="eastAsia"/>
                <w:lang w:eastAsia="zh-CN"/>
              </w:rPr>
              <w:t>726.05</w:t>
            </w:r>
          </w:p>
        </w:tc>
        <w:tc>
          <w:tcPr>
            <w:tcW w:w="1361" w:type="dxa"/>
            <w:vAlign w:val="center"/>
          </w:tcPr>
          <w:p>
            <w:pPr>
              <w:pStyle w:val="13"/>
            </w:pPr>
            <w:r>
              <w:t>420.03</w:t>
            </w:r>
          </w:p>
        </w:tc>
        <w:tc>
          <w:tcPr>
            <w:tcW w:w="1361" w:type="dxa"/>
            <w:vAlign w:val="center"/>
          </w:tcPr>
          <w:p>
            <w:pPr>
              <w:pStyle w:val="13"/>
              <w:rPr>
                <w:rFonts w:hint="eastAsia" w:eastAsia="方正书宋_GBK"/>
                <w:lang w:eastAsia="zh-CN"/>
              </w:rPr>
            </w:pPr>
            <w:r>
              <w:rPr>
                <w:rFonts w:hint="eastAsia"/>
                <w:lang w:eastAsia="zh-CN"/>
              </w:rPr>
              <w:t>306.02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rPr>
                <w:rFonts w:hint="eastAsia" w:eastAsia="方正书宋_GBK"/>
                <w:lang w:eastAsia="zh-CN"/>
              </w:rPr>
            </w:pPr>
            <w:r>
              <w:rPr>
                <w:rFonts w:hint="eastAsia"/>
                <w:lang w:eastAsia="zh-CN"/>
              </w:rPr>
              <w:t>726.05</w:t>
            </w:r>
          </w:p>
        </w:tc>
        <w:tc>
          <w:tcPr>
            <w:tcW w:w="1361" w:type="dxa"/>
            <w:vAlign w:val="center"/>
          </w:tcPr>
          <w:p>
            <w:pPr>
              <w:pStyle w:val="13"/>
            </w:pPr>
            <w:r>
              <w:t>420.03</w:t>
            </w:r>
          </w:p>
        </w:tc>
        <w:tc>
          <w:tcPr>
            <w:tcW w:w="1361" w:type="dxa"/>
            <w:vAlign w:val="center"/>
          </w:tcPr>
          <w:p>
            <w:pPr>
              <w:pStyle w:val="13"/>
              <w:rPr>
                <w:rFonts w:hint="eastAsia" w:eastAsia="方正书宋_GBK"/>
                <w:lang w:eastAsia="zh-CN"/>
              </w:rPr>
            </w:pPr>
            <w:r>
              <w:rPr>
                <w:rFonts w:hint="eastAsia"/>
                <w:lang w:eastAsia="zh-CN"/>
              </w:rPr>
              <w:t>306.02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420.03</w:t>
            </w:r>
          </w:p>
        </w:tc>
        <w:tc>
          <w:tcPr>
            <w:tcW w:w="1361" w:type="dxa"/>
            <w:vAlign w:val="center"/>
          </w:tcPr>
          <w:p>
            <w:pPr>
              <w:pStyle w:val="13"/>
            </w:pPr>
            <w:r>
              <w:t>420.03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5</w:t>
            </w:r>
          </w:p>
        </w:tc>
        <w:tc>
          <w:tcPr>
            <w:tcW w:w="992" w:type="dxa"/>
            <w:vAlign w:val="center"/>
          </w:tcPr>
          <w:p>
            <w:pPr>
              <w:pStyle w:val="14"/>
            </w:pPr>
            <w:r>
              <w:t>2010306</w:t>
            </w:r>
          </w:p>
        </w:tc>
        <w:tc>
          <w:tcPr>
            <w:tcW w:w="4535" w:type="dxa"/>
            <w:vAlign w:val="center"/>
          </w:tcPr>
          <w:p>
            <w:pPr>
              <w:pStyle w:val="14"/>
            </w:pPr>
            <w:r>
              <w:t>政务公开审批</w:t>
            </w:r>
          </w:p>
        </w:tc>
        <w:tc>
          <w:tcPr>
            <w:tcW w:w="1361" w:type="dxa"/>
            <w:vAlign w:val="center"/>
          </w:tcPr>
          <w:p>
            <w:pPr>
              <w:pStyle w:val="13"/>
              <w:rPr>
                <w:rFonts w:hint="eastAsia" w:eastAsia="方正书宋_GBK"/>
                <w:lang w:eastAsia="zh-CN"/>
              </w:rPr>
            </w:pPr>
            <w:r>
              <w:rPr>
                <w:rFonts w:hint="eastAsia"/>
                <w:lang w:eastAsia="zh-CN"/>
              </w:rPr>
              <w:t>306.02</w:t>
            </w:r>
          </w:p>
        </w:tc>
        <w:tc>
          <w:tcPr>
            <w:tcW w:w="1361" w:type="dxa"/>
            <w:vAlign w:val="center"/>
          </w:tcPr>
          <w:p>
            <w:pPr>
              <w:pStyle w:val="13"/>
            </w:pPr>
          </w:p>
        </w:tc>
        <w:tc>
          <w:tcPr>
            <w:tcW w:w="1361" w:type="dxa"/>
            <w:vAlign w:val="center"/>
          </w:tcPr>
          <w:p>
            <w:pPr>
              <w:pStyle w:val="13"/>
              <w:rPr>
                <w:rFonts w:hint="eastAsia" w:eastAsia="方正书宋_GBK"/>
                <w:lang w:eastAsia="zh-CN"/>
              </w:rPr>
            </w:pPr>
            <w:r>
              <w:rPr>
                <w:rFonts w:hint="eastAsia"/>
                <w:lang w:eastAsia="zh-CN"/>
              </w:rPr>
              <w:t>306.02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55.07</w:t>
            </w:r>
          </w:p>
        </w:tc>
        <w:tc>
          <w:tcPr>
            <w:tcW w:w="1361" w:type="dxa"/>
            <w:vAlign w:val="center"/>
          </w:tcPr>
          <w:p>
            <w:pPr>
              <w:pStyle w:val="13"/>
            </w:pPr>
            <w:r>
              <w:t>55.07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53.60</w:t>
            </w:r>
          </w:p>
        </w:tc>
        <w:tc>
          <w:tcPr>
            <w:tcW w:w="1361" w:type="dxa"/>
            <w:vAlign w:val="center"/>
          </w:tcPr>
          <w:p>
            <w:pPr>
              <w:pStyle w:val="13"/>
            </w:pPr>
            <w:r>
              <w:t>53.60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53.60</w:t>
            </w:r>
          </w:p>
        </w:tc>
        <w:tc>
          <w:tcPr>
            <w:tcW w:w="1361" w:type="dxa"/>
            <w:vAlign w:val="center"/>
          </w:tcPr>
          <w:p>
            <w:pPr>
              <w:pStyle w:val="13"/>
            </w:pPr>
            <w:r>
              <w:t>53.60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1.47</w:t>
            </w:r>
          </w:p>
        </w:tc>
        <w:tc>
          <w:tcPr>
            <w:tcW w:w="1361" w:type="dxa"/>
            <w:vAlign w:val="center"/>
          </w:tcPr>
          <w:p>
            <w:pPr>
              <w:pStyle w:val="13"/>
            </w:pPr>
            <w:r>
              <w:t>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1.47</w:t>
            </w:r>
          </w:p>
        </w:tc>
        <w:tc>
          <w:tcPr>
            <w:tcW w:w="1361" w:type="dxa"/>
            <w:vAlign w:val="center"/>
          </w:tcPr>
          <w:p>
            <w:pPr>
              <w:pStyle w:val="13"/>
            </w:pPr>
            <w:r>
              <w:t>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21.17</w:t>
            </w:r>
          </w:p>
        </w:tc>
        <w:tc>
          <w:tcPr>
            <w:tcW w:w="1361" w:type="dxa"/>
            <w:vAlign w:val="center"/>
          </w:tcPr>
          <w:p>
            <w:pPr>
              <w:pStyle w:val="13"/>
            </w:pPr>
            <w:r>
              <w:t>21.17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21.17</w:t>
            </w:r>
          </w:p>
        </w:tc>
        <w:tc>
          <w:tcPr>
            <w:tcW w:w="1361" w:type="dxa"/>
            <w:vAlign w:val="center"/>
          </w:tcPr>
          <w:p>
            <w:pPr>
              <w:pStyle w:val="13"/>
            </w:pPr>
            <w:r>
              <w:t>21.17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21.17</w:t>
            </w:r>
          </w:p>
        </w:tc>
        <w:tc>
          <w:tcPr>
            <w:tcW w:w="1361" w:type="dxa"/>
            <w:vAlign w:val="center"/>
          </w:tcPr>
          <w:p>
            <w:pPr>
              <w:pStyle w:val="13"/>
            </w:pPr>
            <w:r>
              <w:t>21.17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42.65</w:t>
            </w:r>
          </w:p>
        </w:tc>
        <w:tc>
          <w:tcPr>
            <w:tcW w:w="1361" w:type="dxa"/>
            <w:vAlign w:val="center"/>
          </w:tcPr>
          <w:p>
            <w:pPr>
              <w:pStyle w:val="13"/>
            </w:pPr>
            <w:r>
              <w:t>42.65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42.65</w:t>
            </w:r>
          </w:p>
        </w:tc>
        <w:tc>
          <w:tcPr>
            <w:tcW w:w="1361" w:type="dxa"/>
            <w:vAlign w:val="center"/>
          </w:tcPr>
          <w:p>
            <w:pPr>
              <w:pStyle w:val="13"/>
            </w:pPr>
            <w:r>
              <w:t>42.65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42.65</w:t>
            </w:r>
          </w:p>
        </w:tc>
        <w:tc>
          <w:tcPr>
            <w:tcW w:w="1361" w:type="dxa"/>
            <w:vAlign w:val="center"/>
          </w:tcPr>
          <w:p>
            <w:pPr>
              <w:pStyle w:val="13"/>
            </w:pPr>
            <w:r>
              <w:t>42.65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436001宁晋县行政审批局本级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rPr>
                <w:rFonts w:hint="eastAsia" w:eastAsia="方正书宋_GBK"/>
                <w:lang w:eastAsia="zh-CN"/>
              </w:rPr>
            </w:pPr>
            <w:r>
              <w:rPr>
                <w:rFonts w:hint="eastAsia"/>
                <w:lang w:eastAsia="zh-CN"/>
              </w:rPr>
              <w:t>844.94</w:t>
            </w:r>
          </w:p>
        </w:tc>
        <w:tc>
          <w:tcPr>
            <w:tcW w:w="3402" w:type="dxa"/>
            <w:vAlign w:val="center"/>
          </w:tcPr>
          <w:p>
            <w:pPr>
              <w:pStyle w:val="14"/>
            </w:pPr>
            <w:r>
              <w:t>一、一般公共服务支出</w:t>
            </w:r>
          </w:p>
        </w:tc>
        <w:tc>
          <w:tcPr>
            <w:tcW w:w="1474" w:type="dxa"/>
            <w:vAlign w:val="center"/>
          </w:tcPr>
          <w:p>
            <w:pPr>
              <w:pStyle w:val="13"/>
              <w:rPr>
                <w:rFonts w:hint="eastAsia" w:eastAsia="方正书宋_GBK"/>
                <w:lang w:eastAsia="zh-CN"/>
              </w:rPr>
            </w:pPr>
            <w:r>
              <w:rPr>
                <w:rFonts w:hint="eastAsia"/>
                <w:lang w:eastAsia="zh-CN"/>
              </w:rPr>
              <w:t>726.05</w:t>
            </w:r>
          </w:p>
        </w:tc>
        <w:tc>
          <w:tcPr>
            <w:tcW w:w="1474" w:type="dxa"/>
            <w:vAlign w:val="center"/>
          </w:tcPr>
          <w:p>
            <w:pPr>
              <w:pStyle w:val="13"/>
              <w:rPr>
                <w:rFonts w:hint="eastAsia" w:eastAsia="方正书宋_GBK"/>
                <w:lang w:eastAsia="zh-CN"/>
              </w:rPr>
            </w:pPr>
            <w:r>
              <w:rPr>
                <w:rFonts w:hint="eastAsia"/>
                <w:lang w:eastAsia="zh-CN"/>
              </w:rPr>
              <w:t>726.05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55.07</w:t>
            </w:r>
          </w:p>
        </w:tc>
        <w:tc>
          <w:tcPr>
            <w:tcW w:w="1474" w:type="dxa"/>
            <w:vAlign w:val="center"/>
          </w:tcPr>
          <w:p>
            <w:pPr>
              <w:pStyle w:val="13"/>
            </w:pPr>
            <w:r>
              <w:t>55.07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21.17</w:t>
            </w:r>
          </w:p>
        </w:tc>
        <w:tc>
          <w:tcPr>
            <w:tcW w:w="1474" w:type="dxa"/>
            <w:vAlign w:val="center"/>
          </w:tcPr>
          <w:p>
            <w:pPr>
              <w:pStyle w:val="13"/>
            </w:pPr>
            <w:r>
              <w:t>21.17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42.65</w:t>
            </w:r>
          </w:p>
        </w:tc>
        <w:tc>
          <w:tcPr>
            <w:tcW w:w="1474" w:type="dxa"/>
            <w:vAlign w:val="center"/>
          </w:tcPr>
          <w:p>
            <w:pPr>
              <w:pStyle w:val="13"/>
            </w:pPr>
            <w:r>
              <w:t>42.65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rPr>
                <w:rFonts w:hint="eastAsia" w:eastAsia="方正书宋_GBK"/>
                <w:lang w:eastAsia="zh-CN"/>
              </w:rPr>
            </w:pPr>
            <w:r>
              <w:rPr>
                <w:rFonts w:hint="eastAsia"/>
                <w:lang w:eastAsia="zh-CN"/>
              </w:rPr>
              <w:t>844.94</w:t>
            </w:r>
          </w:p>
        </w:tc>
        <w:tc>
          <w:tcPr>
            <w:tcW w:w="3402" w:type="dxa"/>
            <w:vAlign w:val="center"/>
          </w:tcPr>
          <w:p>
            <w:pPr>
              <w:pStyle w:val="16"/>
            </w:pPr>
            <w:r>
              <w:t>本年支出合计</w:t>
            </w:r>
          </w:p>
        </w:tc>
        <w:tc>
          <w:tcPr>
            <w:tcW w:w="1474" w:type="dxa"/>
            <w:vAlign w:val="center"/>
          </w:tcPr>
          <w:p>
            <w:pPr>
              <w:pStyle w:val="17"/>
              <w:rPr>
                <w:rFonts w:hint="eastAsia" w:eastAsia="方正书宋_GBK"/>
                <w:lang w:eastAsia="zh-CN"/>
              </w:rPr>
            </w:pPr>
            <w:r>
              <w:rPr>
                <w:rFonts w:hint="eastAsia"/>
                <w:lang w:eastAsia="zh-CN"/>
              </w:rPr>
              <w:t>844.94</w:t>
            </w:r>
          </w:p>
        </w:tc>
        <w:tc>
          <w:tcPr>
            <w:tcW w:w="1474" w:type="dxa"/>
            <w:vAlign w:val="center"/>
          </w:tcPr>
          <w:p>
            <w:pPr>
              <w:pStyle w:val="17"/>
              <w:rPr>
                <w:rFonts w:hint="eastAsia" w:eastAsia="方正书宋_GBK"/>
                <w:lang w:eastAsia="zh-CN"/>
              </w:rPr>
            </w:pPr>
            <w:r>
              <w:rPr>
                <w:rFonts w:hint="eastAsia"/>
                <w:lang w:eastAsia="zh-CN"/>
              </w:rPr>
              <w:t>844.94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rPr>
                <w:rFonts w:hint="eastAsia" w:eastAsia="方正书宋_GBK"/>
                <w:lang w:eastAsia="zh-CN"/>
              </w:rPr>
            </w:pPr>
            <w:r>
              <w:rPr>
                <w:rFonts w:hint="eastAsia"/>
                <w:lang w:eastAsia="zh-CN"/>
              </w:rPr>
              <w:t>844.94</w:t>
            </w:r>
          </w:p>
        </w:tc>
        <w:tc>
          <w:tcPr>
            <w:tcW w:w="3402" w:type="dxa"/>
            <w:vAlign w:val="center"/>
          </w:tcPr>
          <w:p>
            <w:pPr>
              <w:pStyle w:val="16"/>
            </w:pPr>
            <w:r>
              <w:t>支出总计</w:t>
            </w:r>
          </w:p>
        </w:tc>
        <w:tc>
          <w:tcPr>
            <w:tcW w:w="1474" w:type="dxa"/>
            <w:vAlign w:val="center"/>
          </w:tcPr>
          <w:p>
            <w:pPr>
              <w:pStyle w:val="17"/>
              <w:rPr>
                <w:rFonts w:hint="eastAsia" w:eastAsia="方正书宋_GBK"/>
                <w:lang w:eastAsia="zh-CN"/>
              </w:rPr>
            </w:pPr>
            <w:r>
              <w:rPr>
                <w:rFonts w:hint="eastAsia"/>
                <w:lang w:eastAsia="zh-CN"/>
              </w:rPr>
              <w:t>844.94</w:t>
            </w:r>
          </w:p>
        </w:tc>
        <w:tc>
          <w:tcPr>
            <w:tcW w:w="1474" w:type="dxa"/>
            <w:vAlign w:val="center"/>
          </w:tcPr>
          <w:p>
            <w:pPr>
              <w:pStyle w:val="17"/>
              <w:rPr>
                <w:rFonts w:hint="eastAsia" w:eastAsia="方正书宋_GBK"/>
                <w:lang w:eastAsia="zh-CN"/>
              </w:rPr>
            </w:pPr>
            <w:r>
              <w:rPr>
                <w:rFonts w:hint="eastAsia"/>
                <w:lang w:eastAsia="zh-CN"/>
              </w:rPr>
              <w:t>844.94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rPr>
                <w:rFonts w:hint="eastAsia" w:eastAsia="方正书宋_GBK"/>
                <w:lang w:eastAsia="zh-CN"/>
              </w:rPr>
            </w:pPr>
            <w:r>
              <w:rPr>
                <w:rFonts w:hint="eastAsia"/>
                <w:lang w:eastAsia="zh-CN"/>
              </w:rPr>
              <w:t>844.94</w:t>
            </w:r>
          </w:p>
        </w:tc>
        <w:tc>
          <w:tcPr>
            <w:tcW w:w="2551" w:type="dxa"/>
            <w:vAlign w:val="center"/>
          </w:tcPr>
          <w:p>
            <w:pPr>
              <w:pStyle w:val="17"/>
            </w:pPr>
            <w:r>
              <w:t>538.92</w:t>
            </w:r>
          </w:p>
        </w:tc>
        <w:tc>
          <w:tcPr>
            <w:tcW w:w="2551" w:type="dxa"/>
            <w:vAlign w:val="center"/>
          </w:tcPr>
          <w:p>
            <w:pPr>
              <w:pStyle w:val="17"/>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rPr>
                <w:rFonts w:hint="eastAsia" w:eastAsia="方正书宋_GBK"/>
                <w:lang w:eastAsia="zh-CN"/>
              </w:rPr>
            </w:pPr>
            <w:r>
              <w:rPr>
                <w:rFonts w:hint="eastAsia"/>
                <w:lang w:eastAsia="zh-CN"/>
              </w:rPr>
              <w:t>726.05</w:t>
            </w:r>
          </w:p>
        </w:tc>
        <w:tc>
          <w:tcPr>
            <w:tcW w:w="2551" w:type="dxa"/>
            <w:vAlign w:val="center"/>
          </w:tcPr>
          <w:p>
            <w:pPr>
              <w:pStyle w:val="13"/>
            </w:pPr>
            <w:r>
              <w:t>420.03</w:t>
            </w:r>
          </w:p>
        </w:tc>
        <w:tc>
          <w:tcPr>
            <w:tcW w:w="2551" w:type="dxa"/>
            <w:vAlign w:val="center"/>
          </w:tcPr>
          <w:p>
            <w:pPr>
              <w:pStyle w:val="13"/>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rPr>
                <w:rFonts w:hint="eastAsia" w:eastAsia="方正书宋_GBK"/>
                <w:lang w:eastAsia="zh-CN"/>
              </w:rPr>
            </w:pPr>
            <w:r>
              <w:rPr>
                <w:rFonts w:hint="eastAsia"/>
                <w:lang w:eastAsia="zh-CN"/>
              </w:rPr>
              <w:t>726.05</w:t>
            </w:r>
          </w:p>
        </w:tc>
        <w:tc>
          <w:tcPr>
            <w:tcW w:w="2551" w:type="dxa"/>
            <w:vAlign w:val="center"/>
          </w:tcPr>
          <w:p>
            <w:pPr>
              <w:pStyle w:val="13"/>
            </w:pPr>
            <w:r>
              <w:t>420.03</w:t>
            </w:r>
          </w:p>
        </w:tc>
        <w:tc>
          <w:tcPr>
            <w:tcW w:w="2551" w:type="dxa"/>
            <w:vAlign w:val="center"/>
          </w:tcPr>
          <w:p>
            <w:pPr>
              <w:pStyle w:val="13"/>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420.03</w:t>
            </w:r>
          </w:p>
        </w:tc>
        <w:tc>
          <w:tcPr>
            <w:tcW w:w="2551" w:type="dxa"/>
            <w:vAlign w:val="center"/>
          </w:tcPr>
          <w:p>
            <w:pPr>
              <w:pStyle w:val="13"/>
            </w:pPr>
            <w:r>
              <w:t>420.03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2010306</w:t>
            </w:r>
          </w:p>
        </w:tc>
        <w:tc>
          <w:tcPr>
            <w:tcW w:w="4535" w:type="dxa"/>
            <w:vAlign w:val="center"/>
          </w:tcPr>
          <w:p>
            <w:pPr>
              <w:pStyle w:val="14"/>
            </w:pPr>
            <w:r>
              <w:t>政务公开审批</w:t>
            </w:r>
          </w:p>
        </w:tc>
        <w:tc>
          <w:tcPr>
            <w:tcW w:w="2551" w:type="dxa"/>
            <w:vAlign w:val="center"/>
          </w:tcPr>
          <w:p>
            <w:pPr>
              <w:pStyle w:val="13"/>
              <w:rPr>
                <w:rFonts w:hint="eastAsia" w:eastAsia="方正书宋_GBK"/>
                <w:lang w:eastAsia="zh-CN"/>
              </w:rPr>
            </w:pPr>
            <w:r>
              <w:rPr>
                <w:rFonts w:hint="eastAsia"/>
                <w:lang w:eastAsia="zh-CN"/>
              </w:rPr>
              <w:t>306.02</w:t>
            </w:r>
          </w:p>
        </w:tc>
        <w:tc>
          <w:tcPr>
            <w:tcW w:w="2551" w:type="dxa"/>
            <w:vAlign w:val="center"/>
          </w:tcPr>
          <w:p>
            <w:pPr>
              <w:pStyle w:val="13"/>
            </w:pPr>
          </w:p>
        </w:tc>
        <w:tc>
          <w:tcPr>
            <w:tcW w:w="2551" w:type="dxa"/>
            <w:vAlign w:val="center"/>
          </w:tcPr>
          <w:p>
            <w:pPr>
              <w:pStyle w:val="13"/>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55.07</w:t>
            </w:r>
          </w:p>
        </w:tc>
        <w:tc>
          <w:tcPr>
            <w:tcW w:w="2551" w:type="dxa"/>
            <w:vAlign w:val="center"/>
          </w:tcPr>
          <w:p>
            <w:pPr>
              <w:pStyle w:val="13"/>
            </w:pPr>
            <w:r>
              <w:t>55.07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53.60</w:t>
            </w:r>
          </w:p>
        </w:tc>
        <w:tc>
          <w:tcPr>
            <w:tcW w:w="2551" w:type="dxa"/>
            <w:vAlign w:val="center"/>
          </w:tcPr>
          <w:p>
            <w:pPr>
              <w:pStyle w:val="13"/>
            </w:pPr>
            <w:r>
              <w:t>53.60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53.60</w:t>
            </w:r>
          </w:p>
        </w:tc>
        <w:tc>
          <w:tcPr>
            <w:tcW w:w="2551" w:type="dxa"/>
            <w:vAlign w:val="center"/>
          </w:tcPr>
          <w:p>
            <w:pPr>
              <w:pStyle w:val="13"/>
            </w:pPr>
            <w:r>
              <w:t>53.60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1.47</w:t>
            </w:r>
          </w:p>
        </w:tc>
        <w:tc>
          <w:tcPr>
            <w:tcW w:w="2551" w:type="dxa"/>
            <w:vAlign w:val="center"/>
          </w:tcPr>
          <w:p>
            <w:pPr>
              <w:pStyle w:val="13"/>
            </w:pPr>
            <w:r>
              <w:t>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1.47</w:t>
            </w:r>
          </w:p>
        </w:tc>
        <w:tc>
          <w:tcPr>
            <w:tcW w:w="2551" w:type="dxa"/>
            <w:vAlign w:val="center"/>
          </w:tcPr>
          <w:p>
            <w:pPr>
              <w:pStyle w:val="13"/>
            </w:pPr>
            <w:r>
              <w:t>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21.17</w:t>
            </w:r>
          </w:p>
        </w:tc>
        <w:tc>
          <w:tcPr>
            <w:tcW w:w="2551" w:type="dxa"/>
            <w:vAlign w:val="center"/>
          </w:tcPr>
          <w:p>
            <w:pPr>
              <w:pStyle w:val="13"/>
            </w:pPr>
            <w:r>
              <w:t>21.17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21.17</w:t>
            </w:r>
          </w:p>
        </w:tc>
        <w:tc>
          <w:tcPr>
            <w:tcW w:w="2551" w:type="dxa"/>
            <w:vAlign w:val="center"/>
          </w:tcPr>
          <w:p>
            <w:pPr>
              <w:pStyle w:val="13"/>
            </w:pPr>
            <w:r>
              <w:t>21.17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21.17</w:t>
            </w:r>
          </w:p>
        </w:tc>
        <w:tc>
          <w:tcPr>
            <w:tcW w:w="2551" w:type="dxa"/>
            <w:vAlign w:val="center"/>
          </w:tcPr>
          <w:p>
            <w:pPr>
              <w:pStyle w:val="13"/>
            </w:pPr>
            <w:r>
              <w:t>21.17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42.65</w:t>
            </w:r>
          </w:p>
        </w:tc>
        <w:tc>
          <w:tcPr>
            <w:tcW w:w="2551" w:type="dxa"/>
            <w:vAlign w:val="center"/>
          </w:tcPr>
          <w:p>
            <w:pPr>
              <w:pStyle w:val="13"/>
            </w:pPr>
            <w:r>
              <w:t>42.65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42.65</w:t>
            </w:r>
          </w:p>
        </w:tc>
        <w:tc>
          <w:tcPr>
            <w:tcW w:w="2551" w:type="dxa"/>
            <w:vAlign w:val="center"/>
          </w:tcPr>
          <w:p>
            <w:pPr>
              <w:pStyle w:val="13"/>
            </w:pPr>
            <w:r>
              <w:t>42.65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42.65</w:t>
            </w:r>
          </w:p>
        </w:tc>
        <w:tc>
          <w:tcPr>
            <w:tcW w:w="2551" w:type="dxa"/>
            <w:vAlign w:val="center"/>
          </w:tcPr>
          <w:p>
            <w:pPr>
              <w:pStyle w:val="13"/>
            </w:pPr>
            <w:r>
              <w:t>42.65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538.92</w:t>
            </w:r>
          </w:p>
        </w:tc>
        <w:tc>
          <w:tcPr>
            <w:tcW w:w="2551" w:type="dxa"/>
            <w:vAlign w:val="center"/>
          </w:tcPr>
          <w:p>
            <w:pPr>
              <w:pStyle w:val="17"/>
            </w:pPr>
            <w:r>
              <w:t>499.25</w:t>
            </w:r>
          </w:p>
        </w:tc>
        <w:tc>
          <w:tcPr>
            <w:tcW w:w="2551" w:type="dxa"/>
            <w:vAlign w:val="center"/>
          </w:tcPr>
          <w:p>
            <w:pPr>
              <w:pStyle w:val="17"/>
            </w:pPr>
            <w:r>
              <w:t>39.67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499.25</w:t>
            </w:r>
          </w:p>
        </w:tc>
        <w:tc>
          <w:tcPr>
            <w:tcW w:w="2551" w:type="dxa"/>
            <w:vAlign w:val="center"/>
          </w:tcPr>
          <w:p>
            <w:pPr>
              <w:pStyle w:val="13"/>
            </w:pPr>
            <w:r>
              <w:t>499.25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245.00</w:t>
            </w:r>
          </w:p>
        </w:tc>
        <w:tc>
          <w:tcPr>
            <w:tcW w:w="2551" w:type="dxa"/>
            <w:vAlign w:val="center"/>
          </w:tcPr>
          <w:p>
            <w:pPr>
              <w:pStyle w:val="13"/>
            </w:pPr>
            <w:r>
              <w:t>245.00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79.90</w:t>
            </w:r>
          </w:p>
        </w:tc>
        <w:tc>
          <w:tcPr>
            <w:tcW w:w="2551" w:type="dxa"/>
            <w:vAlign w:val="center"/>
          </w:tcPr>
          <w:p>
            <w:pPr>
              <w:pStyle w:val="13"/>
            </w:pPr>
            <w:r>
              <w:t>79.90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26.46</w:t>
            </w:r>
          </w:p>
        </w:tc>
        <w:tc>
          <w:tcPr>
            <w:tcW w:w="2551" w:type="dxa"/>
            <w:vAlign w:val="center"/>
          </w:tcPr>
          <w:p>
            <w:pPr>
              <w:pStyle w:val="13"/>
            </w:pPr>
            <w:r>
              <w:t>26.46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53.60</w:t>
            </w:r>
          </w:p>
        </w:tc>
        <w:tc>
          <w:tcPr>
            <w:tcW w:w="2551" w:type="dxa"/>
            <w:vAlign w:val="center"/>
          </w:tcPr>
          <w:p>
            <w:pPr>
              <w:pStyle w:val="13"/>
            </w:pPr>
            <w:r>
              <w:t>53.60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21.17</w:t>
            </w:r>
          </w:p>
        </w:tc>
        <w:tc>
          <w:tcPr>
            <w:tcW w:w="2551" w:type="dxa"/>
            <w:vAlign w:val="center"/>
          </w:tcPr>
          <w:p>
            <w:pPr>
              <w:pStyle w:val="13"/>
            </w:pPr>
            <w:r>
              <w:t>21.17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1.47</w:t>
            </w:r>
          </w:p>
        </w:tc>
        <w:tc>
          <w:tcPr>
            <w:tcW w:w="2551" w:type="dxa"/>
            <w:vAlign w:val="center"/>
          </w:tcPr>
          <w:p>
            <w:pPr>
              <w:pStyle w:val="13"/>
            </w:pPr>
            <w:r>
              <w:t>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42.65</w:t>
            </w:r>
          </w:p>
        </w:tc>
        <w:tc>
          <w:tcPr>
            <w:tcW w:w="2551" w:type="dxa"/>
            <w:vAlign w:val="center"/>
          </w:tcPr>
          <w:p>
            <w:pPr>
              <w:pStyle w:val="13"/>
            </w:pPr>
            <w:r>
              <w:t>42.65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39.67</w:t>
            </w:r>
          </w:p>
        </w:tc>
        <w:tc>
          <w:tcPr>
            <w:tcW w:w="2551" w:type="dxa"/>
            <w:vAlign w:val="center"/>
          </w:tcPr>
          <w:p>
            <w:pPr>
              <w:pStyle w:val="13"/>
            </w:pPr>
          </w:p>
        </w:tc>
        <w:tc>
          <w:tcPr>
            <w:tcW w:w="2551" w:type="dxa"/>
            <w:vAlign w:val="center"/>
          </w:tcPr>
          <w:p>
            <w:pPr>
              <w:pStyle w:val="13"/>
            </w:pPr>
            <w:r>
              <w:t>39.67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10.11</w:t>
            </w:r>
          </w:p>
        </w:tc>
        <w:tc>
          <w:tcPr>
            <w:tcW w:w="2551" w:type="dxa"/>
            <w:vAlign w:val="center"/>
          </w:tcPr>
          <w:p>
            <w:pPr>
              <w:pStyle w:val="13"/>
            </w:pPr>
          </w:p>
        </w:tc>
        <w:tc>
          <w:tcPr>
            <w:tcW w:w="2551" w:type="dxa"/>
            <w:vAlign w:val="center"/>
          </w:tcPr>
          <w:p>
            <w:pPr>
              <w:pStyle w:val="13"/>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7.00</w:t>
            </w:r>
          </w:p>
        </w:tc>
        <w:tc>
          <w:tcPr>
            <w:tcW w:w="2551" w:type="dxa"/>
            <w:vAlign w:val="center"/>
          </w:tcPr>
          <w:p>
            <w:pPr>
              <w:pStyle w:val="13"/>
            </w:pPr>
          </w:p>
        </w:tc>
        <w:tc>
          <w:tcPr>
            <w:tcW w:w="2551"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4.56</w:t>
            </w:r>
          </w:p>
        </w:tc>
        <w:tc>
          <w:tcPr>
            <w:tcW w:w="2551" w:type="dxa"/>
            <w:vAlign w:val="center"/>
          </w:tcPr>
          <w:p>
            <w:pPr>
              <w:pStyle w:val="13"/>
            </w:pPr>
          </w:p>
        </w:tc>
        <w:tc>
          <w:tcPr>
            <w:tcW w:w="2551" w:type="dxa"/>
            <w:vAlign w:val="center"/>
          </w:tcPr>
          <w:p>
            <w:pPr>
              <w:pStyle w:val="13"/>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436001宁晋县行政审批局本级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rPr>
                <w:rFonts w:hint="default" w:eastAsia="方正书宋_GBK"/>
                <w:lang w:val="en-US" w:eastAsia="zh-CN"/>
              </w:rPr>
            </w:pPr>
          </w:p>
        </w:tc>
        <w:tc>
          <w:tcPr>
            <w:tcW w:w="2381" w:type="dxa"/>
            <w:vAlign w:val="center"/>
          </w:tcPr>
          <w:p>
            <w:pPr>
              <w:pStyle w:val="13"/>
              <w:rPr>
                <w:rFonts w:hint="default" w:eastAsia="方正书宋_GBK"/>
                <w:lang w:val="en-US" w:eastAsia="zh-CN"/>
              </w:rPr>
            </w:pPr>
          </w:p>
        </w:tc>
        <w:tc>
          <w:tcPr>
            <w:tcW w:w="2381" w:type="dxa"/>
            <w:vAlign w:val="center"/>
          </w:tcPr>
          <w:p>
            <w:pPr>
              <w:pStyle w:val="13"/>
            </w:pPr>
          </w:p>
        </w:tc>
        <w:tc>
          <w:tcPr>
            <w:tcW w:w="2381" w:type="dxa"/>
            <w:vAlign w:val="center"/>
          </w:tcPr>
          <w:p>
            <w:pPr>
              <w:pStyle w:val="13"/>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注：无财政拨款“三公”经费支出表预算，空表列示。</w:t>
      </w:r>
    </w:p>
    <w:p>
      <w:pPr>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br w:type="page"/>
      </w:r>
    </w:p>
    <w:p>
      <w:pPr>
        <w:ind w:firstLine="420"/>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bookmarkStart w:id="19" w:name="_GoBack"/>
      <w:bookmarkEnd w:id="19"/>
    </w:p>
    <w:p>
      <w:pPr>
        <w:jc w:val="center"/>
        <w:outlineLvl w:val="4"/>
      </w:pPr>
      <w:r>
        <w:rPr>
          <w:rFonts w:ascii="方正小标宋_GBK" w:hAnsi="方正小标宋_GBK" w:eastAsia="方正小标宋_GBK" w:cs="方正小标宋_GBK"/>
          <w:color w:val="000000"/>
          <w:sz w:val="44"/>
        </w:rPr>
        <w:t>宁晋县行政审批局本级2023年单位预算信息公开情况说明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按照《预算法》、《地方预决算公开操作规程》和《关于进一步推进预算公开工作的实施意见》规定，现将宁晋县行政审批局本级2023年单位预算公开如下：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主要职责是：</w:t>
      </w:r>
    </w:p>
    <w:p>
      <w:pPr>
        <w:pStyle w:val="27"/>
      </w:pPr>
      <w:r>
        <w:t>1.贯彻执行党中央、国务院和</w:t>
      </w:r>
      <w:r>
        <w:rPr>
          <w:rFonts w:hint="eastAsia"/>
          <w:lang w:eastAsia="zh-CN"/>
        </w:rPr>
        <w:t>县</w:t>
      </w:r>
      <w:r>
        <w:t>委、</w:t>
      </w:r>
      <w:r>
        <w:rPr>
          <w:rFonts w:hint="eastAsia"/>
          <w:lang w:eastAsia="zh-CN"/>
        </w:rPr>
        <w:t>县</w:t>
      </w:r>
      <w:r>
        <w:t>政府、市委、市政府及县委、县政府“放管服”改革、行政审批、政务服务、公共资源交易、社会信用体系建设有关方针政策和法律法规，制定和完善有关规章制度和管理办法并组织实施。</w:t>
      </w:r>
    </w:p>
    <w:p>
      <w:pPr>
        <w:pStyle w:val="27"/>
      </w:pPr>
      <w:r>
        <w:t>2.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pStyle w:val="27"/>
      </w:pPr>
      <w:r>
        <w:t>3.协调指导全县公共资源交易市场工作。拟订全县公共资源交易市场管理制度和规则；编制全县公共资源交易目录；负责建设、管理全县统一的公共资源交易电子服务系统；负责推进全县公共资源交易领域信用体系建设；指导全县并监督县本级公共资源交易项目进场交易；指导全县并负责县本级公共资源交易项目场内交易活动的监督工作，受理对县公共资源交易中心的投诉举报，将违法违规问题移送有关部门处理；协调县级公共资源交易的联动执法。</w:t>
      </w:r>
    </w:p>
    <w:p>
      <w:pPr>
        <w:pStyle w:val="27"/>
      </w:pPr>
      <w:r>
        <w:t>4.组织协调全县“放管服”改革工作。指导、协调贯彻落实党中央、国务院和</w:t>
      </w:r>
      <w:r>
        <w:rPr>
          <w:rFonts w:hint="eastAsia"/>
          <w:lang w:eastAsia="zh-CN"/>
        </w:rPr>
        <w:t>县</w:t>
      </w:r>
      <w:r>
        <w:t>委、</w:t>
      </w:r>
      <w:r>
        <w:rPr>
          <w:rFonts w:hint="eastAsia"/>
          <w:lang w:eastAsia="zh-CN"/>
        </w:rPr>
        <w:t>县</w:t>
      </w:r>
      <w:r>
        <w:t>政府，市委、市政府及县委、县政府关于“放管服”改革的政策措施，承担县推进政府职能转变和“放管服”改革协调小组的日常工作。</w:t>
      </w:r>
    </w:p>
    <w:p>
      <w:pPr>
        <w:pStyle w:val="27"/>
      </w:pPr>
      <w:r>
        <w:t>5.指导协调全县行政审批制度改革工作。建立健全县行政审批管理体系；推进简政放权，清理和规范各类行政许可等管理事项；协调推进行政审批标准化工作；承担县行政审批制度改革工作领导小组的日常工作。</w:t>
      </w:r>
    </w:p>
    <w:p>
      <w:pPr>
        <w:pStyle w:val="27"/>
      </w:pPr>
      <w:r>
        <w:t>6.指导协调全县政务服务管理工作。负责优化政务服务供给，降低制度性交易成本，提升政务服务效能；负责推进审批服务便民化；指导协调县有关部门为公民、法人或其他组织提供规范、高效、优质的政务服务。</w:t>
      </w:r>
    </w:p>
    <w:p>
      <w:pPr>
        <w:pStyle w:val="27"/>
      </w:pPr>
      <w:r>
        <w:t>7.统筹推进全县“互联网+政务服务”工作，构建全县一体化政务服务平台。推行政务服务网上办理，形成管理机构、实体大厅、网上平台“三位一体”的政务服务管理模式；推进全县电子证照库建设；推进全县政务服务平台规范化、标准化、集约化建设。负责行政审批、公共资源交易平台的建设和管理，会同有关部门推进行政审批、公共资源交易信息化建设。</w:t>
      </w:r>
    </w:p>
    <w:p>
      <w:pPr>
        <w:pStyle w:val="27"/>
      </w:pPr>
      <w:r>
        <w:t>8.引导和推动全县社会信用体系建设。组织制定发展规划和年度工作要点；推动健全信用法规制度和标准体系；负责县级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pStyle w:val="27"/>
      </w:pPr>
      <w:r>
        <w:t>9.指导全县乡镇（区）便民服务中心和公共资源交易规范化建设，协调乡镇（区）便民服务中心与县有关部门，建立完善县乡审批服务联动工作机制。</w:t>
      </w:r>
    </w:p>
    <w:p>
      <w:pPr>
        <w:pStyle w:val="27"/>
      </w:pPr>
      <w:r>
        <w:t>10.建立健全全县政务服务、行政审批服务效能可量化的考核评价制度；对具有政务服务职能的部门进行综合考评，对进驻事项的办理情况、办理效能，以及办事人员的服务质量等进行监督；负责对各窗口及其工作人员进行教育、培训和管理；负责对各乡镇（区）便民服务中心进行监督管理。</w:t>
      </w:r>
    </w:p>
    <w:p>
      <w:pPr>
        <w:pStyle w:val="27"/>
      </w:pPr>
      <w:r>
        <w:t>11.协调指导政府群众服务热线工作，协调交办相关部门及时处理群众诉求，负责指导县政府群众服务热线建设和管理工作。</w:t>
      </w:r>
    </w:p>
    <w:p>
      <w:pPr>
        <w:pStyle w:val="27"/>
      </w:pPr>
      <w:r>
        <w:t>12.完成县委、县政府交办的其他任务。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5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41"/>
        <w:gridCol w:w="1314"/>
        <w:gridCol w:w="1515"/>
        <w:gridCol w:w="27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jc w:val="center"/>
        </w:trPr>
        <w:tc>
          <w:tcPr>
            <w:tcW w:w="4041" w:type="dxa"/>
            <w:vAlign w:val="center"/>
          </w:tcPr>
          <w:p>
            <w:pPr>
              <w:pStyle w:val="12"/>
            </w:pPr>
            <w:r>
              <w:t>单位名称</w:t>
            </w:r>
          </w:p>
        </w:tc>
        <w:tc>
          <w:tcPr>
            <w:tcW w:w="1314" w:type="dxa"/>
            <w:vAlign w:val="center"/>
          </w:tcPr>
          <w:p>
            <w:pPr>
              <w:pStyle w:val="12"/>
            </w:pPr>
            <w:r>
              <w:t>单位性质</w:t>
            </w:r>
          </w:p>
        </w:tc>
        <w:tc>
          <w:tcPr>
            <w:tcW w:w="1515" w:type="dxa"/>
            <w:vAlign w:val="center"/>
          </w:tcPr>
          <w:p>
            <w:pPr>
              <w:pStyle w:val="12"/>
            </w:pPr>
            <w:r>
              <w:t>单位规格</w:t>
            </w:r>
          </w:p>
        </w:tc>
        <w:tc>
          <w:tcPr>
            <w:tcW w:w="2728"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 w:hRule="atLeast"/>
          <w:jc w:val="center"/>
        </w:trPr>
        <w:tc>
          <w:tcPr>
            <w:tcW w:w="4041" w:type="dxa"/>
            <w:vAlign w:val="center"/>
          </w:tcPr>
          <w:p>
            <w:pPr>
              <w:pStyle w:val="14"/>
            </w:pPr>
            <w:r>
              <w:t>宁晋县行政审批局本级</w:t>
            </w:r>
          </w:p>
        </w:tc>
        <w:tc>
          <w:tcPr>
            <w:tcW w:w="1314" w:type="dxa"/>
            <w:vAlign w:val="center"/>
          </w:tcPr>
          <w:p>
            <w:pPr>
              <w:pStyle w:val="15"/>
            </w:pPr>
            <w:r>
              <w:t>行政</w:t>
            </w:r>
          </w:p>
        </w:tc>
        <w:tc>
          <w:tcPr>
            <w:tcW w:w="1515" w:type="dxa"/>
            <w:vAlign w:val="center"/>
          </w:tcPr>
          <w:p>
            <w:pPr>
              <w:pStyle w:val="15"/>
            </w:pPr>
            <w:r>
              <w:t>正科级</w:t>
            </w:r>
          </w:p>
        </w:tc>
        <w:tc>
          <w:tcPr>
            <w:tcW w:w="2728"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w:t>
      </w:r>
    </w:p>
    <w:p>
      <w:pPr>
        <w:pStyle w:val="28"/>
      </w:pPr>
      <w:r>
        <w:t>2023年收入844.94万元，全部是公共财政预算拨款。2023年我局经费预算支出844.9万元，其中：①工资福利支出499.25万元。②公用经费支出39.67万元。③项目支出306.02万元（全部为一般公共预算财政拨款支出）。</w:t>
      </w:r>
    </w:p>
    <w:p>
      <w:pPr>
        <w:spacing w:before="10" w:after="10"/>
        <w:ind w:firstLine="640"/>
        <w:outlineLvl w:val="5"/>
      </w:pPr>
      <w:r>
        <w:rPr>
          <w:rFonts w:ascii="黑体" w:hAnsi="黑体" w:eastAsia="黑体" w:cs="黑体"/>
          <w:color w:val="000000"/>
          <w:sz w:val="32"/>
        </w:rPr>
        <w:t>三、机关运行经费安排情况</w:t>
      </w:r>
    </w:p>
    <w:p>
      <w:pPr>
        <w:pStyle w:val="29"/>
      </w:pPr>
      <w:r>
        <w:t>2023年我局日常公用经费共计安排39.67万元，全部是公共财政预算拨款。</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2023年我局“三公”经费财政拨款支出合计2万元，与上年持平。其中：①因公出国（境）费0万元,与上年持平。②公务接待费0万元，与上年持平。③公务用车费支出2万元。与上年持平。</w:t>
      </w:r>
    </w:p>
    <w:p>
      <w:pPr>
        <w:spacing w:before="10" w:after="10"/>
        <w:ind w:firstLine="640"/>
        <w:outlineLvl w:val="5"/>
        <w:sectPr>
          <w:pgSz w:w="11900" w:h="16840"/>
          <w:pgMar w:top="1020" w:right="1361" w:bottom="1020" w:left="1361"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 窗口微机更换绩效目标表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1.保证办公设备正常运行，保障业务办结。</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≥95百分比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办公自动化系统覆盖的业务种类数量</w:t>
            </w:r>
          </w:p>
        </w:tc>
        <w:tc>
          <w:tcPr>
            <w:tcW w:w="2835" w:type="dxa"/>
            <w:vAlign w:val="center"/>
          </w:tcPr>
          <w:p>
            <w:pPr>
              <w:pStyle w:val="14"/>
            </w:pPr>
            <w:r>
              <w:t>办公自动化系统覆盖的业务种类数量</w:t>
            </w:r>
          </w:p>
        </w:tc>
        <w:tc>
          <w:tcPr>
            <w:tcW w:w="2551" w:type="dxa"/>
            <w:vAlign w:val="center"/>
          </w:tcPr>
          <w:p>
            <w:pPr>
              <w:pStyle w:val="14"/>
            </w:pPr>
            <w:r>
              <w:t>≥95百分比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及时处理业务数占总处理数的比率</w:t>
            </w:r>
          </w:p>
        </w:tc>
        <w:tc>
          <w:tcPr>
            <w:tcW w:w="2835" w:type="dxa"/>
            <w:vAlign w:val="center"/>
          </w:tcPr>
          <w:p>
            <w:pPr>
              <w:pStyle w:val="14"/>
            </w:pPr>
            <w:r>
              <w:t>及时处理业务数占总处理数的比率</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设备购置类项目持续使用时间（年）</w:t>
            </w:r>
          </w:p>
        </w:tc>
        <w:tc>
          <w:tcPr>
            <w:tcW w:w="2835" w:type="dxa"/>
            <w:vAlign w:val="center"/>
          </w:tcPr>
          <w:p>
            <w:pPr>
              <w:pStyle w:val="14"/>
            </w:pPr>
            <w:r>
              <w:t>设备购置类项目持续使用时间（年）</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资金投入放大倍数</w:t>
            </w:r>
          </w:p>
        </w:tc>
        <w:tc>
          <w:tcPr>
            <w:tcW w:w="2835" w:type="dxa"/>
            <w:vAlign w:val="center"/>
          </w:tcPr>
          <w:p>
            <w:pPr>
              <w:pStyle w:val="14"/>
            </w:pPr>
            <w:r>
              <w:t>资金投入放大倍数</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≥85百分比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≥85百分比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办事群众满意度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2、城市社会信用体系建设工作经费绩效目标表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1.诚信工作有序开展，工作保质保量完成</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宣传效果</w:t>
            </w:r>
          </w:p>
        </w:tc>
        <w:tc>
          <w:tcPr>
            <w:tcW w:w="2835" w:type="dxa"/>
            <w:vAlign w:val="center"/>
          </w:tcPr>
          <w:p>
            <w:pPr>
              <w:pStyle w:val="14"/>
            </w:pPr>
            <w:r>
              <w:t>宣传效果</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示范带动作用</w:t>
            </w:r>
          </w:p>
        </w:tc>
        <w:tc>
          <w:tcPr>
            <w:tcW w:w="2835" w:type="dxa"/>
            <w:vAlign w:val="center"/>
          </w:tcPr>
          <w:p>
            <w:pPr>
              <w:pStyle w:val="14"/>
            </w:pPr>
            <w:r>
              <w:t>示范带动作用</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社会教率</w:t>
            </w:r>
          </w:p>
        </w:tc>
        <w:tc>
          <w:tcPr>
            <w:tcW w:w="2835" w:type="dxa"/>
            <w:vAlign w:val="center"/>
          </w:tcPr>
          <w:p>
            <w:pPr>
              <w:pStyle w:val="14"/>
            </w:pPr>
            <w:r>
              <w:t>社会教率</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≥90百分比</w:t>
            </w:r>
          </w:p>
        </w:tc>
        <w:tc>
          <w:tcPr>
            <w:tcW w:w="2268" w:type="dxa"/>
            <w:vAlign w:val="center"/>
          </w:tcPr>
          <w:p>
            <w:pPr>
              <w:pStyle w:val="14"/>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≥90百分比</w:t>
            </w:r>
          </w:p>
        </w:tc>
        <w:tc>
          <w:tcPr>
            <w:tcW w:w="2268" w:type="dxa"/>
            <w:vAlign w:val="center"/>
          </w:tcPr>
          <w:p>
            <w:pPr>
              <w:pStyle w:val="14"/>
            </w:pPr>
            <w:r>
              <w:t>工作保质保量完成</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3、工作人员培训绩效目标表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1.办事群众满意，业务办结完成质量</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培训覆盖率（%）</w:t>
            </w:r>
          </w:p>
        </w:tc>
        <w:tc>
          <w:tcPr>
            <w:tcW w:w="2835" w:type="dxa"/>
            <w:vAlign w:val="center"/>
          </w:tcPr>
          <w:p>
            <w:pPr>
              <w:pStyle w:val="14"/>
            </w:pPr>
            <w:r>
              <w:t>培训覆盖率（%）</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培训对象数量占应覆盖对象比率</w:t>
            </w:r>
          </w:p>
        </w:tc>
        <w:tc>
          <w:tcPr>
            <w:tcW w:w="2835" w:type="dxa"/>
            <w:vAlign w:val="center"/>
          </w:tcPr>
          <w:p>
            <w:pPr>
              <w:pStyle w:val="14"/>
            </w:pPr>
            <w:r>
              <w:t>培训对象数量占应覆盖对象比率</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培训出勤率</w:t>
            </w:r>
          </w:p>
        </w:tc>
        <w:tc>
          <w:tcPr>
            <w:tcW w:w="2835" w:type="dxa"/>
            <w:vAlign w:val="center"/>
          </w:tcPr>
          <w:p>
            <w:pPr>
              <w:pStyle w:val="14"/>
            </w:pPr>
            <w:r>
              <w:t>培训出勤率</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项目完成总成本</w:t>
            </w:r>
          </w:p>
        </w:tc>
        <w:tc>
          <w:tcPr>
            <w:tcW w:w="2551" w:type="dxa"/>
            <w:vAlign w:val="center"/>
          </w:tcPr>
          <w:p>
            <w:pPr>
              <w:pStyle w:val="14"/>
            </w:pPr>
            <w:r>
              <w:t>≤100百分比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长期性</w:t>
            </w:r>
          </w:p>
        </w:tc>
        <w:tc>
          <w:tcPr>
            <w:tcW w:w="2835" w:type="dxa"/>
            <w:vAlign w:val="center"/>
          </w:tcPr>
          <w:p>
            <w:pPr>
              <w:pStyle w:val="14"/>
            </w:pPr>
            <w:r>
              <w:t>长期性</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提供服务次数</w:t>
            </w:r>
          </w:p>
        </w:tc>
        <w:tc>
          <w:tcPr>
            <w:tcW w:w="2835" w:type="dxa"/>
            <w:vAlign w:val="center"/>
          </w:tcPr>
          <w:p>
            <w:pPr>
              <w:pStyle w:val="14"/>
            </w:pPr>
            <w:r>
              <w:t>提供服务次数</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≥90百分比</w:t>
            </w:r>
          </w:p>
        </w:tc>
        <w:tc>
          <w:tcPr>
            <w:tcW w:w="2268" w:type="dxa"/>
            <w:vAlign w:val="center"/>
          </w:tcPr>
          <w:p>
            <w:pPr>
              <w:pStyle w:val="14"/>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≥90百分比</w:t>
            </w:r>
          </w:p>
        </w:tc>
        <w:tc>
          <w:tcPr>
            <w:tcW w:w="2268" w:type="dxa"/>
            <w:vAlign w:val="center"/>
          </w:tcPr>
          <w:p>
            <w:pPr>
              <w:pStyle w:val="14"/>
            </w:pPr>
            <w:r>
              <w:t>业务办结完成质量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4、工作人员政府绩效考核绩效目标表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考核通过率</w:t>
            </w:r>
          </w:p>
        </w:tc>
        <w:tc>
          <w:tcPr>
            <w:tcW w:w="2835" w:type="dxa"/>
            <w:vAlign w:val="center"/>
          </w:tcPr>
          <w:p>
            <w:pPr>
              <w:pStyle w:val="14"/>
            </w:pPr>
            <w:r>
              <w:t>考核通过率</w:t>
            </w:r>
          </w:p>
        </w:tc>
        <w:tc>
          <w:tcPr>
            <w:tcW w:w="2551" w:type="dxa"/>
            <w:vAlign w:val="center"/>
          </w:tcPr>
          <w:p>
            <w:pPr>
              <w:pStyle w:val="14"/>
            </w:pPr>
            <w:r>
              <w:t>≥90百分比</w:t>
            </w:r>
          </w:p>
        </w:tc>
        <w:tc>
          <w:tcPr>
            <w:tcW w:w="2268" w:type="dxa"/>
            <w:vAlign w:val="center"/>
          </w:tcPr>
          <w:p>
            <w:pPr>
              <w:pStyle w:val="14"/>
            </w:pPr>
            <w:r>
              <w:t>考核通过率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考核出勤率</w:t>
            </w:r>
          </w:p>
        </w:tc>
        <w:tc>
          <w:tcPr>
            <w:tcW w:w="2835" w:type="dxa"/>
            <w:vAlign w:val="center"/>
          </w:tcPr>
          <w:p>
            <w:pPr>
              <w:pStyle w:val="14"/>
            </w:pPr>
            <w:r>
              <w:t>考核出勤率</w:t>
            </w:r>
          </w:p>
        </w:tc>
        <w:tc>
          <w:tcPr>
            <w:tcW w:w="2551" w:type="dxa"/>
            <w:vAlign w:val="center"/>
          </w:tcPr>
          <w:p>
            <w:pPr>
              <w:pStyle w:val="14"/>
            </w:pPr>
            <w:r>
              <w:t>≥95百分比</w:t>
            </w:r>
          </w:p>
        </w:tc>
        <w:tc>
          <w:tcPr>
            <w:tcW w:w="2268" w:type="dxa"/>
            <w:vAlign w:val="center"/>
          </w:tcPr>
          <w:p>
            <w:pPr>
              <w:pStyle w:val="14"/>
            </w:pPr>
            <w:r>
              <w:t>考核出勤率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随机考核工作完成时限</w:t>
            </w:r>
          </w:p>
        </w:tc>
        <w:tc>
          <w:tcPr>
            <w:tcW w:w="2835" w:type="dxa"/>
            <w:vAlign w:val="center"/>
          </w:tcPr>
          <w:p>
            <w:pPr>
              <w:pStyle w:val="14"/>
            </w:pPr>
            <w:r>
              <w:t>随机考核工作完成时限</w:t>
            </w:r>
          </w:p>
        </w:tc>
        <w:tc>
          <w:tcPr>
            <w:tcW w:w="2551" w:type="dxa"/>
            <w:vAlign w:val="center"/>
          </w:tcPr>
          <w:p>
            <w:pPr>
              <w:pStyle w:val="14"/>
            </w:pPr>
            <w:r>
              <w:t>≤99百分比</w:t>
            </w:r>
          </w:p>
        </w:tc>
        <w:tc>
          <w:tcPr>
            <w:tcW w:w="2268" w:type="dxa"/>
            <w:vAlign w:val="center"/>
          </w:tcPr>
          <w:p>
            <w:pPr>
              <w:pStyle w:val="14"/>
            </w:pPr>
            <w:r>
              <w:t>随机考核工作完成时限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≤100百分比</w:t>
            </w:r>
          </w:p>
        </w:tc>
        <w:tc>
          <w:tcPr>
            <w:tcW w:w="2268" w:type="dxa"/>
            <w:vAlign w:val="center"/>
          </w:tcPr>
          <w:p>
            <w:pPr>
              <w:pStyle w:val="14"/>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提供优质服务</w:t>
            </w:r>
          </w:p>
        </w:tc>
        <w:tc>
          <w:tcPr>
            <w:tcW w:w="2835" w:type="dxa"/>
            <w:vAlign w:val="center"/>
          </w:tcPr>
          <w:p>
            <w:pPr>
              <w:pStyle w:val="14"/>
            </w:pPr>
            <w:r>
              <w:t>提供优质服务</w:t>
            </w:r>
          </w:p>
        </w:tc>
        <w:tc>
          <w:tcPr>
            <w:tcW w:w="2551" w:type="dxa"/>
            <w:vAlign w:val="center"/>
          </w:tcPr>
          <w:p>
            <w:pPr>
              <w:pStyle w:val="14"/>
            </w:pPr>
            <w:r>
              <w:t>≥90百分比</w:t>
            </w:r>
          </w:p>
        </w:tc>
        <w:tc>
          <w:tcPr>
            <w:tcW w:w="2268" w:type="dxa"/>
            <w:vAlign w:val="center"/>
          </w:tcPr>
          <w:p>
            <w:pPr>
              <w:pStyle w:val="14"/>
            </w:pPr>
            <w:r>
              <w:t>提供优质服务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≥80百分比</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业务办理率</w:t>
            </w:r>
          </w:p>
        </w:tc>
        <w:tc>
          <w:tcPr>
            <w:tcW w:w="2835" w:type="dxa"/>
            <w:vAlign w:val="center"/>
          </w:tcPr>
          <w:p>
            <w:pPr>
              <w:pStyle w:val="14"/>
            </w:pPr>
            <w:r>
              <w:t>业务办理率</w:t>
            </w:r>
          </w:p>
        </w:tc>
        <w:tc>
          <w:tcPr>
            <w:tcW w:w="2551" w:type="dxa"/>
            <w:vAlign w:val="center"/>
          </w:tcPr>
          <w:p>
            <w:pPr>
              <w:pStyle w:val="14"/>
            </w:pPr>
            <w:r>
              <w:t>≥90百分比</w:t>
            </w:r>
          </w:p>
        </w:tc>
        <w:tc>
          <w:tcPr>
            <w:tcW w:w="2268" w:type="dxa"/>
            <w:vAlign w:val="center"/>
          </w:tcPr>
          <w:p>
            <w:pPr>
              <w:pStyle w:val="14"/>
            </w:pPr>
            <w:r>
              <w:t>业务办理率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5、工作人员制式着装绩效目标表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1.外强形象、内提素质，提高群众满意度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提升服务形象</w:t>
            </w:r>
          </w:p>
        </w:tc>
        <w:tc>
          <w:tcPr>
            <w:tcW w:w="2835" w:type="dxa"/>
            <w:vAlign w:val="center"/>
          </w:tcPr>
          <w:p>
            <w:pPr>
              <w:pStyle w:val="14"/>
            </w:pPr>
            <w:r>
              <w:t>提升服务形象</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统一着装，整齐划一</w:t>
            </w:r>
          </w:p>
        </w:tc>
        <w:tc>
          <w:tcPr>
            <w:tcW w:w="2835" w:type="dxa"/>
            <w:vAlign w:val="center"/>
          </w:tcPr>
          <w:p>
            <w:pPr>
              <w:pStyle w:val="14"/>
            </w:pPr>
            <w:r>
              <w:t>统一着装，整齐划一</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外强形象、内提素质</w:t>
            </w:r>
          </w:p>
        </w:tc>
        <w:tc>
          <w:tcPr>
            <w:tcW w:w="2835" w:type="dxa"/>
            <w:vAlign w:val="center"/>
          </w:tcPr>
          <w:p>
            <w:pPr>
              <w:pStyle w:val="14"/>
            </w:pPr>
            <w:r>
              <w:t>外强形象、内提素质</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≤100百分比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社会效应</w:t>
            </w:r>
          </w:p>
        </w:tc>
        <w:tc>
          <w:tcPr>
            <w:tcW w:w="2835" w:type="dxa"/>
            <w:vAlign w:val="center"/>
          </w:tcPr>
          <w:p>
            <w:pPr>
              <w:pStyle w:val="14"/>
            </w:pPr>
            <w:r>
              <w:t>社会效应</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提供服务次数</w:t>
            </w:r>
          </w:p>
        </w:tc>
        <w:tc>
          <w:tcPr>
            <w:tcW w:w="2835" w:type="dxa"/>
            <w:vAlign w:val="center"/>
          </w:tcPr>
          <w:p>
            <w:pPr>
              <w:pStyle w:val="14"/>
            </w:pPr>
            <w:r>
              <w:t>提供服务次数</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大气环境质量改善</w:t>
            </w:r>
          </w:p>
        </w:tc>
        <w:tc>
          <w:tcPr>
            <w:tcW w:w="2835" w:type="dxa"/>
            <w:vAlign w:val="center"/>
          </w:tcPr>
          <w:p>
            <w:pPr>
              <w:pStyle w:val="14"/>
            </w:pPr>
            <w:r>
              <w:t>大气环境质量改善</w:t>
            </w:r>
          </w:p>
        </w:tc>
        <w:tc>
          <w:tcPr>
            <w:tcW w:w="2551" w:type="dxa"/>
            <w:vAlign w:val="center"/>
          </w:tcPr>
          <w:p>
            <w:pPr>
              <w:pStyle w:val="14"/>
            </w:pPr>
            <w:r>
              <w:t>≥90百分比</w:t>
            </w:r>
          </w:p>
        </w:tc>
        <w:tc>
          <w:tcPr>
            <w:tcW w:w="2268" w:type="dxa"/>
            <w:vAlign w:val="center"/>
          </w:tcPr>
          <w:p>
            <w:pPr>
              <w:pStyle w:val="14"/>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≥90百分比</w:t>
            </w:r>
          </w:p>
        </w:tc>
        <w:tc>
          <w:tcPr>
            <w:tcW w:w="2268" w:type="dxa"/>
            <w:vAlign w:val="center"/>
          </w:tcPr>
          <w:p>
            <w:pPr>
              <w:pStyle w:val="14"/>
            </w:pPr>
            <w:r>
              <w:t>统一着装，整齐划一</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6、宁晋县特色产业信用园区建设绩效目标表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1.达到</w:t>
            </w:r>
            <w:r>
              <w:rPr>
                <w:rFonts w:hint="eastAsia"/>
                <w:lang w:eastAsia="zh-CN"/>
              </w:rPr>
              <w:t>县</w:t>
            </w:r>
            <w:r>
              <w:t>市要求，保障工作有序开展。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pPr>
            <w:r>
              <w:t>完成项目数量</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群众活动参与率</w:t>
            </w:r>
          </w:p>
        </w:tc>
        <w:tc>
          <w:tcPr>
            <w:tcW w:w="2835" w:type="dxa"/>
            <w:vAlign w:val="center"/>
          </w:tcPr>
          <w:p>
            <w:pPr>
              <w:pStyle w:val="14"/>
            </w:pPr>
            <w:r>
              <w:t>群众活动参与率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报送网络时间</w:t>
            </w:r>
          </w:p>
        </w:tc>
        <w:tc>
          <w:tcPr>
            <w:tcW w:w="2835" w:type="dxa"/>
            <w:vAlign w:val="center"/>
          </w:tcPr>
          <w:p>
            <w:pPr>
              <w:pStyle w:val="14"/>
            </w:pPr>
            <w:r>
              <w:t>报送网络时间</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可持续影响指标</w:t>
            </w:r>
          </w:p>
        </w:tc>
        <w:tc>
          <w:tcPr>
            <w:tcW w:w="2551" w:type="dxa"/>
            <w:vAlign w:val="center"/>
          </w:tcPr>
          <w:p>
            <w:pPr>
              <w:pStyle w:val="14"/>
            </w:pPr>
            <w:r>
              <w:t>≥90百分比</w:t>
            </w:r>
          </w:p>
        </w:tc>
        <w:tc>
          <w:tcPr>
            <w:tcW w:w="2268" w:type="dxa"/>
            <w:vAlign w:val="center"/>
          </w:tcPr>
          <w:p>
            <w:pPr>
              <w:pStyle w:val="14"/>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服务对象满意度指标</w:t>
            </w:r>
          </w:p>
        </w:tc>
        <w:tc>
          <w:tcPr>
            <w:tcW w:w="2551" w:type="dxa"/>
            <w:vAlign w:val="center"/>
          </w:tcPr>
          <w:p>
            <w:pPr>
              <w:pStyle w:val="14"/>
            </w:pPr>
            <w:r>
              <w:t>≥90百分比</w:t>
            </w:r>
          </w:p>
        </w:tc>
        <w:tc>
          <w:tcPr>
            <w:tcW w:w="2268" w:type="dxa"/>
            <w:vAlign w:val="center"/>
          </w:tcPr>
          <w:p>
            <w:pPr>
              <w:pStyle w:val="14"/>
            </w:pPr>
            <w:r>
              <w:t>保障工作开展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7、网络租赁、维护绩效目标表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1.保障网络安全、保证业务开展</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≥90百分比</w:t>
            </w:r>
          </w:p>
        </w:tc>
        <w:tc>
          <w:tcPr>
            <w:tcW w:w="2268" w:type="dxa"/>
            <w:vAlign w:val="center"/>
          </w:tcPr>
          <w:p>
            <w:pPr>
              <w:pStyle w:val="14"/>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≥90百分比</w:t>
            </w:r>
          </w:p>
        </w:tc>
        <w:tc>
          <w:tcPr>
            <w:tcW w:w="2268" w:type="dxa"/>
            <w:vAlign w:val="center"/>
          </w:tcPr>
          <w:p>
            <w:pPr>
              <w:pStyle w:val="14"/>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按期完成率</w:t>
            </w:r>
          </w:p>
        </w:tc>
        <w:tc>
          <w:tcPr>
            <w:tcW w:w="2551" w:type="dxa"/>
            <w:vAlign w:val="center"/>
          </w:tcPr>
          <w:p>
            <w:pPr>
              <w:pStyle w:val="14"/>
            </w:pPr>
            <w:r>
              <w:t>≥90百分比</w:t>
            </w:r>
          </w:p>
        </w:tc>
        <w:tc>
          <w:tcPr>
            <w:tcW w:w="2268" w:type="dxa"/>
            <w:vAlign w:val="center"/>
          </w:tcPr>
          <w:p>
            <w:pPr>
              <w:pStyle w:val="14"/>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w:t>
            </w:r>
          </w:p>
        </w:tc>
        <w:tc>
          <w:tcPr>
            <w:tcW w:w="2835" w:type="dxa"/>
            <w:vAlign w:val="center"/>
          </w:tcPr>
          <w:p>
            <w:pPr>
              <w:pStyle w:val="14"/>
            </w:pPr>
            <w:r>
              <w:t>预算总成本</w:t>
            </w:r>
          </w:p>
        </w:tc>
        <w:tc>
          <w:tcPr>
            <w:tcW w:w="2551" w:type="dxa"/>
            <w:vAlign w:val="center"/>
          </w:tcPr>
          <w:p>
            <w:pPr>
              <w:pStyle w:val="14"/>
            </w:pPr>
            <w:r>
              <w:t>≤100百分比</w:t>
            </w:r>
          </w:p>
        </w:tc>
        <w:tc>
          <w:tcPr>
            <w:tcW w:w="2268" w:type="dxa"/>
            <w:vAlign w:val="center"/>
          </w:tcPr>
          <w:p>
            <w:pPr>
              <w:pStyle w:val="14"/>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≥90百分比</w:t>
            </w:r>
          </w:p>
        </w:tc>
        <w:tc>
          <w:tcPr>
            <w:tcW w:w="2268" w:type="dxa"/>
            <w:vAlign w:val="center"/>
          </w:tcPr>
          <w:p>
            <w:pPr>
              <w:pStyle w:val="14"/>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≥90百分比</w:t>
            </w:r>
          </w:p>
        </w:tc>
        <w:tc>
          <w:tcPr>
            <w:tcW w:w="2268" w:type="dxa"/>
            <w:vAlign w:val="center"/>
          </w:tcPr>
          <w:p>
            <w:pPr>
              <w:pStyle w:val="14"/>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成果应用效果</w:t>
            </w:r>
          </w:p>
        </w:tc>
        <w:tc>
          <w:tcPr>
            <w:tcW w:w="2835" w:type="dxa"/>
            <w:vAlign w:val="center"/>
          </w:tcPr>
          <w:p>
            <w:pPr>
              <w:pStyle w:val="14"/>
            </w:pPr>
            <w:r>
              <w:t>成果应用效果</w:t>
            </w:r>
          </w:p>
        </w:tc>
        <w:tc>
          <w:tcPr>
            <w:tcW w:w="2551" w:type="dxa"/>
            <w:vAlign w:val="center"/>
          </w:tcPr>
          <w:p>
            <w:pPr>
              <w:pStyle w:val="14"/>
            </w:pPr>
            <w:r>
              <w:t>≥90百分比</w:t>
            </w:r>
          </w:p>
        </w:tc>
        <w:tc>
          <w:tcPr>
            <w:tcW w:w="2268" w:type="dxa"/>
            <w:vAlign w:val="center"/>
          </w:tcPr>
          <w:p>
            <w:pPr>
              <w:pStyle w:val="14"/>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群众满意率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8、项目投资评审评估费用绩效目标表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1.保障评审结果的质量，保障业务办理。</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资金投入放大倍数</w:t>
            </w:r>
          </w:p>
        </w:tc>
        <w:tc>
          <w:tcPr>
            <w:tcW w:w="2835" w:type="dxa"/>
            <w:vAlign w:val="center"/>
          </w:tcPr>
          <w:p>
            <w:pPr>
              <w:pStyle w:val="14"/>
            </w:pPr>
            <w:r>
              <w:t>资金投入放大倍数</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政策建议采纳率</w:t>
            </w:r>
          </w:p>
        </w:tc>
        <w:tc>
          <w:tcPr>
            <w:tcW w:w="2835" w:type="dxa"/>
            <w:vAlign w:val="center"/>
          </w:tcPr>
          <w:p>
            <w:pPr>
              <w:pStyle w:val="14"/>
            </w:pPr>
            <w:r>
              <w:t>政策建议采纳率</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≥90百分比</w:t>
            </w:r>
          </w:p>
        </w:tc>
        <w:tc>
          <w:tcPr>
            <w:tcW w:w="2268" w:type="dxa"/>
            <w:vAlign w:val="center"/>
          </w:tcPr>
          <w:p>
            <w:pPr>
              <w:pStyle w:val="14"/>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≥90百分比</w:t>
            </w:r>
          </w:p>
        </w:tc>
        <w:tc>
          <w:tcPr>
            <w:tcW w:w="2268" w:type="dxa"/>
            <w:vAlign w:val="center"/>
          </w:tcPr>
          <w:p>
            <w:pPr>
              <w:pStyle w:val="14"/>
            </w:pPr>
            <w:r>
              <w:t>保障业务办理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9、协同联动办公平台绩效目标表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1.保证网络安全运行，保障日常办公</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年度信息系统数量</w:t>
            </w:r>
          </w:p>
        </w:tc>
        <w:tc>
          <w:tcPr>
            <w:tcW w:w="2835" w:type="dxa"/>
            <w:vAlign w:val="center"/>
          </w:tcPr>
          <w:p>
            <w:pPr>
              <w:pStyle w:val="14"/>
            </w:pPr>
            <w:r>
              <w:t>年度信息系统数量</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信息系统故障发生率</w:t>
            </w:r>
          </w:p>
        </w:tc>
        <w:tc>
          <w:tcPr>
            <w:tcW w:w="2835" w:type="dxa"/>
            <w:vAlign w:val="center"/>
          </w:tcPr>
          <w:p>
            <w:pPr>
              <w:pStyle w:val="14"/>
            </w:pPr>
            <w:r>
              <w:t>信息系统故障发生率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按总成本控制</w:t>
            </w:r>
          </w:p>
        </w:tc>
        <w:tc>
          <w:tcPr>
            <w:tcW w:w="2835" w:type="dxa"/>
            <w:vAlign w:val="center"/>
          </w:tcPr>
          <w:p>
            <w:pPr>
              <w:pStyle w:val="14"/>
            </w:pPr>
            <w:r>
              <w:t>按总成本控制</w:t>
            </w:r>
          </w:p>
        </w:tc>
        <w:tc>
          <w:tcPr>
            <w:tcW w:w="2551" w:type="dxa"/>
            <w:vAlign w:val="center"/>
          </w:tcPr>
          <w:p>
            <w:pPr>
              <w:pStyle w:val="14"/>
            </w:pPr>
            <w:r>
              <w:t>≤100百分比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10、协同联动办公平台扩容绩效目标表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1.提供足够平台数量，保障日常办公</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按期完成率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w:t>
            </w:r>
          </w:p>
        </w:tc>
        <w:tc>
          <w:tcPr>
            <w:tcW w:w="2835" w:type="dxa"/>
            <w:vAlign w:val="center"/>
          </w:tcPr>
          <w:p>
            <w:pPr>
              <w:pStyle w:val="14"/>
            </w:pPr>
            <w:r>
              <w:t>预算总成本</w:t>
            </w:r>
          </w:p>
        </w:tc>
        <w:tc>
          <w:tcPr>
            <w:tcW w:w="2551" w:type="dxa"/>
            <w:vAlign w:val="center"/>
          </w:tcPr>
          <w:p>
            <w:pPr>
              <w:pStyle w:val="14"/>
            </w:pPr>
            <w:r>
              <w:t>≤100百分比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成果应用效果</w:t>
            </w:r>
          </w:p>
        </w:tc>
        <w:tc>
          <w:tcPr>
            <w:tcW w:w="2835" w:type="dxa"/>
            <w:vAlign w:val="center"/>
          </w:tcPr>
          <w:p>
            <w:pPr>
              <w:pStyle w:val="14"/>
            </w:pPr>
            <w:r>
              <w:t>成果应用效果</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11、信息共享平台运维费绩效目标表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1.保障网络安全运行，保障业务开展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≥90百分比</w:t>
            </w:r>
          </w:p>
        </w:tc>
        <w:tc>
          <w:tcPr>
            <w:tcW w:w="2268" w:type="dxa"/>
            <w:vAlign w:val="center"/>
          </w:tcPr>
          <w:p>
            <w:pPr>
              <w:pStyle w:val="14"/>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≥90百分比</w:t>
            </w:r>
          </w:p>
        </w:tc>
        <w:tc>
          <w:tcPr>
            <w:tcW w:w="2268" w:type="dxa"/>
            <w:vAlign w:val="center"/>
          </w:tcPr>
          <w:p>
            <w:pPr>
              <w:pStyle w:val="14"/>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按期完成率</w:t>
            </w:r>
          </w:p>
        </w:tc>
        <w:tc>
          <w:tcPr>
            <w:tcW w:w="2551" w:type="dxa"/>
            <w:vAlign w:val="center"/>
          </w:tcPr>
          <w:p>
            <w:pPr>
              <w:pStyle w:val="14"/>
            </w:pPr>
            <w:r>
              <w:t>≥90百分比</w:t>
            </w:r>
          </w:p>
        </w:tc>
        <w:tc>
          <w:tcPr>
            <w:tcW w:w="2268" w:type="dxa"/>
            <w:vAlign w:val="center"/>
          </w:tcPr>
          <w:p>
            <w:pPr>
              <w:pStyle w:val="14"/>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w:t>
            </w:r>
          </w:p>
        </w:tc>
        <w:tc>
          <w:tcPr>
            <w:tcW w:w="2835" w:type="dxa"/>
            <w:vAlign w:val="center"/>
          </w:tcPr>
          <w:p>
            <w:pPr>
              <w:pStyle w:val="14"/>
            </w:pPr>
            <w:r>
              <w:t>预算总成本</w:t>
            </w:r>
          </w:p>
        </w:tc>
        <w:tc>
          <w:tcPr>
            <w:tcW w:w="2551" w:type="dxa"/>
            <w:vAlign w:val="center"/>
          </w:tcPr>
          <w:p>
            <w:pPr>
              <w:pStyle w:val="14"/>
            </w:pPr>
            <w:r>
              <w:t>≤100百分比</w:t>
            </w:r>
          </w:p>
        </w:tc>
        <w:tc>
          <w:tcPr>
            <w:tcW w:w="2268" w:type="dxa"/>
            <w:vAlign w:val="center"/>
          </w:tcPr>
          <w:p>
            <w:pPr>
              <w:pStyle w:val="14"/>
            </w:pPr>
            <w:r>
              <w:t>预算总成本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≥90百分比</w:t>
            </w:r>
          </w:p>
        </w:tc>
        <w:tc>
          <w:tcPr>
            <w:tcW w:w="2268" w:type="dxa"/>
            <w:vAlign w:val="center"/>
          </w:tcPr>
          <w:p>
            <w:pPr>
              <w:pStyle w:val="14"/>
            </w:pPr>
            <w: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成果应用效果</w:t>
            </w:r>
          </w:p>
        </w:tc>
        <w:tc>
          <w:tcPr>
            <w:tcW w:w="2835" w:type="dxa"/>
            <w:vAlign w:val="center"/>
          </w:tcPr>
          <w:p>
            <w:pPr>
              <w:pStyle w:val="14"/>
            </w:pPr>
            <w:r>
              <w:t>成果应用效果</w:t>
            </w:r>
          </w:p>
        </w:tc>
        <w:tc>
          <w:tcPr>
            <w:tcW w:w="2551" w:type="dxa"/>
            <w:vAlign w:val="center"/>
          </w:tcPr>
          <w:p>
            <w:pPr>
              <w:pStyle w:val="14"/>
            </w:pPr>
            <w:r>
              <w:t>≥90百分比</w:t>
            </w:r>
          </w:p>
        </w:tc>
        <w:tc>
          <w:tcPr>
            <w:tcW w:w="2268" w:type="dxa"/>
            <w:vAlign w:val="center"/>
          </w:tcPr>
          <w:p>
            <w:pPr>
              <w:pStyle w:val="14"/>
            </w:pPr>
            <w:r>
              <w:t>成果应用效果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12、行政审批工作经费绩效目标表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1.保障日常办公，按时办结业务。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业务处理及时性(％)</w:t>
            </w:r>
          </w:p>
        </w:tc>
        <w:tc>
          <w:tcPr>
            <w:tcW w:w="2835" w:type="dxa"/>
            <w:vAlign w:val="center"/>
          </w:tcPr>
          <w:p>
            <w:pPr>
              <w:pStyle w:val="14"/>
            </w:pPr>
            <w:r>
              <w:t>业务处理及时性(％)</w:t>
            </w:r>
          </w:p>
        </w:tc>
        <w:tc>
          <w:tcPr>
            <w:tcW w:w="2551" w:type="dxa"/>
            <w:vAlign w:val="center"/>
          </w:tcPr>
          <w:p>
            <w:pPr>
              <w:pStyle w:val="14"/>
            </w:pPr>
            <w:r>
              <w:t>≥95百分比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及时处理业务数占总处理数的比率</w:t>
            </w:r>
          </w:p>
        </w:tc>
        <w:tc>
          <w:tcPr>
            <w:tcW w:w="2835" w:type="dxa"/>
            <w:vAlign w:val="center"/>
          </w:tcPr>
          <w:p>
            <w:pPr>
              <w:pStyle w:val="14"/>
            </w:pPr>
            <w:r>
              <w:t>及时处理业务数占总处理数的比率</w:t>
            </w:r>
          </w:p>
        </w:tc>
        <w:tc>
          <w:tcPr>
            <w:tcW w:w="2551" w:type="dxa"/>
            <w:vAlign w:val="center"/>
          </w:tcPr>
          <w:p>
            <w:pPr>
              <w:pStyle w:val="14"/>
            </w:pPr>
            <w:r>
              <w:t>≥95百分比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提高办事效率</w:t>
            </w:r>
          </w:p>
        </w:tc>
        <w:tc>
          <w:tcPr>
            <w:tcW w:w="2835" w:type="dxa"/>
            <w:vAlign w:val="center"/>
          </w:tcPr>
          <w:p>
            <w:pPr>
              <w:pStyle w:val="14"/>
            </w:pPr>
            <w:r>
              <w:t>提高办事效率</w:t>
            </w:r>
          </w:p>
        </w:tc>
        <w:tc>
          <w:tcPr>
            <w:tcW w:w="2551" w:type="dxa"/>
            <w:vAlign w:val="center"/>
          </w:tcPr>
          <w:p>
            <w:pPr>
              <w:pStyle w:val="14"/>
            </w:pPr>
            <w:r>
              <w:t>≥90百分比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≥85百分比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≥85百分比</w:t>
            </w:r>
          </w:p>
        </w:tc>
        <w:tc>
          <w:tcPr>
            <w:tcW w:w="2268" w:type="dxa"/>
            <w:vAlign w:val="center"/>
          </w:tcPr>
          <w:p>
            <w:pPr>
              <w:pStyle w:val="14"/>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≥100百分比</w:t>
            </w:r>
          </w:p>
        </w:tc>
        <w:tc>
          <w:tcPr>
            <w:tcW w:w="2268" w:type="dxa"/>
            <w:vAlign w:val="center"/>
          </w:tcPr>
          <w:p>
            <w:pPr>
              <w:pStyle w:val="14"/>
            </w:pPr>
            <w:r>
              <w:t>业务按时办结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13、政府数字化转型（智慧城市）工作经费绩效目标表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1.我局牵头我县智慧城市的规划、论证、评审，2023年需办公费用5万元。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pPr>
            <w:r>
              <w:t>完成项目数量</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群众活动参与率</w:t>
            </w:r>
          </w:p>
        </w:tc>
        <w:tc>
          <w:tcPr>
            <w:tcW w:w="2835" w:type="dxa"/>
            <w:vAlign w:val="center"/>
          </w:tcPr>
          <w:p>
            <w:pPr>
              <w:pStyle w:val="14"/>
            </w:pPr>
            <w:r>
              <w:t>群众活动参与率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报送网络时间</w:t>
            </w:r>
          </w:p>
        </w:tc>
        <w:tc>
          <w:tcPr>
            <w:tcW w:w="2835" w:type="dxa"/>
            <w:vAlign w:val="center"/>
          </w:tcPr>
          <w:p>
            <w:pPr>
              <w:pStyle w:val="14"/>
            </w:pPr>
            <w:r>
              <w:t>报送网络时间</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可持续影响指标</w:t>
            </w:r>
          </w:p>
        </w:tc>
        <w:tc>
          <w:tcPr>
            <w:tcW w:w="2551" w:type="dxa"/>
            <w:vAlign w:val="center"/>
          </w:tcPr>
          <w:p>
            <w:pPr>
              <w:pStyle w:val="14"/>
            </w:pPr>
            <w:r>
              <w:t>≥90百分比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服务对象满意度指标</w:t>
            </w:r>
          </w:p>
        </w:tc>
        <w:tc>
          <w:tcPr>
            <w:tcW w:w="2551" w:type="dxa"/>
            <w:vAlign w:val="center"/>
          </w:tcPr>
          <w:p>
            <w:pPr>
              <w:pStyle w:val="14"/>
            </w:pPr>
            <w:r>
              <w:t>≥90百分比</w:t>
            </w:r>
          </w:p>
        </w:tc>
        <w:tc>
          <w:tcPr>
            <w:tcW w:w="2268" w:type="dxa"/>
            <w:vAlign w:val="center"/>
          </w:tcPr>
          <w:p>
            <w:pPr>
              <w:pStyle w:val="14"/>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14、专家论证评审、营业执照证本费绩效目标表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1.保障业务按时办结，提升群众满意度。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资金投入放大倍数</w:t>
            </w:r>
          </w:p>
        </w:tc>
        <w:tc>
          <w:tcPr>
            <w:tcW w:w="2835" w:type="dxa"/>
            <w:vAlign w:val="center"/>
          </w:tcPr>
          <w:p>
            <w:pPr>
              <w:pStyle w:val="14"/>
            </w:pPr>
            <w:r>
              <w:t>资金投入放大倍数</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政策建议采纳率</w:t>
            </w:r>
          </w:p>
        </w:tc>
        <w:tc>
          <w:tcPr>
            <w:tcW w:w="2835" w:type="dxa"/>
            <w:vAlign w:val="center"/>
          </w:tcPr>
          <w:p>
            <w:pPr>
              <w:pStyle w:val="14"/>
            </w:pPr>
            <w:r>
              <w:t>政策建议采纳率</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≥90百分比</w:t>
            </w:r>
          </w:p>
        </w:tc>
        <w:tc>
          <w:tcPr>
            <w:tcW w:w="2268" w:type="dxa"/>
            <w:vAlign w:val="center"/>
          </w:tcPr>
          <w:p>
            <w:pPr>
              <w:pStyle w:val="14"/>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≥90百分比</w:t>
            </w:r>
          </w:p>
        </w:tc>
        <w:tc>
          <w:tcPr>
            <w:tcW w:w="2268" w:type="dxa"/>
            <w:vAlign w:val="center"/>
          </w:tcPr>
          <w:p>
            <w:pPr>
              <w:pStyle w:val="14"/>
            </w:pPr>
            <w:r>
              <w:t>保障业务办结</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2023年，宁晋县行政审批局本级安排政府采购预算35.00万元。具体内容见下表。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436001宁晋县行政审批局本级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35.00</w:t>
            </w:r>
          </w:p>
        </w:tc>
        <w:tc>
          <w:tcPr>
            <w:tcW w:w="964" w:type="dxa"/>
            <w:vAlign w:val="center"/>
          </w:tcPr>
          <w:p>
            <w:pPr>
              <w:pStyle w:val="17"/>
            </w:pPr>
            <w:r>
              <w:t>35.00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宁晋县行政审批局本级小计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35.00</w:t>
            </w:r>
          </w:p>
        </w:tc>
        <w:tc>
          <w:tcPr>
            <w:tcW w:w="964" w:type="dxa"/>
            <w:vAlign w:val="center"/>
          </w:tcPr>
          <w:p>
            <w:pPr>
              <w:pStyle w:val="17"/>
            </w:pPr>
            <w:r>
              <w:t>35.00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工作人员制式着装</w:t>
            </w:r>
          </w:p>
        </w:tc>
        <w:tc>
          <w:tcPr>
            <w:tcW w:w="964" w:type="dxa"/>
            <w:vAlign w:val="center"/>
          </w:tcPr>
          <w:p>
            <w:pPr>
              <w:pStyle w:val="13"/>
            </w:pPr>
            <w:r>
              <w:t>35.00</w:t>
            </w:r>
          </w:p>
        </w:tc>
        <w:tc>
          <w:tcPr>
            <w:tcW w:w="1134" w:type="dxa"/>
            <w:vAlign w:val="center"/>
          </w:tcPr>
          <w:p>
            <w:pPr>
              <w:pStyle w:val="14"/>
            </w:pPr>
            <w:r>
              <w:t>制服</w:t>
            </w:r>
          </w:p>
        </w:tc>
        <w:tc>
          <w:tcPr>
            <w:tcW w:w="1134" w:type="dxa"/>
            <w:vAlign w:val="center"/>
          </w:tcPr>
          <w:p>
            <w:pPr>
              <w:pStyle w:val="14"/>
            </w:pPr>
            <w:r>
              <w:t>A05030301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35.00</w:t>
            </w:r>
          </w:p>
        </w:tc>
        <w:tc>
          <w:tcPr>
            <w:tcW w:w="964" w:type="dxa"/>
            <w:vAlign w:val="center"/>
          </w:tcPr>
          <w:p>
            <w:pPr>
              <w:pStyle w:val="13"/>
            </w:pPr>
            <w:r>
              <w:t>35.00</w:t>
            </w:r>
          </w:p>
        </w:tc>
        <w:tc>
          <w:tcPr>
            <w:tcW w:w="964" w:type="dxa"/>
            <w:vAlign w:val="center"/>
          </w:tcPr>
          <w:p>
            <w:pPr>
              <w:pStyle w:val="13"/>
            </w:pPr>
            <w:r>
              <w:t>35.00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宁晋县行政审批局本级上年末固定资产金额为0.00万元（详见下表）。本年度拟购置固定资产总额为0.00万元，已按要求列入政府采购预算，详见政府采购预算表。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436001宁晋县行政审批局本级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rPr>
          <w:rFonts w:ascii="黑体" w:hAnsi="黑体" w:eastAsia="黑体" w:cs="黑体"/>
          <w:color w:val="000000"/>
          <w:sz w:val="32"/>
        </w:rPr>
      </w:pPr>
      <w:r>
        <w:rPr>
          <w:rFonts w:ascii="黑体" w:hAnsi="黑体" w:eastAsia="黑体" w:cs="黑体"/>
          <w:color w:val="000000"/>
          <w:sz w:val="32"/>
        </w:rPr>
        <w:br w:type="page"/>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1900" w:h="16840"/>
      <w:pgMar w:top="1020" w:right="1134" w:bottom="1020" w:left="1361"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3297"/>
    <w:rsid w:val="00366AC6"/>
    <w:rsid w:val="00493297"/>
    <w:rsid w:val="004D7032"/>
    <w:rsid w:val="2BCA5323"/>
    <w:rsid w:val="34170867"/>
    <w:rsid w:val="3564030B"/>
    <w:rsid w:val="36234402"/>
    <w:rsid w:val="37280749"/>
    <w:rsid w:val="3B4403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footer"/>
    <w:basedOn w:val="1"/>
    <w:link w:val="36"/>
    <w:semiHidden/>
    <w:unhideWhenUsed/>
    <w:qFormat/>
    <w:uiPriority w:val="99"/>
    <w:pPr>
      <w:tabs>
        <w:tab w:val="center" w:pos="4153"/>
        <w:tab w:val="right" w:pos="8306"/>
      </w:tabs>
      <w:snapToGrid w:val="0"/>
    </w:pPr>
    <w:rPr>
      <w:sz w:val="18"/>
      <w:szCs w:val="18"/>
    </w:rPr>
  </w:style>
  <w:style w:type="paragraph" w:styleId="4">
    <w:name w:val="header"/>
    <w:basedOn w:val="1"/>
    <w:link w:val="3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Body Text First Indent 2"/>
    <w:basedOn w:val="2"/>
    <w:qFormat/>
    <w:uiPriority w:val="0"/>
    <w:pPr>
      <w:ind w:firstLine="420" w:firstLineChars="200"/>
    </w:pPr>
    <w:rPr>
      <w:rFonts w:ascii="Times New Roman" w:hAnsi="Times New Roman"/>
      <w:szCs w:val="22"/>
    </w:r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8"/>
    <w:link w:val="4"/>
    <w:semiHidden/>
    <w:qFormat/>
    <w:uiPriority w:val="99"/>
    <w:rPr>
      <w:rFonts w:eastAsia="Times New Roman"/>
      <w:sz w:val="18"/>
      <w:szCs w:val="18"/>
      <w:lang w:eastAsia="uk-UA"/>
    </w:rPr>
  </w:style>
  <w:style w:type="character" w:customStyle="1" w:styleId="36">
    <w:name w:val="页脚 Char"/>
    <w:basedOn w:val="8"/>
    <w:link w:val="3"/>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2023-05-24T10:47:59Z</dcterms:created>
  <dcterms:modified xsi:type="dcterms:W3CDTF">2023-05-24T02:47:59Z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2023-05-24T10:47:57Z</dcterms:created>
  <dcterms:modified xsi:type="dcterms:W3CDTF">2023-05-24T02:47:57Z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2023-05-24T10:48:04Z</dcterms:created>
  <dcterms:modified xsi:type="dcterms:W3CDTF">2023-05-24T02:48:04Z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2023-05-24T10:48:05Z</dcterms:created>
  <dcterms:modified xsi:type="dcterms:W3CDTF">2023-05-24T02:48:05Z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2023-05-24T10:48:05Z</dcterms:created>
  <dcterms:modified xsi:type="dcterms:W3CDTF">2023-05-24T02:48:05Z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2023-05-24T10:47:58Z</dcterms:created>
  <dcterms:modified xsi:type="dcterms:W3CDTF">2023-05-24T02:47:58Z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2023-05-24T10:47:58Z</dcterms:created>
  <dcterms:modified xsi:type="dcterms:W3CDTF">2023-05-24T02:47:58Z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2023-05-24T10:48:05Z</dcterms:created>
  <dcterms:modified xsi:type="dcterms:W3CDTF">2023-05-24T02:48:05Z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2023-05-24T10:47:57Z</dcterms:created>
  <dcterms:modified xsi:type="dcterms:W3CDTF">2023-05-24T02:47:57Z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2023-05-24T10:48:05Z</dcterms:created>
  <dcterms:modified xsi:type="dcterms:W3CDTF">2023-05-24T02:48:05Z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2023-05-24T10:47:57Z</dcterms:created>
  <dcterms:modified xsi:type="dcterms:W3CDTF">2023-05-24T02:47:57Z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2023-05-24T10:48:06Z</dcterms:created>
  <dcterms:modified xsi:type="dcterms:W3CDTF">2023-05-24T02:48:06Z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2023-05-24T10:47:58Z</dcterms:created>
  <dcterms:modified xsi:type="dcterms:W3CDTF">2023-05-24T02:47:58Z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2023-05-24T10:47:59Z</dcterms:created>
  <dcterms:modified xsi:type="dcterms:W3CDTF">2023-05-24T02:47:59Z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2023-05-24T10:48:06Z</dcterms:created>
  <dcterms:modified xsi:type="dcterms:W3CDTF">2023-05-24T02:48:06Z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2023-05-24T10:48:04Z</dcterms:created>
  <dcterms:modified xsi:type="dcterms:W3CDTF">2023-05-24T02:48:04Z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2023-05-24T10:48:05Z</dcterms:created>
  <dcterms:modified xsi:type="dcterms:W3CDTF">2023-05-24T02:48:05Z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2023-05-24T10:47:58Z</dcterms:created>
  <dcterms:modified xsi:type="dcterms:W3CDTF">2023-05-24T02:47:58Z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2023-05-24T10:48:03Z</dcterms:created>
  <dcterms:modified xsi:type="dcterms:W3CDTF">2023-05-24T02:48:02Z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2023-05-24T10:48:05Z</dcterms:created>
  <dcterms:modified xsi:type="dcterms:W3CDTF">2023-05-24T02:48:05Z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2023-05-24T10:47:58Z</dcterms:created>
  <dcterms:modified xsi:type="dcterms:W3CDTF">2023-05-24T02:47:58Z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2023-05-24T10:48:05Z</dcterms:created>
  <dcterms:modified xsi:type="dcterms:W3CDTF">2023-05-24T02:48:05Z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2023-05-24T10:47:57Z</dcterms:created>
  <dcterms:modified xsi:type="dcterms:W3CDTF">2023-05-24T02:47:57Z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2023-05-24T10:48:05Z</dcterms:created>
  <dcterms:modified xsi:type="dcterms:W3CDTF">2023-05-24T02:48:05Z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2023-05-24T10:47:57Z</dcterms:created>
  <dcterms:modified xsi:type="dcterms:W3CDTF">2023-05-24T02:47:57Z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2023-05-24T10:47:58Z</dcterms:created>
  <dcterms:modified xsi:type="dcterms:W3CDTF">2023-05-24T02:47:58Z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2023-05-24T10:47:58Z</dcterms:created>
  <dcterms:modified xsi:type="dcterms:W3CDTF">2023-05-24T02:47:58Z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2023-05-24T10:47:59Z</dcterms:created>
  <dcterms:modified xsi:type="dcterms:W3CDTF">2023-05-24T02:47:59Z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2023-05-24T10:48:06Z</dcterms:created>
  <dcterms:modified xsi:type="dcterms:W3CDTF">2023-05-24T02:48:06Z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2023-05-24T10:48:06Z</dcterms:created>
  <dcterms:modified xsi:type="dcterms:W3CDTF">2023-05-24T02:48:06Z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2023-05-24T10:48:04Z</dcterms:created>
  <dcterms:modified xsi:type="dcterms:W3CDTF">2023-05-24T02:48:04Z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2023-05-24T10:47:55Z</dcterms:created>
  <dcterms:modified xsi:type="dcterms:W3CDTF">2023-05-24T02:47:55Z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2023-05-24T10:47:57Z</dcterms:created>
  <dcterms:modified xsi:type="dcterms:W3CDTF">2023-05-24T02:47:57Z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5B7A65F-7370-4217-BB55-B20F16949ECB}">
  <ds:schemaRefs/>
</ds:datastoreItem>
</file>

<file path=customXml/itemProps10.xml><?xml version="1.0" encoding="utf-8"?>
<ds:datastoreItem xmlns:ds="http://schemas.openxmlformats.org/officeDocument/2006/customXml" ds:itemID="{57B7C4AF-6D24-4BB0-B7D3-5299DB1D39C3}">
  <ds:schemaRefs/>
</ds:datastoreItem>
</file>

<file path=customXml/itemProps11.xml><?xml version="1.0" encoding="utf-8"?>
<ds:datastoreItem xmlns:ds="http://schemas.openxmlformats.org/officeDocument/2006/customXml" ds:itemID="{90D58159-4AC2-4B45-A8A0-516EBB0AC60C}">
  <ds:schemaRefs/>
</ds:datastoreItem>
</file>

<file path=customXml/itemProps12.xml><?xml version="1.0" encoding="utf-8"?>
<ds:datastoreItem xmlns:ds="http://schemas.openxmlformats.org/officeDocument/2006/customXml" ds:itemID="{204F82C7-A664-4624-B468-388357CA44B1}">
  <ds:schemaRefs/>
</ds:datastoreItem>
</file>

<file path=customXml/itemProps13.xml><?xml version="1.0" encoding="utf-8"?>
<ds:datastoreItem xmlns:ds="http://schemas.openxmlformats.org/officeDocument/2006/customXml" ds:itemID="{B0194FB7-AF7A-4A6A-B163-9F7B6CA4FD75}">
  <ds:schemaRefs/>
</ds:datastoreItem>
</file>

<file path=customXml/itemProps14.xml><?xml version="1.0" encoding="utf-8"?>
<ds:datastoreItem xmlns:ds="http://schemas.openxmlformats.org/officeDocument/2006/customXml" ds:itemID="{3525D84F-37C1-4C88-A63F-386957F8EB6B}">
  <ds:schemaRefs/>
</ds:datastoreItem>
</file>

<file path=customXml/itemProps15.xml><?xml version="1.0" encoding="utf-8"?>
<ds:datastoreItem xmlns:ds="http://schemas.openxmlformats.org/officeDocument/2006/customXml" ds:itemID="{5DD65F11-CBA4-4416-AE7B-CB2CBC204CE1}">
  <ds:schemaRefs/>
</ds:datastoreItem>
</file>

<file path=customXml/itemProps16.xml><?xml version="1.0" encoding="utf-8"?>
<ds:datastoreItem xmlns:ds="http://schemas.openxmlformats.org/officeDocument/2006/customXml" ds:itemID="{44C8A59D-A7DA-427E-ACA3-A50C3E2D85C0}">
  <ds:schemaRefs/>
</ds:datastoreItem>
</file>

<file path=customXml/itemProps17.xml><?xml version="1.0" encoding="utf-8"?>
<ds:datastoreItem xmlns:ds="http://schemas.openxmlformats.org/officeDocument/2006/customXml" ds:itemID="{0D90AA57-BB8D-4B53-90D6-A55C47EB8CE5}">
  <ds:schemaRefs/>
</ds:datastoreItem>
</file>

<file path=customXml/itemProps18.xml><?xml version="1.0" encoding="utf-8"?>
<ds:datastoreItem xmlns:ds="http://schemas.openxmlformats.org/officeDocument/2006/customXml" ds:itemID="{6D739ED0-901B-40FE-B567-30B28DE9A6A1}">
  <ds:schemaRefs/>
</ds:datastoreItem>
</file>

<file path=customXml/itemProps19.xml><?xml version="1.0" encoding="utf-8"?>
<ds:datastoreItem xmlns:ds="http://schemas.openxmlformats.org/officeDocument/2006/customXml" ds:itemID="{03FB6555-6384-425E-AE3E-BC3F0422C53C}">
  <ds:schemaRefs/>
</ds:datastoreItem>
</file>

<file path=customXml/itemProps2.xml><?xml version="1.0" encoding="utf-8"?>
<ds:datastoreItem xmlns:ds="http://schemas.openxmlformats.org/officeDocument/2006/customXml" ds:itemID="{5E06C81A-8AAC-4DCE-BC0B-B80DD22660AF}">
  <ds:schemaRefs/>
</ds:datastoreItem>
</file>

<file path=customXml/itemProps20.xml><?xml version="1.0" encoding="utf-8"?>
<ds:datastoreItem xmlns:ds="http://schemas.openxmlformats.org/officeDocument/2006/customXml" ds:itemID="{31B6F368-5608-48CD-855D-488A27B5D242}">
  <ds:schemaRefs/>
</ds:datastoreItem>
</file>

<file path=customXml/itemProps21.xml><?xml version="1.0" encoding="utf-8"?>
<ds:datastoreItem xmlns:ds="http://schemas.openxmlformats.org/officeDocument/2006/customXml" ds:itemID="{22EAA471-D595-43E3-8BA3-71AD6D224AB8}">
  <ds:schemaRefs/>
</ds:datastoreItem>
</file>

<file path=customXml/itemProps22.xml><?xml version="1.0" encoding="utf-8"?>
<ds:datastoreItem xmlns:ds="http://schemas.openxmlformats.org/officeDocument/2006/customXml" ds:itemID="{65C3A02B-8283-41F9-B29B-3B3E2BD842A3}">
  <ds:schemaRefs/>
</ds:datastoreItem>
</file>

<file path=customXml/itemProps23.xml><?xml version="1.0" encoding="utf-8"?>
<ds:datastoreItem xmlns:ds="http://schemas.openxmlformats.org/officeDocument/2006/customXml" ds:itemID="{F60FA2CC-518B-4EC5-A103-56CDFEA93930}">
  <ds:schemaRefs/>
</ds:datastoreItem>
</file>

<file path=customXml/itemProps24.xml><?xml version="1.0" encoding="utf-8"?>
<ds:datastoreItem xmlns:ds="http://schemas.openxmlformats.org/officeDocument/2006/customXml" ds:itemID="{2CD3C424-886F-482B-8800-1A6D5EE887F0}">
  <ds:schemaRefs/>
</ds:datastoreItem>
</file>

<file path=customXml/itemProps25.xml><?xml version="1.0" encoding="utf-8"?>
<ds:datastoreItem xmlns:ds="http://schemas.openxmlformats.org/officeDocument/2006/customXml" ds:itemID="{82FEE40E-4477-40D9-814F-1CBA08C32D46}">
  <ds:schemaRefs/>
</ds:datastoreItem>
</file>

<file path=customXml/itemProps26.xml><?xml version="1.0" encoding="utf-8"?>
<ds:datastoreItem xmlns:ds="http://schemas.openxmlformats.org/officeDocument/2006/customXml" ds:itemID="{73173D59-AD68-4A71-A912-B85D0D31E9D4}">
  <ds:schemaRefs/>
</ds:datastoreItem>
</file>

<file path=customXml/itemProps27.xml><?xml version="1.0" encoding="utf-8"?>
<ds:datastoreItem xmlns:ds="http://schemas.openxmlformats.org/officeDocument/2006/customXml" ds:itemID="{87F279C2-0E33-4E6E-B9BA-826F0282AA52}">
  <ds:schemaRefs/>
</ds:datastoreItem>
</file>

<file path=customXml/itemProps28.xml><?xml version="1.0" encoding="utf-8"?>
<ds:datastoreItem xmlns:ds="http://schemas.openxmlformats.org/officeDocument/2006/customXml" ds:itemID="{4DA09F3E-6362-4534-96A0-504EA9692695}">
  <ds:schemaRefs/>
</ds:datastoreItem>
</file>

<file path=customXml/itemProps29.xml><?xml version="1.0" encoding="utf-8"?>
<ds:datastoreItem xmlns:ds="http://schemas.openxmlformats.org/officeDocument/2006/customXml" ds:itemID="{B8674370-7F7C-4858-A7F2-5CB032CE351D}">
  <ds:schemaRefs/>
</ds:datastoreItem>
</file>

<file path=customXml/itemProps3.xml><?xml version="1.0" encoding="utf-8"?>
<ds:datastoreItem xmlns:ds="http://schemas.openxmlformats.org/officeDocument/2006/customXml" ds:itemID="{E0F8792E-ED69-4089-AD30-7FCDD7C966CD}">
  <ds:schemaRefs/>
</ds:datastoreItem>
</file>

<file path=customXml/itemProps30.xml><?xml version="1.0" encoding="utf-8"?>
<ds:datastoreItem xmlns:ds="http://schemas.openxmlformats.org/officeDocument/2006/customXml" ds:itemID="{820CD302-D613-4981-934F-DD41A37BAB97}">
  <ds:schemaRefs/>
</ds:datastoreItem>
</file>

<file path=customXml/itemProps31.xml><?xml version="1.0" encoding="utf-8"?>
<ds:datastoreItem xmlns:ds="http://schemas.openxmlformats.org/officeDocument/2006/customXml" ds:itemID="{3994319A-507F-445C-9BD5-0B0D26E2527A}">
  <ds:schemaRefs/>
</ds:datastoreItem>
</file>

<file path=customXml/itemProps32.xml><?xml version="1.0" encoding="utf-8"?>
<ds:datastoreItem xmlns:ds="http://schemas.openxmlformats.org/officeDocument/2006/customXml" ds:itemID="{65CDAACB-32D4-45BA-85CE-8E1394AE1110}">
  <ds:schemaRefs/>
</ds:datastoreItem>
</file>

<file path=customXml/itemProps33.xml><?xml version="1.0" encoding="utf-8"?>
<ds:datastoreItem xmlns:ds="http://schemas.openxmlformats.org/officeDocument/2006/customXml" ds:itemID="{BD3C10DD-A409-4185-AE5D-E51FA7BFF8B1}">
  <ds:schemaRefs/>
</ds:datastoreItem>
</file>

<file path=customXml/itemProps34.xml><?xml version="1.0" encoding="utf-8"?>
<ds:datastoreItem xmlns:ds="http://schemas.openxmlformats.org/officeDocument/2006/customXml" ds:itemID="{83B8EACE-E42E-4314-94C2-7461A0EF3667}">
  <ds:schemaRefs/>
</ds:datastoreItem>
</file>

<file path=customXml/itemProps35.xml><?xml version="1.0" encoding="utf-8"?>
<ds:datastoreItem xmlns:ds="http://schemas.openxmlformats.org/officeDocument/2006/customXml" ds:itemID="{954948CC-5199-484B-ACF4-E0AB450DEAFD}">
  <ds:schemaRefs/>
</ds:datastoreItem>
</file>

<file path=customXml/itemProps36.xml><?xml version="1.0" encoding="utf-8"?>
<ds:datastoreItem xmlns:ds="http://schemas.openxmlformats.org/officeDocument/2006/customXml" ds:itemID="{C14311AC-6B4D-4BF7-9A4E-18DF5C952A68}">
  <ds:schemaRefs/>
</ds:datastoreItem>
</file>

<file path=customXml/itemProps37.xml><?xml version="1.0" encoding="utf-8"?>
<ds:datastoreItem xmlns:ds="http://schemas.openxmlformats.org/officeDocument/2006/customXml" ds:itemID="{A8A77702-D1B6-4DC6-B5B1-6107763C8A1D}">
  <ds:schemaRefs/>
</ds:datastoreItem>
</file>

<file path=customXml/itemProps38.xml><?xml version="1.0" encoding="utf-8"?>
<ds:datastoreItem xmlns:ds="http://schemas.openxmlformats.org/officeDocument/2006/customXml" ds:itemID="{07D7CE2A-018B-4811-A74C-0455D4350BB2}">
  <ds:schemaRefs/>
</ds:datastoreItem>
</file>

<file path=customXml/itemProps39.xml><?xml version="1.0" encoding="utf-8"?>
<ds:datastoreItem xmlns:ds="http://schemas.openxmlformats.org/officeDocument/2006/customXml" ds:itemID="{3031047E-0994-474C-9242-3DF77888E72E}">
  <ds:schemaRefs/>
</ds:datastoreItem>
</file>

<file path=customXml/itemProps4.xml><?xml version="1.0" encoding="utf-8"?>
<ds:datastoreItem xmlns:ds="http://schemas.openxmlformats.org/officeDocument/2006/customXml" ds:itemID="{DF81AADE-1C18-4865-A7ED-06BF4AF1923E}">
  <ds:schemaRefs/>
</ds:datastoreItem>
</file>

<file path=customXml/itemProps40.xml><?xml version="1.0" encoding="utf-8"?>
<ds:datastoreItem xmlns:ds="http://schemas.openxmlformats.org/officeDocument/2006/customXml" ds:itemID="{E6B7D016-92DA-4653-AAE6-5A5F6B1ACF50}">
  <ds:schemaRefs/>
</ds:datastoreItem>
</file>

<file path=customXml/itemProps41.xml><?xml version="1.0" encoding="utf-8"?>
<ds:datastoreItem xmlns:ds="http://schemas.openxmlformats.org/officeDocument/2006/customXml" ds:itemID="{156DE62B-F917-4FC9-913F-1E0C48C70F9D}">
  <ds:schemaRefs/>
</ds:datastoreItem>
</file>

<file path=customXml/itemProps42.xml><?xml version="1.0" encoding="utf-8"?>
<ds:datastoreItem xmlns:ds="http://schemas.openxmlformats.org/officeDocument/2006/customXml" ds:itemID="{2D36A3CC-205D-4222-AB13-6FD04E0FCEFA}">
  <ds:schemaRefs/>
</ds:datastoreItem>
</file>

<file path=customXml/itemProps43.xml><?xml version="1.0" encoding="utf-8"?>
<ds:datastoreItem xmlns:ds="http://schemas.openxmlformats.org/officeDocument/2006/customXml" ds:itemID="{F931ACB1-8D62-4BDD-AAC7-BC036F363BEE}">
  <ds:schemaRefs/>
</ds:datastoreItem>
</file>

<file path=customXml/itemProps44.xml><?xml version="1.0" encoding="utf-8"?>
<ds:datastoreItem xmlns:ds="http://schemas.openxmlformats.org/officeDocument/2006/customXml" ds:itemID="{8E5E37E4-7ED2-4339-B1E2-96655AF69D8F}">
  <ds:schemaRefs/>
</ds:datastoreItem>
</file>

<file path=customXml/itemProps45.xml><?xml version="1.0" encoding="utf-8"?>
<ds:datastoreItem xmlns:ds="http://schemas.openxmlformats.org/officeDocument/2006/customXml" ds:itemID="{5ACB9390-E472-41DF-9F4F-92AA65712F4C}">
  <ds:schemaRefs/>
</ds:datastoreItem>
</file>

<file path=customXml/itemProps46.xml><?xml version="1.0" encoding="utf-8"?>
<ds:datastoreItem xmlns:ds="http://schemas.openxmlformats.org/officeDocument/2006/customXml" ds:itemID="{D8A15137-4770-4F69-BF20-81F19955631A}">
  <ds:schemaRefs/>
</ds:datastoreItem>
</file>

<file path=customXml/itemProps47.xml><?xml version="1.0" encoding="utf-8"?>
<ds:datastoreItem xmlns:ds="http://schemas.openxmlformats.org/officeDocument/2006/customXml" ds:itemID="{7D9C2862-2254-4D4B-9DDD-A0759532D854}">
  <ds:schemaRefs/>
</ds:datastoreItem>
</file>

<file path=customXml/itemProps48.xml><?xml version="1.0" encoding="utf-8"?>
<ds:datastoreItem xmlns:ds="http://schemas.openxmlformats.org/officeDocument/2006/customXml" ds:itemID="{F2C1D37D-6C20-4C7C-B34B-081546388F4A}">
  <ds:schemaRefs/>
</ds:datastoreItem>
</file>

<file path=customXml/itemProps49.xml><?xml version="1.0" encoding="utf-8"?>
<ds:datastoreItem xmlns:ds="http://schemas.openxmlformats.org/officeDocument/2006/customXml" ds:itemID="{429702EE-8EEA-4DCB-B853-8D557D42A765}">
  <ds:schemaRefs/>
</ds:datastoreItem>
</file>

<file path=customXml/itemProps5.xml><?xml version="1.0" encoding="utf-8"?>
<ds:datastoreItem xmlns:ds="http://schemas.openxmlformats.org/officeDocument/2006/customXml" ds:itemID="{D849FB13-6DBE-4AB4-8D03-610F0D2393D1}">
  <ds:schemaRefs/>
</ds:datastoreItem>
</file>

<file path=customXml/itemProps50.xml><?xml version="1.0" encoding="utf-8"?>
<ds:datastoreItem xmlns:ds="http://schemas.openxmlformats.org/officeDocument/2006/customXml" ds:itemID="{1EEEB629-7937-463D-AB4B-5C79A192B5E6}">
  <ds:schemaRefs/>
</ds:datastoreItem>
</file>

<file path=customXml/itemProps51.xml><?xml version="1.0" encoding="utf-8"?>
<ds:datastoreItem xmlns:ds="http://schemas.openxmlformats.org/officeDocument/2006/customXml" ds:itemID="{1831C053-6E5F-4451-90B7-12EF0AFB026C}">
  <ds:schemaRefs/>
</ds:datastoreItem>
</file>

<file path=customXml/itemProps52.xml><?xml version="1.0" encoding="utf-8"?>
<ds:datastoreItem xmlns:ds="http://schemas.openxmlformats.org/officeDocument/2006/customXml" ds:itemID="{74038039-B8BC-4444-B7A5-32CAC0C5DF5E}">
  <ds:schemaRefs/>
</ds:datastoreItem>
</file>

<file path=customXml/itemProps53.xml><?xml version="1.0" encoding="utf-8"?>
<ds:datastoreItem xmlns:ds="http://schemas.openxmlformats.org/officeDocument/2006/customXml" ds:itemID="{E4BB1E5D-D105-42A8-B673-1947EB1D839F}">
  <ds:schemaRefs/>
</ds:datastoreItem>
</file>

<file path=customXml/itemProps54.xml><?xml version="1.0" encoding="utf-8"?>
<ds:datastoreItem xmlns:ds="http://schemas.openxmlformats.org/officeDocument/2006/customXml" ds:itemID="{CAE88D6E-2F25-4152-A8F6-C4DFBBA8A5C9}">
  <ds:schemaRefs/>
</ds:datastoreItem>
</file>

<file path=customXml/itemProps55.xml><?xml version="1.0" encoding="utf-8"?>
<ds:datastoreItem xmlns:ds="http://schemas.openxmlformats.org/officeDocument/2006/customXml" ds:itemID="{2EA57C6A-1BE7-4E38-BA58-8A81F6859717}">
  <ds:schemaRefs/>
</ds:datastoreItem>
</file>

<file path=customXml/itemProps56.xml><?xml version="1.0" encoding="utf-8"?>
<ds:datastoreItem xmlns:ds="http://schemas.openxmlformats.org/officeDocument/2006/customXml" ds:itemID="{30B0EE51-8123-49B7-9AD4-F0F65BB4A70A}">
  <ds:schemaRefs/>
</ds:datastoreItem>
</file>

<file path=customXml/itemProps57.xml><?xml version="1.0" encoding="utf-8"?>
<ds:datastoreItem xmlns:ds="http://schemas.openxmlformats.org/officeDocument/2006/customXml" ds:itemID="{96494321-766E-4E6A-B2CD-697DAD33904D}">
  <ds:schemaRefs/>
</ds:datastoreItem>
</file>

<file path=customXml/itemProps58.xml><?xml version="1.0" encoding="utf-8"?>
<ds:datastoreItem xmlns:ds="http://schemas.openxmlformats.org/officeDocument/2006/customXml" ds:itemID="{3C4889EB-C82E-4570-B1E7-11E69C510170}">
  <ds:schemaRefs/>
</ds:datastoreItem>
</file>

<file path=customXml/itemProps59.xml><?xml version="1.0" encoding="utf-8"?>
<ds:datastoreItem xmlns:ds="http://schemas.openxmlformats.org/officeDocument/2006/customXml" ds:itemID="{ED0BA015-3832-4BB1-B33F-0B36C62092D4}">
  <ds:schemaRefs/>
</ds:datastoreItem>
</file>

<file path=customXml/itemProps6.xml><?xml version="1.0" encoding="utf-8"?>
<ds:datastoreItem xmlns:ds="http://schemas.openxmlformats.org/officeDocument/2006/customXml" ds:itemID="{B586EC63-8EB0-47F8-ADA7-05A00FA8C317}">
  <ds:schemaRefs/>
</ds:datastoreItem>
</file>

<file path=customXml/itemProps60.xml><?xml version="1.0" encoding="utf-8"?>
<ds:datastoreItem xmlns:ds="http://schemas.openxmlformats.org/officeDocument/2006/customXml" ds:itemID="{7D2852E0-62A2-446E-9FBF-1AC01C80460B}">
  <ds:schemaRefs/>
</ds:datastoreItem>
</file>

<file path=customXml/itemProps61.xml><?xml version="1.0" encoding="utf-8"?>
<ds:datastoreItem xmlns:ds="http://schemas.openxmlformats.org/officeDocument/2006/customXml" ds:itemID="{AA9171EB-980D-402B-B18E-B7FE38BDBB0C}">
  <ds:schemaRefs/>
</ds:datastoreItem>
</file>

<file path=customXml/itemProps62.xml><?xml version="1.0" encoding="utf-8"?>
<ds:datastoreItem xmlns:ds="http://schemas.openxmlformats.org/officeDocument/2006/customXml" ds:itemID="{399B84E3-C7E0-4574-9A83-D087D84043D8}">
  <ds:schemaRefs/>
</ds:datastoreItem>
</file>

<file path=customXml/itemProps63.xml><?xml version="1.0" encoding="utf-8"?>
<ds:datastoreItem xmlns:ds="http://schemas.openxmlformats.org/officeDocument/2006/customXml" ds:itemID="{7A684A6A-990E-46A2-84B7-CA79D40BB937}">
  <ds:schemaRefs/>
</ds:datastoreItem>
</file>

<file path=customXml/itemProps64.xml><?xml version="1.0" encoding="utf-8"?>
<ds:datastoreItem xmlns:ds="http://schemas.openxmlformats.org/officeDocument/2006/customXml" ds:itemID="{98F5D9CF-6856-4B99-997F-FF9331CEC44B}">
  <ds:schemaRefs/>
</ds:datastoreItem>
</file>

<file path=customXml/itemProps65.xml><?xml version="1.0" encoding="utf-8"?>
<ds:datastoreItem xmlns:ds="http://schemas.openxmlformats.org/officeDocument/2006/customXml" ds:itemID="{0CE423B4-8620-4CBC-BCC0-05D806E289B4}">
  <ds:schemaRefs/>
</ds:datastoreItem>
</file>

<file path=customXml/itemProps66.xml><?xml version="1.0" encoding="utf-8"?>
<ds:datastoreItem xmlns:ds="http://schemas.openxmlformats.org/officeDocument/2006/customXml" ds:itemID="{E39F3589-DF13-43AF-A113-6558E16776C8}">
  <ds:schemaRefs/>
</ds:datastoreItem>
</file>

<file path=customXml/itemProps7.xml><?xml version="1.0" encoding="utf-8"?>
<ds:datastoreItem xmlns:ds="http://schemas.openxmlformats.org/officeDocument/2006/customXml" ds:itemID="{68C5A818-9518-4F98-A1EB-2F63F2B11B91}">
  <ds:schemaRefs/>
</ds:datastoreItem>
</file>

<file path=customXml/itemProps8.xml><?xml version="1.0" encoding="utf-8"?>
<ds:datastoreItem xmlns:ds="http://schemas.openxmlformats.org/officeDocument/2006/customXml" ds:itemID="{F86E1C2D-045C-4722-87F6-64B7AD9DFC10}">
  <ds:schemaRefs/>
</ds:datastoreItem>
</file>

<file path=customXml/itemProps9.xml><?xml version="1.0" encoding="utf-8"?>
<ds:datastoreItem xmlns:ds="http://schemas.openxmlformats.org/officeDocument/2006/customXml" ds:itemID="{598F7E76-105E-4B1F-ACF1-81F64FF5E2E7}">
  <ds:schemaRefs/>
</ds:datastoreItem>
</file>

<file path=docProps/app.xml><?xml version="1.0" encoding="utf-8"?>
<Properties xmlns="http://schemas.openxmlformats.org/officeDocument/2006/extended-properties" xmlns:vt="http://schemas.openxmlformats.org/officeDocument/2006/docPropsVTypes">
  <Template>Normal.dotm</Template>
  <Pages>74</Pages>
  <Words>4827</Words>
  <Characters>27518</Characters>
  <Lines>229</Lines>
  <Paragraphs>64</Paragraphs>
  <TotalTime>2</TotalTime>
  <ScaleCrop>false</ScaleCrop>
  <LinksUpToDate>false</LinksUpToDate>
  <CharactersWithSpaces>32281</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2023-05-24T02:41:00Z</dcterms:created>
  <dc:creator>Administrator</dc:creator>
  <cp:lastModifiedBy>DELL</cp:lastModifiedBy>
  <dcterms:modified xsi:type="dcterms:W3CDTF">2023-08-31T02:24:51Z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80D1BED3C06346AA946FFDF3AC810DCC</vt:lpwstr>
  </property>
</Properties>
</file>