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37</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37</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37</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318宁晋县财政局</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1288.77</w:t>
            </w:r>
          </w:p>
        </w:tc>
        <w:tc>
          <w:tcPr>
            <w:tcW w:w="4535" w:type="dxa"/>
            <w:vAlign w:val="center"/>
          </w:tcPr>
          <w:p>
            <w:pPr>
              <w:pStyle w:val="12"/>
            </w:pPr>
            <w:r>
              <w:t>一、一般公共服务支出</w:t>
            </w:r>
          </w:p>
        </w:tc>
        <w:tc>
          <w:tcPr>
            <w:tcW w:w="2126" w:type="dxa"/>
            <w:vAlign w:val="center"/>
          </w:tcPr>
          <w:p>
            <w:pPr>
              <w:pStyle w:val="13"/>
            </w:pPr>
            <w:r>
              <w:t>1045.07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153.80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33.91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r>
              <w:t>67.93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本年收入合计</w:t>
            </w:r>
          </w:p>
        </w:tc>
        <w:tc>
          <w:tcPr>
            <w:tcW w:w="2126" w:type="dxa"/>
            <w:vAlign w:val="center"/>
          </w:tcPr>
          <w:p>
            <w:pPr>
              <w:pStyle w:val="15"/>
            </w:pPr>
            <w:r>
              <w:t>1288.77</w:t>
            </w:r>
          </w:p>
        </w:tc>
        <w:tc>
          <w:tcPr>
            <w:tcW w:w="4535" w:type="dxa"/>
            <w:vAlign w:val="center"/>
          </w:tcPr>
          <w:p>
            <w:pPr>
              <w:pStyle w:val="14"/>
            </w:pPr>
            <w:r>
              <w:t>本年支出合计</w:t>
            </w:r>
          </w:p>
        </w:tc>
        <w:tc>
          <w:tcPr>
            <w:tcW w:w="2126" w:type="dxa"/>
            <w:vAlign w:val="center"/>
          </w:tcPr>
          <w:p>
            <w:pPr>
              <w:pStyle w:val="15"/>
            </w:pPr>
            <w:r>
              <w:t>1300.71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上年结转结余</w:t>
            </w:r>
          </w:p>
        </w:tc>
        <w:tc>
          <w:tcPr>
            <w:tcW w:w="2126" w:type="dxa"/>
            <w:vAlign w:val="center"/>
          </w:tcPr>
          <w:p>
            <w:pPr>
              <w:pStyle w:val="13"/>
            </w:pPr>
            <w:r>
              <w:t>11.95</w:t>
            </w: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4535" w:type="dxa"/>
            <w:vAlign w:val="center"/>
          </w:tcPr>
          <w:p>
            <w:pPr>
              <w:pStyle w:val="14"/>
            </w:pPr>
            <w:r>
              <w:t>收入总计</w:t>
            </w:r>
          </w:p>
        </w:tc>
        <w:tc>
          <w:tcPr>
            <w:tcW w:w="2126" w:type="dxa"/>
            <w:vAlign w:val="center"/>
          </w:tcPr>
          <w:p>
            <w:pPr>
              <w:pStyle w:val="15"/>
            </w:pPr>
            <w:r>
              <w:t>1300.71</w:t>
            </w:r>
          </w:p>
        </w:tc>
        <w:tc>
          <w:tcPr>
            <w:tcW w:w="4535" w:type="dxa"/>
            <w:vAlign w:val="center"/>
          </w:tcPr>
          <w:p>
            <w:pPr>
              <w:pStyle w:val="14"/>
            </w:pPr>
            <w:r>
              <w:t>支出总计</w:t>
            </w:r>
          </w:p>
        </w:tc>
        <w:tc>
          <w:tcPr>
            <w:tcW w:w="2126" w:type="dxa"/>
            <w:vAlign w:val="center"/>
          </w:tcPr>
          <w:p>
            <w:pPr>
              <w:pStyle w:val="15"/>
            </w:pPr>
            <w:r>
              <w:t>1300.71</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318宁晋县财政局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1300.71</w:t>
            </w:r>
          </w:p>
        </w:tc>
        <w:tc>
          <w:tcPr>
            <w:tcW w:w="1134" w:type="dxa"/>
            <w:vAlign w:val="center"/>
          </w:tcPr>
          <w:p>
            <w:pPr>
              <w:pStyle w:val="15"/>
            </w:pPr>
            <w:r>
              <w:t>1288.77</w:t>
            </w:r>
          </w:p>
        </w:tc>
        <w:tc>
          <w:tcPr>
            <w:tcW w:w="1134" w:type="dxa"/>
            <w:vAlign w:val="center"/>
          </w:tcPr>
          <w:p>
            <w:pPr>
              <w:pStyle w:val="15"/>
            </w:pPr>
            <w:r>
              <w:t>1288.77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1045.07</w:t>
            </w:r>
          </w:p>
        </w:tc>
        <w:tc>
          <w:tcPr>
            <w:tcW w:w="1134" w:type="dxa"/>
            <w:vAlign w:val="center"/>
          </w:tcPr>
          <w:p>
            <w:pPr>
              <w:pStyle w:val="13"/>
            </w:pPr>
            <w:r>
              <w:t>1033.13</w:t>
            </w:r>
          </w:p>
        </w:tc>
        <w:tc>
          <w:tcPr>
            <w:tcW w:w="1134" w:type="dxa"/>
            <w:vAlign w:val="center"/>
          </w:tcPr>
          <w:p>
            <w:pPr>
              <w:pStyle w:val="13"/>
            </w:pPr>
            <w:r>
              <w:t>1033.13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3"/>
            </w:pPr>
            <w:r>
              <w:t>1045.07</w:t>
            </w:r>
          </w:p>
        </w:tc>
        <w:tc>
          <w:tcPr>
            <w:tcW w:w="1134" w:type="dxa"/>
            <w:vAlign w:val="center"/>
          </w:tcPr>
          <w:p>
            <w:pPr>
              <w:pStyle w:val="13"/>
            </w:pPr>
            <w:r>
              <w:t>1033.13</w:t>
            </w:r>
          </w:p>
        </w:tc>
        <w:tc>
          <w:tcPr>
            <w:tcW w:w="1134" w:type="dxa"/>
            <w:vAlign w:val="center"/>
          </w:tcPr>
          <w:p>
            <w:pPr>
              <w:pStyle w:val="13"/>
            </w:pPr>
            <w:r>
              <w:t>1033.13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3"/>
            </w:pPr>
            <w:r>
              <w:t>673.08</w:t>
            </w:r>
          </w:p>
        </w:tc>
        <w:tc>
          <w:tcPr>
            <w:tcW w:w="1134" w:type="dxa"/>
            <w:vAlign w:val="center"/>
          </w:tcPr>
          <w:p>
            <w:pPr>
              <w:pStyle w:val="13"/>
            </w:pPr>
            <w:r>
              <w:t>673.08</w:t>
            </w:r>
          </w:p>
        </w:tc>
        <w:tc>
          <w:tcPr>
            <w:tcW w:w="1134" w:type="dxa"/>
            <w:vAlign w:val="center"/>
          </w:tcPr>
          <w:p>
            <w:pPr>
              <w:pStyle w:val="13"/>
            </w:pPr>
            <w:r>
              <w:t>673.08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3"/>
            </w:pPr>
            <w:r>
              <w:t>336.99</w:t>
            </w:r>
          </w:p>
        </w:tc>
        <w:tc>
          <w:tcPr>
            <w:tcW w:w="1134" w:type="dxa"/>
            <w:vAlign w:val="center"/>
          </w:tcPr>
          <w:p>
            <w:pPr>
              <w:pStyle w:val="13"/>
            </w:pPr>
            <w:r>
              <w:t>325.05</w:t>
            </w:r>
          </w:p>
        </w:tc>
        <w:tc>
          <w:tcPr>
            <w:tcW w:w="1134" w:type="dxa"/>
            <w:vAlign w:val="center"/>
          </w:tcPr>
          <w:p>
            <w:pPr>
              <w:pStyle w:val="13"/>
            </w:pPr>
            <w:r>
              <w:t>325.05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2010606</w:t>
            </w:r>
          </w:p>
        </w:tc>
        <w:tc>
          <w:tcPr>
            <w:tcW w:w="1559" w:type="dxa"/>
            <w:vAlign w:val="center"/>
          </w:tcPr>
          <w:p>
            <w:pPr>
              <w:pStyle w:val="12"/>
            </w:pPr>
            <w:r>
              <w:t>财政监察</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153.80</w:t>
            </w:r>
          </w:p>
        </w:tc>
        <w:tc>
          <w:tcPr>
            <w:tcW w:w="1134" w:type="dxa"/>
            <w:vAlign w:val="center"/>
          </w:tcPr>
          <w:p>
            <w:pPr>
              <w:pStyle w:val="13"/>
            </w:pPr>
            <w:r>
              <w:t>153.80</w:t>
            </w:r>
          </w:p>
        </w:tc>
        <w:tc>
          <w:tcPr>
            <w:tcW w:w="1134" w:type="dxa"/>
            <w:vAlign w:val="center"/>
          </w:tcPr>
          <w:p>
            <w:pPr>
              <w:pStyle w:val="13"/>
            </w:pPr>
            <w:r>
              <w:t>153.80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148.44</w:t>
            </w:r>
          </w:p>
        </w:tc>
        <w:tc>
          <w:tcPr>
            <w:tcW w:w="1134" w:type="dxa"/>
            <w:vAlign w:val="center"/>
          </w:tcPr>
          <w:p>
            <w:pPr>
              <w:pStyle w:val="13"/>
            </w:pPr>
            <w:r>
              <w:t>148.44</w:t>
            </w:r>
          </w:p>
        </w:tc>
        <w:tc>
          <w:tcPr>
            <w:tcW w:w="1134" w:type="dxa"/>
            <w:vAlign w:val="center"/>
          </w:tcPr>
          <w:p>
            <w:pPr>
              <w:pStyle w:val="13"/>
            </w:pPr>
            <w:r>
              <w:t>148.44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3"/>
            </w:pPr>
            <w:r>
              <w:t>63.00</w:t>
            </w:r>
          </w:p>
        </w:tc>
        <w:tc>
          <w:tcPr>
            <w:tcW w:w="1134" w:type="dxa"/>
            <w:vAlign w:val="center"/>
          </w:tcPr>
          <w:p>
            <w:pPr>
              <w:pStyle w:val="13"/>
            </w:pPr>
            <w:r>
              <w:t>63.00</w:t>
            </w:r>
          </w:p>
        </w:tc>
        <w:tc>
          <w:tcPr>
            <w:tcW w:w="1134" w:type="dxa"/>
            <w:vAlign w:val="center"/>
          </w:tcPr>
          <w:p>
            <w:pPr>
              <w:pStyle w:val="13"/>
            </w:pPr>
            <w:r>
              <w:t>63.00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85.44</w:t>
            </w:r>
          </w:p>
        </w:tc>
        <w:tc>
          <w:tcPr>
            <w:tcW w:w="1134" w:type="dxa"/>
            <w:vAlign w:val="center"/>
          </w:tcPr>
          <w:p>
            <w:pPr>
              <w:pStyle w:val="13"/>
            </w:pPr>
            <w:r>
              <w:t>85.44</w:t>
            </w:r>
          </w:p>
        </w:tc>
        <w:tc>
          <w:tcPr>
            <w:tcW w:w="1134" w:type="dxa"/>
            <w:vAlign w:val="center"/>
          </w:tcPr>
          <w:p>
            <w:pPr>
              <w:pStyle w:val="13"/>
            </w:pPr>
            <w:r>
              <w:t>85.44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3"/>
            </w:pPr>
            <w:r>
              <w:t>2.36</w:t>
            </w:r>
          </w:p>
        </w:tc>
        <w:tc>
          <w:tcPr>
            <w:tcW w:w="1134" w:type="dxa"/>
            <w:vAlign w:val="center"/>
          </w:tcPr>
          <w:p>
            <w:pPr>
              <w:pStyle w:val="13"/>
            </w:pPr>
            <w:r>
              <w:t>2.36</w:t>
            </w:r>
          </w:p>
        </w:tc>
        <w:tc>
          <w:tcPr>
            <w:tcW w:w="1134" w:type="dxa"/>
            <w:vAlign w:val="center"/>
          </w:tcPr>
          <w:p>
            <w:pPr>
              <w:pStyle w:val="13"/>
            </w:pPr>
            <w:r>
              <w:t>2.36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3"/>
            </w:pPr>
            <w:r>
              <w:t>2.36</w:t>
            </w:r>
          </w:p>
        </w:tc>
        <w:tc>
          <w:tcPr>
            <w:tcW w:w="1134" w:type="dxa"/>
            <w:vAlign w:val="center"/>
          </w:tcPr>
          <w:p>
            <w:pPr>
              <w:pStyle w:val="13"/>
            </w:pPr>
            <w:r>
              <w:t>2.36</w:t>
            </w:r>
          </w:p>
        </w:tc>
        <w:tc>
          <w:tcPr>
            <w:tcW w:w="1134" w:type="dxa"/>
            <w:vAlign w:val="center"/>
          </w:tcPr>
          <w:p>
            <w:pPr>
              <w:pStyle w:val="13"/>
            </w:pPr>
            <w:r>
              <w:t>2.36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33.91</w:t>
            </w:r>
          </w:p>
        </w:tc>
        <w:tc>
          <w:tcPr>
            <w:tcW w:w="1134" w:type="dxa"/>
            <w:vAlign w:val="center"/>
          </w:tcPr>
          <w:p>
            <w:pPr>
              <w:pStyle w:val="13"/>
            </w:pPr>
            <w:r>
              <w:t>33.91</w:t>
            </w:r>
          </w:p>
        </w:tc>
        <w:tc>
          <w:tcPr>
            <w:tcW w:w="1134" w:type="dxa"/>
            <w:vAlign w:val="center"/>
          </w:tcPr>
          <w:p>
            <w:pPr>
              <w:pStyle w:val="13"/>
            </w:pPr>
            <w:r>
              <w:t>33.91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33.91</w:t>
            </w:r>
          </w:p>
        </w:tc>
        <w:tc>
          <w:tcPr>
            <w:tcW w:w="1134" w:type="dxa"/>
            <w:vAlign w:val="center"/>
          </w:tcPr>
          <w:p>
            <w:pPr>
              <w:pStyle w:val="13"/>
            </w:pPr>
            <w:r>
              <w:t>33.91</w:t>
            </w:r>
          </w:p>
        </w:tc>
        <w:tc>
          <w:tcPr>
            <w:tcW w:w="1134" w:type="dxa"/>
            <w:vAlign w:val="center"/>
          </w:tcPr>
          <w:p>
            <w:pPr>
              <w:pStyle w:val="13"/>
            </w:pPr>
            <w:r>
              <w:t>33.91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33.91</w:t>
            </w:r>
          </w:p>
        </w:tc>
        <w:tc>
          <w:tcPr>
            <w:tcW w:w="1134" w:type="dxa"/>
            <w:vAlign w:val="center"/>
          </w:tcPr>
          <w:p>
            <w:pPr>
              <w:pStyle w:val="13"/>
            </w:pPr>
            <w:r>
              <w:t>33.91</w:t>
            </w:r>
          </w:p>
        </w:tc>
        <w:tc>
          <w:tcPr>
            <w:tcW w:w="1134" w:type="dxa"/>
            <w:vAlign w:val="center"/>
          </w:tcPr>
          <w:p>
            <w:pPr>
              <w:pStyle w:val="13"/>
            </w:pPr>
            <w:r>
              <w:t>33.91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3"/>
            </w:pPr>
            <w:r>
              <w:t>67.93</w:t>
            </w:r>
          </w:p>
        </w:tc>
        <w:tc>
          <w:tcPr>
            <w:tcW w:w="1134" w:type="dxa"/>
            <w:vAlign w:val="center"/>
          </w:tcPr>
          <w:p>
            <w:pPr>
              <w:pStyle w:val="13"/>
            </w:pPr>
            <w:r>
              <w:t>67.93</w:t>
            </w:r>
          </w:p>
        </w:tc>
        <w:tc>
          <w:tcPr>
            <w:tcW w:w="1134" w:type="dxa"/>
            <w:vAlign w:val="center"/>
          </w:tcPr>
          <w:p>
            <w:pPr>
              <w:pStyle w:val="13"/>
            </w:pPr>
            <w:r>
              <w:t>67.93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3"/>
            </w:pPr>
            <w:r>
              <w:t>67.93</w:t>
            </w:r>
          </w:p>
        </w:tc>
        <w:tc>
          <w:tcPr>
            <w:tcW w:w="1134" w:type="dxa"/>
            <w:vAlign w:val="center"/>
          </w:tcPr>
          <w:p>
            <w:pPr>
              <w:pStyle w:val="13"/>
            </w:pPr>
            <w:r>
              <w:t>67.93</w:t>
            </w:r>
          </w:p>
        </w:tc>
        <w:tc>
          <w:tcPr>
            <w:tcW w:w="1134" w:type="dxa"/>
            <w:vAlign w:val="center"/>
          </w:tcPr>
          <w:p>
            <w:pPr>
              <w:pStyle w:val="13"/>
            </w:pPr>
            <w:r>
              <w:t>67.93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3"/>
            </w:pPr>
            <w:r>
              <w:t>67.93</w:t>
            </w:r>
          </w:p>
        </w:tc>
        <w:tc>
          <w:tcPr>
            <w:tcW w:w="1134" w:type="dxa"/>
            <w:vAlign w:val="center"/>
          </w:tcPr>
          <w:p>
            <w:pPr>
              <w:pStyle w:val="13"/>
            </w:pPr>
            <w:r>
              <w:t>67.93</w:t>
            </w:r>
          </w:p>
        </w:tc>
        <w:tc>
          <w:tcPr>
            <w:tcW w:w="1134" w:type="dxa"/>
            <w:vAlign w:val="center"/>
          </w:tcPr>
          <w:p>
            <w:pPr>
              <w:pStyle w:val="13"/>
            </w:pPr>
            <w:r>
              <w:t>67.93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318宁晋县财政局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1300.71</w:t>
            </w:r>
          </w:p>
        </w:tc>
        <w:tc>
          <w:tcPr>
            <w:tcW w:w="1361" w:type="dxa"/>
            <w:vAlign w:val="center"/>
          </w:tcPr>
          <w:p>
            <w:pPr>
              <w:pStyle w:val="15"/>
            </w:pPr>
            <w:r>
              <w:t>928.72</w:t>
            </w:r>
          </w:p>
        </w:tc>
        <w:tc>
          <w:tcPr>
            <w:tcW w:w="1361" w:type="dxa"/>
            <w:vAlign w:val="center"/>
          </w:tcPr>
          <w:p>
            <w:pPr>
              <w:pStyle w:val="15"/>
            </w:pPr>
            <w:r>
              <w:t>371.99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1045.07</w:t>
            </w:r>
          </w:p>
        </w:tc>
        <w:tc>
          <w:tcPr>
            <w:tcW w:w="1361" w:type="dxa"/>
            <w:vAlign w:val="center"/>
          </w:tcPr>
          <w:p>
            <w:pPr>
              <w:pStyle w:val="13"/>
            </w:pPr>
            <w:r>
              <w:t>673.08</w:t>
            </w:r>
          </w:p>
        </w:tc>
        <w:tc>
          <w:tcPr>
            <w:tcW w:w="1361" w:type="dxa"/>
            <w:vAlign w:val="center"/>
          </w:tcPr>
          <w:p>
            <w:pPr>
              <w:pStyle w:val="13"/>
            </w:pPr>
            <w:r>
              <w:t>371.99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3"/>
            </w:pPr>
            <w:r>
              <w:t>1045.07</w:t>
            </w:r>
          </w:p>
        </w:tc>
        <w:tc>
          <w:tcPr>
            <w:tcW w:w="1361" w:type="dxa"/>
            <w:vAlign w:val="center"/>
          </w:tcPr>
          <w:p>
            <w:pPr>
              <w:pStyle w:val="13"/>
            </w:pPr>
            <w:r>
              <w:t>673.08</w:t>
            </w:r>
          </w:p>
        </w:tc>
        <w:tc>
          <w:tcPr>
            <w:tcW w:w="1361" w:type="dxa"/>
            <w:vAlign w:val="center"/>
          </w:tcPr>
          <w:p>
            <w:pPr>
              <w:pStyle w:val="13"/>
            </w:pPr>
            <w:r>
              <w:t>371.99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3"/>
            </w:pPr>
            <w:r>
              <w:t>673.08</w:t>
            </w:r>
          </w:p>
        </w:tc>
        <w:tc>
          <w:tcPr>
            <w:tcW w:w="1361" w:type="dxa"/>
            <w:vAlign w:val="center"/>
          </w:tcPr>
          <w:p>
            <w:pPr>
              <w:pStyle w:val="13"/>
            </w:pPr>
            <w:r>
              <w:t>673.08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3"/>
            </w:pPr>
            <w:r>
              <w:t>336.99</w:t>
            </w:r>
          </w:p>
        </w:tc>
        <w:tc>
          <w:tcPr>
            <w:tcW w:w="1361" w:type="dxa"/>
            <w:vAlign w:val="center"/>
          </w:tcPr>
          <w:p>
            <w:pPr>
              <w:pStyle w:val="13"/>
            </w:pPr>
          </w:p>
        </w:tc>
        <w:tc>
          <w:tcPr>
            <w:tcW w:w="1361" w:type="dxa"/>
            <w:vAlign w:val="center"/>
          </w:tcPr>
          <w:p>
            <w:pPr>
              <w:pStyle w:val="13"/>
            </w:pPr>
            <w:r>
              <w:t>336.99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2010606</w:t>
            </w:r>
          </w:p>
        </w:tc>
        <w:tc>
          <w:tcPr>
            <w:tcW w:w="4535" w:type="dxa"/>
            <w:vAlign w:val="center"/>
          </w:tcPr>
          <w:p>
            <w:pPr>
              <w:pStyle w:val="12"/>
            </w:pPr>
            <w:r>
              <w:t>财政监察</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153.80</w:t>
            </w:r>
          </w:p>
        </w:tc>
        <w:tc>
          <w:tcPr>
            <w:tcW w:w="1361" w:type="dxa"/>
            <w:vAlign w:val="center"/>
          </w:tcPr>
          <w:p>
            <w:pPr>
              <w:pStyle w:val="13"/>
            </w:pPr>
            <w:r>
              <w:t>153.80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148.44</w:t>
            </w:r>
          </w:p>
        </w:tc>
        <w:tc>
          <w:tcPr>
            <w:tcW w:w="1361" w:type="dxa"/>
            <w:vAlign w:val="center"/>
          </w:tcPr>
          <w:p>
            <w:pPr>
              <w:pStyle w:val="13"/>
            </w:pPr>
            <w:r>
              <w:t>148.44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3"/>
            </w:pPr>
            <w:r>
              <w:t>63.00</w:t>
            </w:r>
          </w:p>
        </w:tc>
        <w:tc>
          <w:tcPr>
            <w:tcW w:w="1361" w:type="dxa"/>
            <w:vAlign w:val="center"/>
          </w:tcPr>
          <w:p>
            <w:pPr>
              <w:pStyle w:val="13"/>
            </w:pPr>
            <w:r>
              <w:t>63.00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85.44</w:t>
            </w:r>
          </w:p>
        </w:tc>
        <w:tc>
          <w:tcPr>
            <w:tcW w:w="1361" w:type="dxa"/>
            <w:vAlign w:val="center"/>
          </w:tcPr>
          <w:p>
            <w:pPr>
              <w:pStyle w:val="13"/>
            </w:pPr>
            <w:r>
              <w:t>85.44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3"/>
            </w:pPr>
            <w:r>
              <w:t>3.00</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3"/>
            </w:pPr>
            <w:r>
              <w:t>3.00</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3"/>
            </w:pPr>
            <w:r>
              <w:t>2.36</w:t>
            </w:r>
          </w:p>
        </w:tc>
        <w:tc>
          <w:tcPr>
            <w:tcW w:w="1361" w:type="dxa"/>
            <w:vAlign w:val="center"/>
          </w:tcPr>
          <w:p>
            <w:pPr>
              <w:pStyle w:val="13"/>
            </w:pPr>
            <w:r>
              <w:t>2.36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3"/>
            </w:pPr>
            <w:r>
              <w:t>2.36</w:t>
            </w:r>
          </w:p>
        </w:tc>
        <w:tc>
          <w:tcPr>
            <w:tcW w:w="1361" w:type="dxa"/>
            <w:vAlign w:val="center"/>
          </w:tcPr>
          <w:p>
            <w:pPr>
              <w:pStyle w:val="13"/>
            </w:pPr>
            <w:r>
              <w:t>2.36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33.91</w:t>
            </w:r>
          </w:p>
        </w:tc>
        <w:tc>
          <w:tcPr>
            <w:tcW w:w="1361" w:type="dxa"/>
            <w:vAlign w:val="center"/>
          </w:tcPr>
          <w:p>
            <w:pPr>
              <w:pStyle w:val="13"/>
            </w:pPr>
            <w:r>
              <w:t>33.91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33.91</w:t>
            </w:r>
          </w:p>
        </w:tc>
        <w:tc>
          <w:tcPr>
            <w:tcW w:w="1361" w:type="dxa"/>
            <w:vAlign w:val="center"/>
          </w:tcPr>
          <w:p>
            <w:pPr>
              <w:pStyle w:val="13"/>
            </w:pPr>
            <w:r>
              <w:t>33.91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3"/>
            </w:pPr>
            <w:r>
              <w:t>33.91</w:t>
            </w:r>
          </w:p>
        </w:tc>
        <w:tc>
          <w:tcPr>
            <w:tcW w:w="1361" w:type="dxa"/>
            <w:vAlign w:val="center"/>
          </w:tcPr>
          <w:p>
            <w:pPr>
              <w:pStyle w:val="13"/>
            </w:pPr>
            <w:r>
              <w:t>33.91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3"/>
            </w:pPr>
            <w:r>
              <w:t>67.93</w:t>
            </w:r>
          </w:p>
        </w:tc>
        <w:tc>
          <w:tcPr>
            <w:tcW w:w="1361" w:type="dxa"/>
            <w:vAlign w:val="center"/>
          </w:tcPr>
          <w:p>
            <w:pPr>
              <w:pStyle w:val="13"/>
            </w:pPr>
            <w:r>
              <w:t>67.93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3"/>
            </w:pPr>
            <w:r>
              <w:t>67.93</w:t>
            </w:r>
          </w:p>
        </w:tc>
        <w:tc>
          <w:tcPr>
            <w:tcW w:w="1361" w:type="dxa"/>
            <w:vAlign w:val="center"/>
          </w:tcPr>
          <w:p>
            <w:pPr>
              <w:pStyle w:val="13"/>
            </w:pPr>
            <w:r>
              <w:t>67.93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3"/>
            </w:pPr>
            <w:r>
              <w:t>67.93</w:t>
            </w:r>
          </w:p>
        </w:tc>
        <w:tc>
          <w:tcPr>
            <w:tcW w:w="1361" w:type="dxa"/>
            <w:vAlign w:val="center"/>
          </w:tcPr>
          <w:p>
            <w:pPr>
              <w:pStyle w:val="13"/>
            </w:pPr>
            <w:r>
              <w:t>67.93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318宁晋县财政局</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1288.77</w:t>
            </w:r>
          </w:p>
        </w:tc>
        <w:tc>
          <w:tcPr>
            <w:tcW w:w="3402" w:type="dxa"/>
            <w:vAlign w:val="center"/>
          </w:tcPr>
          <w:p>
            <w:pPr>
              <w:pStyle w:val="12"/>
            </w:pPr>
            <w:r>
              <w:t>一、一般公共服务支出</w:t>
            </w:r>
          </w:p>
        </w:tc>
        <w:tc>
          <w:tcPr>
            <w:tcW w:w="1474" w:type="dxa"/>
            <w:vAlign w:val="center"/>
          </w:tcPr>
          <w:p>
            <w:pPr>
              <w:pStyle w:val="13"/>
            </w:pPr>
            <w:r>
              <w:t>1045.07</w:t>
            </w:r>
          </w:p>
        </w:tc>
        <w:tc>
          <w:tcPr>
            <w:tcW w:w="1474" w:type="dxa"/>
            <w:vAlign w:val="center"/>
          </w:tcPr>
          <w:p>
            <w:pPr>
              <w:pStyle w:val="13"/>
            </w:pPr>
            <w:r>
              <w:t>1045.07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153.80</w:t>
            </w:r>
          </w:p>
        </w:tc>
        <w:tc>
          <w:tcPr>
            <w:tcW w:w="1474" w:type="dxa"/>
            <w:vAlign w:val="center"/>
          </w:tcPr>
          <w:p>
            <w:pPr>
              <w:pStyle w:val="13"/>
            </w:pPr>
            <w:r>
              <w:t>153.80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33.91</w:t>
            </w:r>
          </w:p>
        </w:tc>
        <w:tc>
          <w:tcPr>
            <w:tcW w:w="1474" w:type="dxa"/>
            <w:vAlign w:val="center"/>
          </w:tcPr>
          <w:p>
            <w:pPr>
              <w:pStyle w:val="13"/>
            </w:pPr>
            <w:r>
              <w:t>33.91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r>
              <w:t>67.93</w:t>
            </w:r>
          </w:p>
        </w:tc>
        <w:tc>
          <w:tcPr>
            <w:tcW w:w="1474" w:type="dxa"/>
            <w:vAlign w:val="center"/>
          </w:tcPr>
          <w:p>
            <w:pPr>
              <w:pStyle w:val="13"/>
            </w:pPr>
            <w:r>
              <w:t>67.93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4"/>
            </w:pPr>
            <w:r>
              <w:t>本年收入合计</w:t>
            </w:r>
          </w:p>
        </w:tc>
        <w:tc>
          <w:tcPr>
            <w:tcW w:w="1474" w:type="dxa"/>
            <w:vAlign w:val="center"/>
          </w:tcPr>
          <w:p>
            <w:pPr>
              <w:pStyle w:val="15"/>
            </w:pPr>
            <w:r>
              <w:t>1288.77</w:t>
            </w:r>
          </w:p>
        </w:tc>
        <w:tc>
          <w:tcPr>
            <w:tcW w:w="3402" w:type="dxa"/>
            <w:vAlign w:val="center"/>
          </w:tcPr>
          <w:p>
            <w:pPr>
              <w:pStyle w:val="14"/>
            </w:pPr>
            <w:r>
              <w:t>本年支出合计</w:t>
            </w:r>
          </w:p>
        </w:tc>
        <w:tc>
          <w:tcPr>
            <w:tcW w:w="1474" w:type="dxa"/>
            <w:vAlign w:val="center"/>
          </w:tcPr>
          <w:p>
            <w:pPr>
              <w:pStyle w:val="15"/>
            </w:pPr>
            <w:r>
              <w:t>1300.71</w:t>
            </w:r>
          </w:p>
        </w:tc>
        <w:tc>
          <w:tcPr>
            <w:tcW w:w="1474" w:type="dxa"/>
            <w:vAlign w:val="center"/>
          </w:tcPr>
          <w:p>
            <w:pPr>
              <w:pStyle w:val="15"/>
            </w:pPr>
            <w:r>
              <w:t>1300.71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年初财政拨款结转和结余</w:t>
            </w:r>
          </w:p>
        </w:tc>
        <w:tc>
          <w:tcPr>
            <w:tcW w:w="1474" w:type="dxa"/>
            <w:vAlign w:val="center"/>
          </w:tcPr>
          <w:p>
            <w:pPr>
              <w:pStyle w:val="13"/>
            </w:pPr>
            <w:r>
              <w:t>11.95</w:t>
            </w: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一、一般公共预算拨款</w:t>
            </w:r>
          </w:p>
        </w:tc>
        <w:tc>
          <w:tcPr>
            <w:tcW w:w="1474" w:type="dxa"/>
            <w:vAlign w:val="center"/>
          </w:tcPr>
          <w:p>
            <w:pPr>
              <w:pStyle w:val="13"/>
            </w:pPr>
            <w:r>
              <w:t>11.95</w:t>
            </w: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3402" w:type="dxa"/>
            <w:vAlign w:val="center"/>
          </w:tcPr>
          <w:p>
            <w:pPr>
              <w:pStyle w:val="14"/>
            </w:pPr>
            <w:r>
              <w:t>收入总计</w:t>
            </w:r>
          </w:p>
        </w:tc>
        <w:tc>
          <w:tcPr>
            <w:tcW w:w="1474" w:type="dxa"/>
            <w:vAlign w:val="center"/>
          </w:tcPr>
          <w:p>
            <w:pPr>
              <w:pStyle w:val="15"/>
            </w:pPr>
            <w:r>
              <w:t>1300.71</w:t>
            </w:r>
          </w:p>
        </w:tc>
        <w:tc>
          <w:tcPr>
            <w:tcW w:w="3402" w:type="dxa"/>
            <w:vAlign w:val="center"/>
          </w:tcPr>
          <w:p>
            <w:pPr>
              <w:pStyle w:val="14"/>
            </w:pPr>
            <w:r>
              <w:t>支出总计</w:t>
            </w:r>
          </w:p>
        </w:tc>
        <w:tc>
          <w:tcPr>
            <w:tcW w:w="1474" w:type="dxa"/>
            <w:vAlign w:val="center"/>
          </w:tcPr>
          <w:p>
            <w:pPr>
              <w:pStyle w:val="15"/>
            </w:pPr>
            <w:r>
              <w:t>1300.71</w:t>
            </w:r>
          </w:p>
        </w:tc>
        <w:tc>
          <w:tcPr>
            <w:tcW w:w="1474" w:type="dxa"/>
            <w:vAlign w:val="center"/>
          </w:tcPr>
          <w:p>
            <w:pPr>
              <w:pStyle w:val="15"/>
            </w:pPr>
            <w:r>
              <w:t>1300.71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318宁晋县财政局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1300.71</w:t>
            </w:r>
          </w:p>
        </w:tc>
        <w:tc>
          <w:tcPr>
            <w:tcW w:w="2551" w:type="dxa"/>
            <w:vAlign w:val="center"/>
          </w:tcPr>
          <w:p>
            <w:pPr>
              <w:pStyle w:val="15"/>
            </w:pPr>
            <w:r>
              <w:t>928.72</w:t>
            </w:r>
          </w:p>
        </w:tc>
        <w:tc>
          <w:tcPr>
            <w:tcW w:w="2551" w:type="dxa"/>
            <w:vAlign w:val="center"/>
          </w:tcPr>
          <w:p>
            <w:pPr>
              <w:pStyle w:val="15"/>
            </w:pPr>
            <w:r>
              <w:t>371.99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1045.07</w:t>
            </w:r>
          </w:p>
        </w:tc>
        <w:tc>
          <w:tcPr>
            <w:tcW w:w="2551" w:type="dxa"/>
            <w:vAlign w:val="center"/>
          </w:tcPr>
          <w:p>
            <w:pPr>
              <w:pStyle w:val="13"/>
            </w:pPr>
            <w:r>
              <w:t>673.08</w:t>
            </w:r>
          </w:p>
        </w:tc>
        <w:tc>
          <w:tcPr>
            <w:tcW w:w="2551" w:type="dxa"/>
            <w:vAlign w:val="center"/>
          </w:tcPr>
          <w:p>
            <w:pPr>
              <w:pStyle w:val="13"/>
            </w:pPr>
            <w:r>
              <w:t>371.99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3"/>
            </w:pPr>
            <w:r>
              <w:t>1045.07</w:t>
            </w:r>
          </w:p>
        </w:tc>
        <w:tc>
          <w:tcPr>
            <w:tcW w:w="2551" w:type="dxa"/>
            <w:vAlign w:val="center"/>
          </w:tcPr>
          <w:p>
            <w:pPr>
              <w:pStyle w:val="13"/>
            </w:pPr>
            <w:r>
              <w:t>673.08</w:t>
            </w:r>
          </w:p>
        </w:tc>
        <w:tc>
          <w:tcPr>
            <w:tcW w:w="2551" w:type="dxa"/>
            <w:vAlign w:val="center"/>
          </w:tcPr>
          <w:p>
            <w:pPr>
              <w:pStyle w:val="13"/>
            </w:pPr>
            <w:r>
              <w:t>371.99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3"/>
            </w:pPr>
            <w:r>
              <w:t>673.08</w:t>
            </w:r>
          </w:p>
        </w:tc>
        <w:tc>
          <w:tcPr>
            <w:tcW w:w="2551" w:type="dxa"/>
            <w:vAlign w:val="center"/>
          </w:tcPr>
          <w:p>
            <w:pPr>
              <w:pStyle w:val="13"/>
            </w:pPr>
            <w:r>
              <w:t>673.08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3"/>
            </w:pPr>
            <w:r>
              <w:t>336.99</w:t>
            </w:r>
          </w:p>
        </w:tc>
        <w:tc>
          <w:tcPr>
            <w:tcW w:w="2551" w:type="dxa"/>
            <w:vAlign w:val="center"/>
          </w:tcPr>
          <w:p>
            <w:pPr>
              <w:pStyle w:val="13"/>
            </w:pPr>
          </w:p>
        </w:tc>
        <w:tc>
          <w:tcPr>
            <w:tcW w:w="2551" w:type="dxa"/>
            <w:vAlign w:val="center"/>
          </w:tcPr>
          <w:p>
            <w:pPr>
              <w:pStyle w:val="13"/>
            </w:pPr>
            <w:r>
              <w:t>336.99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2010606</w:t>
            </w:r>
          </w:p>
        </w:tc>
        <w:tc>
          <w:tcPr>
            <w:tcW w:w="4535" w:type="dxa"/>
            <w:vAlign w:val="center"/>
          </w:tcPr>
          <w:p>
            <w:pPr>
              <w:pStyle w:val="12"/>
            </w:pPr>
            <w:r>
              <w:t>财政监察</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153.80</w:t>
            </w:r>
          </w:p>
        </w:tc>
        <w:tc>
          <w:tcPr>
            <w:tcW w:w="2551" w:type="dxa"/>
            <w:vAlign w:val="center"/>
          </w:tcPr>
          <w:p>
            <w:pPr>
              <w:pStyle w:val="13"/>
            </w:pPr>
            <w:r>
              <w:t>153.80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148.44</w:t>
            </w:r>
          </w:p>
        </w:tc>
        <w:tc>
          <w:tcPr>
            <w:tcW w:w="2551" w:type="dxa"/>
            <w:vAlign w:val="center"/>
          </w:tcPr>
          <w:p>
            <w:pPr>
              <w:pStyle w:val="13"/>
            </w:pPr>
            <w:r>
              <w:t>148.44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3"/>
            </w:pPr>
            <w:r>
              <w:t>63.00</w:t>
            </w:r>
          </w:p>
        </w:tc>
        <w:tc>
          <w:tcPr>
            <w:tcW w:w="2551" w:type="dxa"/>
            <w:vAlign w:val="center"/>
          </w:tcPr>
          <w:p>
            <w:pPr>
              <w:pStyle w:val="13"/>
            </w:pPr>
            <w:r>
              <w:t>63.00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85.44</w:t>
            </w:r>
          </w:p>
        </w:tc>
        <w:tc>
          <w:tcPr>
            <w:tcW w:w="2551" w:type="dxa"/>
            <w:vAlign w:val="center"/>
          </w:tcPr>
          <w:p>
            <w:pPr>
              <w:pStyle w:val="13"/>
            </w:pPr>
            <w:r>
              <w:t>85.44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3"/>
            </w:pPr>
            <w:r>
              <w:t>2.36</w:t>
            </w:r>
          </w:p>
        </w:tc>
        <w:tc>
          <w:tcPr>
            <w:tcW w:w="2551" w:type="dxa"/>
            <w:vAlign w:val="center"/>
          </w:tcPr>
          <w:p>
            <w:pPr>
              <w:pStyle w:val="13"/>
            </w:pPr>
            <w:r>
              <w:t>2.36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3"/>
            </w:pPr>
            <w:r>
              <w:t>2.36</w:t>
            </w:r>
          </w:p>
        </w:tc>
        <w:tc>
          <w:tcPr>
            <w:tcW w:w="2551" w:type="dxa"/>
            <w:vAlign w:val="center"/>
          </w:tcPr>
          <w:p>
            <w:pPr>
              <w:pStyle w:val="13"/>
            </w:pPr>
            <w:r>
              <w:t>2.36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33.91</w:t>
            </w:r>
          </w:p>
        </w:tc>
        <w:tc>
          <w:tcPr>
            <w:tcW w:w="2551" w:type="dxa"/>
            <w:vAlign w:val="center"/>
          </w:tcPr>
          <w:p>
            <w:pPr>
              <w:pStyle w:val="13"/>
            </w:pPr>
            <w:r>
              <w:t>33.91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33.91</w:t>
            </w:r>
          </w:p>
        </w:tc>
        <w:tc>
          <w:tcPr>
            <w:tcW w:w="2551" w:type="dxa"/>
            <w:vAlign w:val="center"/>
          </w:tcPr>
          <w:p>
            <w:pPr>
              <w:pStyle w:val="13"/>
            </w:pPr>
            <w:r>
              <w:t>33.91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33.91</w:t>
            </w:r>
          </w:p>
        </w:tc>
        <w:tc>
          <w:tcPr>
            <w:tcW w:w="2551" w:type="dxa"/>
            <w:vAlign w:val="center"/>
          </w:tcPr>
          <w:p>
            <w:pPr>
              <w:pStyle w:val="13"/>
            </w:pPr>
            <w:r>
              <w:t>33.91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3"/>
            </w:pPr>
            <w:r>
              <w:t>67.93</w:t>
            </w:r>
          </w:p>
        </w:tc>
        <w:tc>
          <w:tcPr>
            <w:tcW w:w="2551" w:type="dxa"/>
            <w:vAlign w:val="center"/>
          </w:tcPr>
          <w:p>
            <w:pPr>
              <w:pStyle w:val="13"/>
            </w:pPr>
            <w:r>
              <w:t>67.93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3"/>
            </w:pPr>
            <w:r>
              <w:t>67.93</w:t>
            </w:r>
          </w:p>
        </w:tc>
        <w:tc>
          <w:tcPr>
            <w:tcW w:w="2551" w:type="dxa"/>
            <w:vAlign w:val="center"/>
          </w:tcPr>
          <w:p>
            <w:pPr>
              <w:pStyle w:val="13"/>
            </w:pPr>
            <w:r>
              <w:t>67.93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3"/>
            </w:pPr>
            <w:r>
              <w:t>67.93</w:t>
            </w:r>
          </w:p>
        </w:tc>
        <w:tc>
          <w:tcPr>
            <w:tcW w:w="2551" w:type="dxa"/>
            <w:vAlign w:val="center"/>
          </w:tcPr>
          <w:p>
            <w:pPr>
              <w:pStyle w:val="13"/>
            </w:pPr>
            <w:r>
              <w:t>67.93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318宁晋县财政局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928.72</w:t>
            </w:r>
          </w:p>
        </w:tc>
        <w:tc>
          <w:tcPr>
            <w:tcW w:w="2551" w:type="dxa"/>
            <w:vAlign w:val="center"/>
          </w:tcPr>
          <w:p>
            <w:pPr>
              <w:pStyle w:val="15"/>
            </w:pPr>
            <w:r>
              <w:t>861.81</w:t>
            </w:r>
          </w:p>
        </w:tc>
        <w:tc>
          <w:tcPr>
            <w:tcW w:w="2551" w:type="dxa"/>
            <w:vAlign w:val="center"/>
          </w:tcPr>
          <w:p>
            <w:pPr>
              <w:pStyle w:val="15"/>
            </w:pPr>
            <w:r>
              <w:t>66.91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795.81</w:t>
            </w:r>
          </w:p>
        </w:tc>
        <w:tc>
          <w:tcPr>
            <w:tcW w:w="2551" w:type="dxa"/>
            <w:vAlign w:val="center"/>
          </w:tcPr>
          <w:p>
            <w:pPr>
              <w:pStyle w:val="13"/>
            </w:pPr>
            <w:r>
              <w:t>795.81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391.08</w:t>
            </w:r>
          </w:p>
        </w:tc>
        <w:tc>
          <w:tcPr>
            <w:tcW w:w="2551" w:type="dxa"/>
            <w:vAlign w:val="center"/>
          </w:tcPr>
          <w:p>
            <w:pPr>
              <w:pStyle w:val="13"/>
            </w:pPr>
            <w:r>
              <w:t>391.08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134.00</w:t>
            </w:r>
          </w:p>
        </w:tc>
        <w:tc>
          <w:tcPr>
            <w:tcW w:w="2551" w:type="dxa"/>
            <w:vAlign w:val="center"/>
          </w:tcPr>
          <w:p>
            <w:pPr>
              <w:pStyle w:val="13"/>
            </w:pPr>
            <w:r>
              <w:t>134.00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46.09</w:t>
            </w:r>
          </w:p>
        </w:tc>
        <w:tc>
          <w:tcPr>
            <w:tcW w:w="2551" w:type="dxa"/>
            <w:vAlign w:val="center"/>
          </w:tcPr>
          <w:p>
            <w:pPr>
              <w:pStyle w:val="13"/>
            </w:pPr>
            <w:r>
              <w:t>46.09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85.44</w:t>
            </w:r>
          </w:p>
        </w:tc>
        <w:tc>
          <w:tcPr>
            <w:tcW w:w="2551" w:type="dxa"/>
            <w:vAlign w:val="center"/>
          </w:tcPr>
          <w:p>
            <w:pPr>
              <w:pStyle w:val="13"/>
            </w:pPr>
            <w:r>
              <w:t>85.44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33.91</w:t>
            </w:r>
          </w:p>
        </w:tc>
        <w:tc>
          <w:tcPr>
            <w:tcW w:w="2551" w:type="dxa"/>
            <w:vAlign w:val="center"/>
          </w:tcPr>
          <w:p>
            <w:pPr>
              <w:pStyle w:val="13"/>
            </w:pPr>
            <w:r>
              <w:t>33.91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2.36</w:t>
            </w:r>
          </w:p>
        </w:tc>
        <w:tc>
          <w:tcPr>
            <w:tcW w:w="2551" w:type="dxa"/>
            <w:vAlign w:val="center"/>
          </w:tcPr>
          <w:p>
            <w:pPr>
              <w:pStyle w:val="13"/>
            </w:pPr>
            <w:r>
              <w:t>2.36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67.93</w:t>
            </w:r>
          </w:p>
        </w:tc>
        <w:tc>
          <w:tcPr>
            <w:tcW w:w="2551" w:type="dxa"/>
            <w:vAlign w:val="center"/>
          </w:tcPr>
          <w:p>
            <w:pPr>
              <w:pStyle w:val="13"/>
            </w:pPr>
            <w:r>
              <w:t>67.93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66.91</w:t>
            </w:r>
          </w:p>
        </w:tc>
        <w:tc>
          <w:tcPr>
            <w:tcW w:w="2551" w:type="dxa"/>
            <w:vAlign w:val="center"/>
          </w:tcPr>
          <w:p>
            <w:pPr>
              <w:pStyle w:val="13"/>
            </w:pPr>
          </w:p>
        </w:tc>
        <w:tc>
          <w:tcPr>
            <w:tcW w:w="2551" w:type="dxa"/>
            <w:vAlign w:val="center"/>
          </w:tcPr>
          <w:p>
            <w:pPr>
              <w:pStyle w:val="13"/>
            </w:pPr>
            <w:r>
              <w:t>66.91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12.87</w:t>
            </w:r>
          </w:p>
        </w:tc>
        <w:tc>
          <w:tcPr>
            <w:tcW w:w="2551" w:type="dxa"/>
            <w:vAlign w:val="center"/>
          </w:tcPr>
          <w:p>
            <w:pPr>
              <w:pStyle w:val="13"/>
            </w:pPr>
          </w:p>
        </w:tc>
        <w:tc>
          <w:tcPr>
            <w:tcW w:w="2551" w:type="dxa"/>
            <w:vAlign w:val="center"/>
          </w:tcPr>
          <w:p>
            <w:pPr>
              <w:pStyle w:val="13"/>
            </w:pPr>
            <w:r>
              <w:t>12.87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12.50</w:t>
            </w:r>
          </w:p>
        </w:tc>
        <w:tc>
          <w:tcPr>
            <w:tcW w:w="2551" w:type="dxa"/>
            <w:vAlign w:val="center"/>
          </w:tcPr>
          <w:p>
            <w:pPr>
              <w:pStyle w:val="13"/>
            </w:pPr>
          </w:p>
        </w:tc>
        <w:tc>
          <w:tcPr>
            <w:tcW w:w="2551" w:type="dxa"/>
            <w:vAlign w:val="center"/>
          </w:tcPr>
          <w:p>
            <w:pPr>
              <w:pStyle w:val="13"/>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3"/>
            </w:pPr>
            <w:r>
              <w:t>0.41</w:t>
            </w:r>
          </w:p>
        </w:tc>
        <w:tc>
          <w:tcPr>
            <w:tcW w:w="2551" w:type="dxa"/>
            <w:vAlign w:val="center"/>
          </w:tcPr>
          <w:p>
            <w:pPr>
              <w:pStyle w:val="13"/>
            </w:pPr>
          </w:p>
        </w:tc>
        <w:tc>
          <w:tcPr>
            <w:tcW w:w="2551" w:type="dxa"/>
            <w:vAlign w:val="center"/>
          </w:tcPr>
          <w:p>
            <w:pPr>
              <w:pStyle w:val="13"/>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3"/>
            </w:pPr>
            <w:r>
              <w:t>1.62</w:t>
            </w:r>
          </w:p>
        </w:tc>
        <w:tc>
          <w:tcPr>
            <w:tcW w:w="2551" w:type="dxa"/>
            <w:vAlign w:val="center"/>
          </w:tcPr>
          <w:p>
            <w:pPr>
              <w:pStyle w:val="13"/>
            </w:pPr>
          </w:p>
        </w:tc>
        <w:tc>
          <w:tcPr>
            <w:tcW w:w="2551" w:type="dxa"/>
            <w:vAlign w:val="center"/>
          </w:tcPr>
          <w:p>
            <w:pPr>
              <w:pStyle w:val="13"/>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3"/>
            </w:pPr>
            <w:r>
              <w:t>0.56</w:t>
            </w:r>
          </w:p>
        </w:tc>
        <w:tc>
          <w:tcPr>
            <w:tcW w:w="2551" w:type="dxa"/>
            <w:vAlign w:val="center"/>
          </w:tcPr>
          <w:p>
            <w:pPr>
              <w:pStyle w:val="13"/>
            </w:pPr>
          </w:p>
        </w:tc>
        <w:tc>
          <w:tcPr>
            <w:tcW w:w="2551" w:type="dxa"/>
            <w:vAlign w:val="center"/>
          </w:tcPr>
          <w:p>
            <w:pPr>
              <w:pStyle w:val="13"/>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7.27</w:t>
            </w:r>
          </w:p>
        </w:tc>
        <w:tc>
          <w:tcPr>
            <w:tcW w:w="2551" w:type="dxa"/>
            <w:vAlign w:val="center"/>
          </w:tcPr>
          <w:p>
            <w:pPr>
              <w:pStyle w:val="13"/>
            </w:pPr>
          </w:p>
        </w:tc>
        <w:tc>
          <w:tcPr>
            <w:tcW w:w="2551" w:type="dxa"/>
            <w:vAlign w:val="center"/>
          </w:tcPr>
          <w:p>
            <w:pPr>
              <w:pStyle w:val="13"/>
            </w:pPr>
            <w:r>
              <w:t>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9.38</w:t>
            </w:r>
          </w:p>
        </w:tc>
        <w:tc>
          <w:tcPr>
            <w:tcW w:w="2551" w:type="dxa"/>
            <w:vAlign w:val="center"/>
          </w:tcPr>
          <w:p>
            <w:pPr>
              <w:pStyle w:val="13"/>
            </w:pPr>
          </w:p>
        </w:tc>
        <w:tc>
          <w:tcPr>
            <w:tcW w:w="2551" w:type="dxa"/>
            <w:vAlign w:val="center"/>
          </w:tcPr>
          <w:p>
            <w:pPr>
              <w:pStyle w:val="13"/>
            </w:pPr>
            <w:r>
              <w:t>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22.00</w:t>
            </w:r>
          </w:p>
        </w:tc>
        <w:tc>
          <w:tcPr>
            <w:tcW w:w="2551" w:type="dxa"/>
            <w:vAlign w:val="center"/>
          </w:tcPr>
          <w:p>
            <w:pPr>
              <w:pStyle w:val="13"/>
            </w:pPr>
          </w:p>
        </w:tc>
        <w:tc>
          <w:tcPr>
            <w:tcW w:w="2551"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66.00</w:t>
            </w:r>
          </w:p>
        </w:tc>
        <w:tc>
          <w:tcPr>
            <w:tcW w:w="2551" w:type="dxa"/>
            <w:vAlign w:val="center"/>
          </w:tcPr>
          <w:p>
            <w:pPr>
              <w:pStyle w:val="13"/>
            </w:pPr>
            <w:r>
              <w:t>66.00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63.00</w:t>
            </w:r>
          </w:p>
        </w:tc>
        <w:tc>
          <w:tcPr>
            <w:tcW w:w="2551" w:type="dxa"/>
            <w:vAlign w:val="center"/>
          </w:tcPr>
          <w:p>
            <w:pPr>
              <w:pStyle w:val="13"/>
            </w:pPr>
            <w:r>
              <w:t>63.00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318宁晋县财政局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318宁晋县财政局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318宁晋县财政局</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宁晋县财政局2023年部门预算信息公开情况说明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宁晋县财政局2023年部门预算信息公开情况说明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按照《预算法》、《地方预决算公开操作规程》和《关于进一步推进预算公开工作的实施意见》规定，现将宁晋县财政局2023年部门预算公开如下：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根据《宁晋县财政局主要职责内设机构和人员编制规定》规定，宁晋县财政局的主要职责是：</w:t>
      </w:r>
    </w:p>
    <w:p>
      <w:pPr>
        <w:pStyle w:val="17"/>
      </w:pPr>
      <w:r>
        <w:t>(一)拟订财税发展战略、规划、政策和改革方案并组织实施。分析预测宏观经济形势,参与制定宏观经济政策,提出运用财税政策实施宏观调控和综合平衡社会财力的建议。拟订县与乡镇（区）、街道、政府与企业的分配政策,完善鼓励公益事业发展的财税政策。</w:t>
      </w:r>
    </w:p>
    <w:p>
      <w:pPr>
        <w:pStyle w:val="17"/>
      </w:pPr>
      <w:r>
        <w:t>(二)贯彻执行财政、财务、会计管理的法律、行政法规、规章,落实相关的地方性法规、政府规章,并监督执行。</w:t>
      </w:r>
    </w:p>
    <w:p>
      <w:pPr>
        <w:pStyle w:val="17"/>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7"/>
      </w:pPr>
      <w:r>
        <w:t>（四）负责执行省、市制定的税收地方性法规、政府规章及实施细则和税收政策调整方案。提出省、市授权税目税率调整、减免和地方税收政策等重大事项的建议。组织推进税收制度改革。</w:t>
      </w:r>
    </w:p>
    <w:p>
      <w:pPr>
        <w:pStyle w:val="17"/>
      </w:pPr>
      <w:r>
        <w:t>(五)按分工负责政府非税收入管理。负责政府性基金管理,按规定管理行政事业性收费。管理财政票据。落实彩票管理政策和有关办法，监管彩票市场，按规定管理彩票资金。</w:t>
      </w:r>
    </w:p>
    <w:p>
      <w:pPr>
        <w:pStyle w:val="17"/>
      </w:pPr>
      <w:r>
        <w:t>(六)研究制定国库管理制度、国库集中收付制度,指导和监督县级国库业务,开展国库现金管理工作。制定政府财务报告编制办法并组织实施。制定政府采购制度并监督管理。</w:t>
      </w:r>
    </w:p>
    <w:p>
      <w:pPr>
        <w:pStyle w:val="17"/>
      </w:pPr>
      <w:r>
        <w:t>(七)执行政府债务管理制度和政策,拟订具体办法。负责政府债务限额管理、债券发行和还本付息等工作。执行国家外债管理政策,拟订具体办法,管理县政府国外债权、债务。开展对外财经交流。</w:t>
      </w:r>
    </w:p>
    <w:p>
      <w:pPr>
        <w:pStyle w:val="17"/>
      </w:pPr>
      <w:r>
        <w:t>(八)牵头编制国有资产管理情况报告。根据县政府授权,集中统一履行县级国有金融资本出资人职责。执行国有金融资本管理规章制度,制定具体办法。拟订行政事业单位国有资产管理制度并组织实施,制定需要全县统一规定的开支标准和支出政策。</w:t>
      </w:r>
    </w:p>
    <w:p>
      <w:pPr>
        <w:pStyle w:val="17"/>
      </w:pPr>
      <w:r>
        <w:t>(九)负责审核并汇总编制全县国有资本经营预决算草案,组织实施国有资本经营预算制度,制定具体办法,收取县属企业国有资本收益。组织实施企业财务制度。负责财政预算内行政事业单位和社会团体的非贸易外汇管理。</w:t>
      </w:r>
    </w:p>
    <w:p>
      <w:pPr>
        <w:pStyle w:val="17"/>
      </w:pPr>
      <w:r>
        <w:t>(十)负责审核并汇总编制全县社会保险基金预决算草案,会同有关部门拟订有关资金(基金)财务管理制度并组织实施。承担社会保险基金财政监管工作。</w:t>
      </w:r>
    </w:p>
    <w:p>
      <w:pPr>
        <w:pStyle w:val="17"/>
      </w:pPr>
      <w:r>
        <w:t>(十一)负责办理和监督县级财政的经济发展支出、县级政府性投资项目的财政拨款,参与拟订县级建设投资的有关政策,制定基建财务管理制度。负责财政预算评审管理。</w:t>
      </w:r>
    </w:p>
    <w:p>
      <w:pPr>
        <w:pStyle w:val="17"/>
      </w:pPr>
      <w:r>
        <w:t>(十二)负责管理全县会计工作,监督和规范会计行为,组织实施会计制度,指导和监督注册会计师和会计师事务所的业务,指导和管理社会审计。依法管理资产评估有关工作。</w:t>
      </w:r>
    </w:p>
    <w:p>
      <w:pPr>
        <w:pStyle w:val="17"/>
      </w:pPr>
      <w:r>
        <w:t>(十三)根据县政府授权,依照《中华人民共和国企业国有资产法》《中华人民共和国公司法》等法律和行政法规履行出资人职责,履行部分国有金融资本出资人职责,监管履行出资人职责企业的国有资产,加强国有资产的管理工作。</w:t>
      </w:r>
    </w:p>
    <w:p>
      <w:pPr>
        <w:pStyle w:val="17"/>
      </w:pPr>
      <w:r>
        <w:t>(十四)承担监督所监管企业国有资产保值增值的责任;建立和完善国有资产保值增值指标体系、拟订考核标准,通过统计、稽核对所监管企业国有资产的保值增值情况进行监管；优化考核分配，完善激励约束机制，健全所监管企业收入分配管理和调控体系，负责所监管企业工资分配管理工作，制定所监管企业负责人收入分配政策并组织实施。</w:t>
      </w:r>
    </w:p>
    <w:p>
      <w:pPr>
        <w:pStyle w:val="17"/>
      </w:pPr>
      <w:r>
        <w:t>（十五）研究建立国有资本运作制度，制定国有资本运作规划；推动国有资本规范运作，履行出资人职责的国有资本投资、运营公司开展国有资本运营；根据调整和优化国有资本布局结构的要求，指导所监管企业对所从事的金融业务加强管理；组织指导有关投资基金的设立和运作；履行多元投资主体企业股东职责有关工作。</w:t>
      </w:r>
    </w:p>
    <w:p>
      <w:pPr>
        <w:pStyle w:val="17"/>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债。</w:t>
      </w:r>
    </w:p>
    <w:p>
      <w:pPr>
        <w:pStyle w:val="17"/>
      </w:pPr>
      <w:r>
        <w:t>（十七）负责通过法定程序对所监管企业负责人进行任免、考核，并根据其经营业绩进行奖惩。</w:t>
      </w:r>
    </w:p>
    <w:p>
      <w:pPr>
        <w:pStyle w:val="17"/>
      </w:pPr>
      <w:r>
        <w:t>（十八）负责组织所监管企业上交国有资本收益,参与制定国有资本经营预算有关管理制度和办法,按照有关规定负责国有资本经营预决算编制和执行等工作。</w:t>
      </w:r>
    </w:p>
    <w:p>
      <w:pPr>
        <w:pStyle w:val="17"/>
      </w:pPr>
      <w:r>
        <w:t>（十九）负责有关监督成果的利用工作，分类处置、督办和深入核查监督检查发现移交的问题，对共性问题组织开展专项核查，组织开展国有资产重点损失调查，提出有关责任追究的意见建议。</w:t>
      </w:r>
    </w:p>
    <w:p>
      <w:pPr>
        <w:pStyle w:val="17"/>
      </w:pPr>
      <w:r>
        <w:t>（二十）按照出资人职责，负责督促检查所监管企业贯彻落实国家安全生产方针政策及有关法律法规、标准等工作。</w:t>
      </w:r>
    </w:p>
    <w:p>
      <w:pPr>
        <w:pStyle w:val="17"/>
      </w:pPr>
      <w:r>
        <w:t>（二十一）负责企业国有资产基础管理，贯彻落实国家和省、市有关国有资产管理的法律法规，起草我县国有资产管理的制度和办法，报县政府批准后组织实施。依法对乡镇（区）、街道国有资产管理工作进行指导和监督。</w:t>
      </w:r>
    </w:p>
    <w:p>
      <w:pPr>
        <w:pStyle w:val="17"/>
      </w:pPr>
      <w:r>
        <w:t>（二十二）建立健全党建工作责任制，完善企业党建工作考核评价体系，开展所监管企业党建工作考核；指导所监管企业开展党的建设工作。</w:t>
      </w:r>
    </w:p>
    <w:p>
      <w:pPr>
        <w:pStyle w:val="17"/>
      </w:pPr>
      <w:r>
        <w:t>（二十三）负责对巡视巡察、专项检查、审计中发现问题的整改；指导所监管企业对巡视巡察、专项检查、审计中发现问题的整改。</w:t>
      </w:r>
    </w:p>
    <w:p>
      <w:pPr>
        <w:pStyle w:val="17"/>
      </w:pPr>
      <w:r>
        <w:t>（二十四）负责所监管企业的稳定工作。</w:t>
      </w:r>
    </w:p>
    <w:p>
      <w:pPr>
        <w:pStyle w:val="17"/>
      </w:pPr>
      <w:r>
        <w:t>(二十五)完成县委、县政府交办的其他任务。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宁晋县财政局本级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按照预算管理有关规定，目前我省部门预算的编制实行综合预算管理，即全部收入和支出都反映在预算中。宁晋县财政局机关及所属事业单位的收支包含在部门预算中。</w:t>
      </w:r>
    </w:p>
    <w:p>
      <w:pPr>
        <w:pStyle w:val="18"/>
      </w:pPr>
      <w:r>
        <w:t>2023年财政局部门预算总收入1300.71万元，较2022年预算总收入（1301.17万元）减少0.46万元，减少0.035%，其中公共预算拨款1288.77万元，上年结转结余11.95万元。2023年财政局部门预算总支出1300.71万元，较2022年预算总支出（1301.17万元）减少0.46万元，减少0.035%，其中，人员经费支出861.81万元，较2022年（806.89万）增加54.92万元，增加6.81%。日常公用经费支出66.91万元，较2022年（64.35万元）增加2.56万元，增加3.98%。项目支出371.99万元，较2022年（429.93万元）减少57.94万元，减少13.48%。</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9"/>
      </w:pPr>
      <w:r>
        <w:t>我局机关2023年日常公用经费共计安排66.91万元，较2022年（64.35万元）增加2.56万元。其中，基础定额类支出安排49.7万元，其中办公费12.87万元，邮电费12.5万元，差旅费0.3万元，维修费0.41万元，会议费1.62万元，公务交通补贴22万元；按规定比例计提类支出安排17.21万元，其中公务接待费0.56万元，工会经费7.27万元，福利费9.38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一般公共预算财政拨款共计安排我局2023年度“三公”经费预算额度0.56万元，与2022年的0.56万元持平，未安排公务出国经费和公务用车购置及运维费。其中，公务接待支出额度0.56万元，与2022年（0.56万元）持平。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rPr>
          <w:rFonts w:hint="default"/>
          <w:lang w:val="en-US" w:eastAsia="zh-CN"/>
        </w:rPr>
      </w:pPr>
      <w:r>
        <w:rPr>
          <w:rFonts w:ascii="方正楷体_GBK" w:hAnsi="方正楷体_GBK" w:eastAsia="方正楷体_GBK" w:cs="方正楷体_GBK"/>
          <w:b/>
          <w:color w:val="000000"/>
          <w:sz w:val="32"/>
        </w:rPr>
        <w:t>第一部分 部门整体绩效目标</w:t>
      </w:r>
      <w:bookmarkStart w:id="18" w:name="_GoBack"/>
      <w:bookmarkEnd w:id="18"/>
      <w:r>
        <w:rPr>
          <w:rFonts w:hint="default"/>
          <w:lang w:val="en-US" w:eastAsia="zh-CN"/>
        </w:rPr>
        <w:t xml:space="preserve"> </w:t>
      </w:r>
    </w:p>
    <w:p>
      <w:pPr>
        <w:pStyle w:val="21"/>
      </w:pPr>
      <w:r>
        <w:rPr>
          <w:rFonts w:hint="eastAsia"/>
          <w:lang w:eastAsia="zh-CN"/>
        </w:rPr>
        <w:t>（</w:t>
      </w:r>
      <w:r>
        <w:t>一</w:t>
      </w:r>
      <w:r>
        <w:rPr>
          <w:rFonts w:hint="eastAsia"/>
          <w:lang w:eastAsia="zh-CN"/>
        </w:rPr>
        <w:t>）</w:t>
      </w:r>
      <w:r>
        <w:t>总体绩效目标</w:t>
      </w:r>
    </w:p>
    <w:p>
      <w:pPr>
        <w:pStyle w:val="21"/>
      </w:pPr>
      <w:r>
        <w:rPr>
          <w:rFonts w:hint="default"/>
          <w:lang w:val="en-US"/>
        </w:rPr>
        <w:t>1.</w:t>
      </w:r>
      <w:r>
        <w:t>强力组织收入。科学制定收入目标，坚持“以旬保月、以月保季、以季保年”，加强调度，推动各项目标顺利完成；充分发挥综合治税作用，着力解决偷、漏、逃税等问题，确保应收尽收；加强非税收入管理，确保实现财政收入量质齐升。</w:t>
      </w:r>
    </w:p>
    <w:p>
      <w:pPr>
        <w:pStyle w:val="21"/>
      </w:pPr>
      <w:r>
        <w:rPr>
          <w:rFonts w:hint="default"/>
          <w:lang w:val="en-US"/>
        </w:rPr>
        <w:t>2.</w:t>
      </w:r>
      <w:r>
        <w:t>统筹安排支出。一是倾力保民生保重点。确保个人支出、公用经费提标、民生配套等重点支出足额落实，全力保障县委、县政府重点工作部署。二是切实加快支出进度。加强督导协调，强化责任追究，将支出进度与预算安排挂钩，提高部门单位对财政支出工作的重视程度，更好发挥财政资金对社会经济发展的拉动作用。</w:t>
      </w:r>
    </w:p>
    <w:p>
      <w:pPr>
        <w:pStyle w:val="21"/>
      </w:pPr>
      <w:r>
        <w:rPr>
          <w:rFonts w:hint="default"/>
          <w:lang w:val="en-US"/>
        </w:rPr>
        <w:t>3.</w:t>
      </w:r>
      <w:r>
        <w:t>深化财政改革。一是深化绩效预算管理改革。二是推进国库电子支付改革。三是完善县乡财政体制改革。明晰县乡事权和支出责任，合理划分县乡政府间利益分配关系，激发乡镇（区）增收积极性，加快县域经济发展步伐。</w:t>
      </w:r>
    </w:p>
    <w:p>
      <w:pPr>
        <w:pStyle w:val="21"/>
      </w:pPr>
      <w:r>
        <w:rPr>
          <w:rFonts w:hint="default"/>
          <w:lang w:val="en-US"/>
        </w:rPr>
        <w:t>4.</w:t>
      </w:r>
      <w:r>
        <w:t>改进财政资金使用管理。一是优化财政资金配置。二是强化资金统筹整合。三是发挥财政资金引导放大作用。</w:t>
      </w:r>
    </w:p>
    <w:p>
      <w:pPr>
        <w:pStyle w:val="21"/>
      </w:pPr>
      <w:r>
        <w:rPr>
          <w:rFonts w:hint="default"/>
          <w:lang w:val="en-US"/>
        </w:rPr>
        <w:t>5.</w:t>
      </w:r>
      <w:r>
        <w:t>再促工作提质提效。按照精简程序、理清环节、分清责任、明确标准的要求，进一步健全和优化财政管理工作流程，推进工作流程再优化，使预算编制、执行、监督等各项工作制度依据完备、流程规范顺畅，努力实现各环节间的无缝衔接。同时，加强与部门沟通协调，将财政服务关口和重心前移，赢得领导、部门、群众的理解和认可。</w:t>
      </w:r>
    </w:p>
    <w:p>
      <w:pPr>
        <w:spacing w:before="0" w:after="0" w:line="500" w:lineRule="exact"/>
        <w:ind w:firstLine="560"/>
        <w:jc w:val="left"/>
        <w:outlineLvl w:val="9"/>
      </w:pPr>
      <w:r>
        <w:rPr>
          <w:rFonts w:hint="eastAsia" w:ascii="Times New Roman" w:hAnsi="Times New Roman" w:eastAsia="方正仿宋_GBK" w:cs="Times New Roman"/>
          <w:color w:val="000000"/>
          <w:sz w:val="28"/>
          <w:lang w:eastAsia="zh-CN"/>
        </w:rPr>
        <w:t>（二）</w:t>
      </w:r>
      <w:r>
        <w:rPr>
          <w:rFonts w:ascii="Times New Roman" w:hAnsi="Times New Roman" w:eastAsia="方正仿宋_GBK" w:cs="Times New Roman"/>
          <w:color w:val="000000"/>
          <w:sz w:val="28"/>
        </w:rPr>
        <w:t>分项绩效目标</w:t>
      </w:r>
    </w:p>
    <w:p>
      <w:pPr>
        <w:pStyle w:val="22"/>
      </w:pPr>
      <w:r>
        <w:rPr>
          <w:rFonts w:hint="default"/>
          <w:lang w:val="en-US"/>
        </w:rPr>
        <w:t>1.</w:t>
      </w:r>
      <w:r>
        <w:t>狠抓财政收入，总量创历史新高 ;</w:t>
      </w:r>
    </w:p>
    <w:p>
      <w:pPr>
        <w:pStyle w:val="22"/>
      </w:pPr>
      <w:r>
        <w:rPr>
          <w:rFonts w:hint="default"/>
          <w:lang w:val="en-US"/>
        </w:rPr>
        <w:t>2.</w:t>
      </w:r>
      <w:r>
        <w:t>统筹安排支出，倾力保民生保重点 ;</w:t>
      </w:r>
    </w:p>
    <w:p>
      <w:pPr>
        <w:pStyle w:val="22"/>
      </w:pPr>
      <w:r>
        <w:rPr>
          <w:rFonts w:hint="default"/>
          <w:lang w:val="en-US"/>
        </w:rPr>
        <w:t>3.</w:t>
      </w:r>
      <w:r>
        <w:t>深化财政改革，有效提升管理水平;</w:t>
      </w:r>
    </w:p>
    <w:p>
      <w:pPr>
        <w:pStyle w:val="22"/>
      </w:pPr>
      <w:r>
        <w:rPr>
          <w:rFonts w:hint="default"/>
          <w:lang w:val="en-US"/>
        </w:rPr>
        <w:t>4.</w:t>
      </w:r>
      <w:r>
        <w:t>发挥财政职能，增强服务保障能力。</w:t>
      </w:r>
    </w:p>
    <w:p>
      <w:pPr>
        <w:spacing w:before="0" w:after="0" w:line="500" w:lineRule="exact"/>
        <w:ind w:firstLine="560"/>
        <w:jc w:val="left"/>
        <w:outlineLvl w:val="9"/>
      </w:pPr>
      <w:r>
        <w:rPr>
          <w:rFonts w:hint="eastAsia" w:ascii="Times New Roman" w:hAnsi="Times New Roman" w:eastAsia="方正仿宋_GBK" w:cs="Times New Roman"/>
          <w:color w:val="000000"/>
          <w:sz w:val="28"/>
          <w:lang w:eastAsia="zh-CN"/>
        </w:rPr>
        <w:t>（三）</w:t>
      </w:r>
      <w:r>
        <w:rPr>
          <w:rFonts w:ascii="Times New Roman" w:hAnsi="Times New Roman" w:eastAsia="方正仿宋_GBK" w:cs="Times New Roman"/>
          <w:color w:val="000000"/>
          <w:sz w:val="28"/>
        </w:rPr>
        <w:t>工作保障措施</w:t>
      </w:r>
    </w:p>
    <w:p>
      <w:pPr>
        <w:pStyle w:val="23"/>
      </w:pPr>
      <w:r>
        <w:rPr>
          <w:rFonts w:hint="default"/>
          <w:lang w:val="en-US"/>
        </w:rPr>
        <w:t>1.</w:t>
      </w:r>
      <w:r>
        <w:t>争取上级资金。深入研究政策变化，及早准确预判、科学谋划、精心梳理、快速反应，并加大争跑力度，确保转移支付资金和政府债券占比持续增长，让改革红利更多惠及宁晋。围绕提高县本级财税收入，深入开展综合治税,结合安全生产、环保治理、打非治违等专项行动，在重点领域和行业开展以电、以地测税，实现堵漏增收。强化运输、车船、建筑等行业税收征管措施，防止税源流失。进一步优化营商环境，完善优惠政策。吸引大项目、好项目落地宁晋，确保财税收入持续增长。围绕吸引社会资本做好产业基金和PPP项目，增加对基础设施和主导产业的投入。</w:t>
      </w:r>
    </w:p>
    <w:p>
      <w:pPr>
        <w:pStyle w:val="23"/>
      </w:pPr>
      <w:r>
        <w:rPr>
          <w:rFonts w:hint="default"/>
          <w:lang w:val="en-US"/>
        </w:rPr>
        <w:t>2.</w:t>
      </w:r>
      <w:r>
        <w:t>优化支出结构，做到有保有压。在“保工资、保运转、保民生”的基础上，落实上级财政部门和县委、县政府要求，大力压减公用经费和一般性支出。持续关注改善民生，提升民生支出占全部财政支出比重，切实保障教育、医疗卫生、社保就业、住房保障等民生支出。严格落实强农惠农政策，强力支持精准扶贫；扎实推进村级公益事业“一事一议”财政奖补工作，支持美丽乡村建设，提高农村公共服务水平，促进城乡一体化发展。</w:t>
      </w:r>
    </w:p>
    <w:p>
      <w:pPr>
        <w:pStyle w:val="23"/>
      </w:pPr>
      <w:r>
        <w:rPr>
          <w:rFonts w:hint="default"/>
          <w:lang w:val="en-US"/>
        </w:rPr>
        <w:t>3.</w:t>
      </w:r>
      <w:r>
        <w:t>完善绩效预算管理，搞好绩效评价，强化结果应用，打造全省标杆；推进国库电子支付改革，切实加快支出效率；研发政府采购评审专家网上抽取系统，完善协议供货采购，探索建立项目评审绩效评价制度，建立项目评审情况反馈机制，制定预算类项目材料价格管理办法，使财政评审定价有标准，更具公信力；建设优质融资平台，构建规范、高效的公司管理机制，开展PPP等合作模式，真正实现市场化运作，引导社会资本加大在我县的投资力度。</w:t>
      </w:r>
    </w:p>
    <w:p>
      <w:pPr>
        <w:pStyle w:val="23"/>
      </w:pPr>
      <w:r>
        <w:rPr>
          <w:rFonts w:hint="default"/>
          <w:lang w:val="en-US"/>
        </w:rPr>
        <w:t>4.</w:t>
      </w:r>
      <w:r>
        <w:t>实施财政工作绩效管理考核。首先是深化绩效预算管理改革，科学精细编制2023年预算，强化预算刚性约束，实施动态绩效跟踪、监管、评价，及时纠偏，强化奖惩，真正实现“花钱必问效，无效必问责”。其次是拓展绩效管理内涵，把预算公开、政府采购、投资评审、税收征管、争取上级资金、项目支出进度、节支措施、资金申报拨付流程等纳入绩效管理考核，与财力挂钩，使绩效管理更加科学规范。</w:t>
      </w:r>
    </w:p>
    <w:p>
      <w:pPr>
        <w:pStyle w:val="23"/>
      </w:pPr>
      <w:r>
        <w:rPr>
          <w:rFonts w:hint="default"/>
          <w:lang w:val="en-US"/>
        </w:rPr>
        <w:t>5.</w:t>
      </w:r>
      <w:r>
        <w:t>加强学习培训，打造专家型财政。开展国学、法律、业务知识、财经法规、公文写作等多种学习活动，使广大干部职工学习着、进步着，为全县财政改革与发展奠定雄厚的人才基础。</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1、财政会计与监督检查绩效目标表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开展小型调研次数</w:t>
            </w:r>
          </w:p>
        </w:tc>
        <w:tc>
          <w:tcPr>
            <w:tcW w:w="2835" w:type="dxa"/>
            <w:vAlign w:val="center"/>
          </w:tcPr>
          <w:p>
            <w:pPr>
              <w:pStyle w:val="12"/>
            </w:pPr>
            <w:r>
              <w:t>开展小型调研次数</w:t>
            </w:r>
          </w:p>
        </w:tc>
        <w:tc>
          <w:tcPr>
            <w:tcW w:w="2551" w:type="dxa"/>
            <w:vAlign w:val="center"/>
          </w:tcPr>
          <w:p>
            <w:pPr>
              <w:pStyle w:val="12"/>
            </w:pPr>
            <w:r>
              <w:t>≥95.95</w:t>
            </w:r>
          </w:p>
        </w:tc>
        <w:tc>
          <w:tcPr>
            <w:tcW w:w="2268" w:type="dxa"/>
            <w:vAlign w:val="center"/>
          </w:tcPr>
          <w:p>
            <w:pPr>
              <w:pStyle w:val="12"/>
            </w:pPr>
            <w:r>
              <w:t>开展小型调研次数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项目按期结项率（%）</w:t>
            </w:r>
          </w:p>
        </w:tc>
        <w:tc>
          <w:tcPr>
            <w:tcW w:w="2835" w:type="dxa"/>
            <w:vAlign w:val="center"/>
          </w:tcPr>
          <w:p>
            <w:pPr>
              <w:pStyle w:val="12"/>
            </w:pPr>
            <w:r>
              <w:t>项目按期结项率（%）</w:t>
            </w:r>
          </w:p>
        </w:tc>
        <w:tc>
          <w:tcPr>
            <w:tcW w:w="2551" w:type="dxa"/>
            <w:vAlign w:val="center"/>
          </w:tcPr>
          <w:p>
            <w:pPr>
              <w:pStyle w:val="12"/>
            </w:pPr>
            <w:r>
              <w:t>≥95.95</w:t>
            </w:r>
          </w:p>
        </w:tc>
        <w:tc>
          <w:tcPr>
            <w:tcW w:w="2268" w:type="dxa"/>
            <w:vAlign w:val="center"/>
          </w:tcPr>
          <w:p>
            <w:pPr>
              <w:pStyle w:val="12"/>
            </w:pPr>
            <w:r>
              <w:t>项目按期结项率（%）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2835" w:type="dxa"/>
            <w:vAlign w:val="center"/>
          </w:tcPr>
          <w:p>
            <w:pPr>
              <w:pStyle w:val="12"/>
            </w:pPr>
            <w:r>
              <w:t>数据统计工作上报时限；国有资产日常管理业务时限</w:t>
            </w:r>
          </w:p>
        </w:tc>
        <w:tc>
          <w:tcPr>
            <w:tcW w:w="2551" w:type="dxa"/>
            <w:vAlign w:val="center"/>
          </w:tcPr>
          <w:p>
            <w:pPr>
              <w:pStyle w:val="12"/>
            </w:pPr>
            <w:r>
              <w:t>≥95.95</w:t>
            </w:r>
          </w:p>
        </w:tc>
        <w:tc>
          <w:tcPr>
            <w:tcW w:w="2268" w:type="dxa"/>
            <w:vAlign w:val="center"/>
          </w:tcPr>
          <w:p>
            <w:pPr>
              <w:pStyle w:val="12"/>
            </w:pPr>
            <w:r>
              <w:t>数据统计工作上报时限；国有资产日常管理业务时限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完成工作需要的资金</w:t>
            </w:r>
          </w:p>
        </w:tc>
        <w:tc>
          <w:tcPr>
            <w:tcW w:w="2835" w:type="dxa"/>
            <w:vAlign w:val="center"/>
          </w:tcPr>
          <w:p>
            <w:pPr>
              <w:pStyle w:val="12"/>
            </w:pPr>
            <w:r>
              <w:t>完成工作需要的资金</w:t>
            </w:r>
          </w:p>
        </w:tc>
        <w:tc>
          <w:tcPr>
            <w:tcW w:w="2551" w:type="dxa"/>
            <w:vAlign w:val="center"/>
          </w:tcPr>
          <w:p>
            <w:pPr>
              <w:pStyle w:val="12"/>
            </w:pPr>
            <w:r>
              <w:t>≥95.95</w:t>
            </w:r>
          </w:p>
        </w:tc>
        <w:tc>
          <w:tcPr>
            <w:tcW w:w="2268" w:type="dxa"/>
            <w:vAlign w:val="center"/>
          </w:tcPr>
          <w:p>
            <w:pPr>
              <w:pStyle w:val="12"/>
            </w:pPr>
            <w:r>
              <w:t>完成工作需要的资金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≥95.95</w:t>
            </w:r>
          </w:p>
        </w:tc>
        <w:tc>
          <w:tcPr>
            <w:tcW w:w="2268" w:type="dxa"/>
            <w:vAlign w:val="center"/>
          </w:tcPr>
          <w:p>
            <w:pPr>
              <w:pStyle w:val="12"/>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激励效果</w:t>
            </w:r>
          </w:p>
        </w:tc>
        <w:tc>
          <w:tcPr>
            <w:tcW w:w="2835" w:type="dxa"/>
            <w:vAlign w:val="center"/>
          </w:tcPr>
          <w:p>
            <w:pPr>
              <w:pStyle w:val="12"/>
            </w:pPr>
            <w:r>
              <w:t>激励效果</w:t>
            </w:r>
          </w:p>
        </w:tc>
        <w:tc>
          <w:tcPr>
            <w:tcW w:w="2551" w:type="dxa"/>
            <w:vAlign w:val="center"/>
          </w:tcPr>
          <w:p>
            <w:pPr>
              <w:pStyle w:val="12"/>
            </w:pPr>
            <w:r>
              <w:t>≥95.95</w:t>
            </w:r>
          </w:p>
        </w:tc>
        <w:tc>
          <w:tcPr>
            <w:tcW w:w="2268" w:type="dxa"/>
            <w:vAlign w:val="center"/>
          </w:tcPr>
          <w:p>
            <w:pPr>
              <w:pStyle w:val="12"/>
            </w:pPr>
            <w:r>
              <w:t>激励效果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2835" w:type="dxa"/>
            <w:vAlign w:val="center"/>
          </w:tcPr>
          <w:p>
            <w:pPr>
              <w:pStyle w:val="12"/>
            </w:pPr>
            <w:r>
              <w:t>生态效益增长率</w:t>
            </w:r>
          </w:p>
        </w:tc>
        <w:tc>
          <w:tcPr>
            <w:tcW w:w="2551" w:type="dxa"/>
            <w:vAlign w:val="center"/>
          </w:tcPr>
          <w:p>
            <w:pPr>
              <w:pStyle w:val="12"/>
            </w:pPr>
            <w:r>
              <w:t>≥95.95</w:t>
            </w:r>
          </w:p>
        </w:tc>
        <w:tc>
          <w:tcPr>
            <w:tcW w:w="2268" w:type="dxa"/>
            <w:vAlign w:val="center"/>
          </w:tcPr>
          <w:p>
            <w:pPr>
              <w:pStyle w:val="12"/>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业务办理率</w:t>
            </w:r>
          </w:p>
        </w:tc>
        <w:tc>
          <w:tcPr>
            <w:tcW w:w="2835" w:type="dxa"/>
            <w:vAlign w:val="center"/>
          </w:tcPr>
          <w:p>
            <w:pPr>
              <w:pStyle w:val="12"/>
            </w:pPr>
            <w:r>
              <w:t>业务办理率</w:t>
            </w:r>
          </w:p>
        </w:tc>
        <w:tc>
          <w:tcPr>
            <w:tcW w:w="2551" w:type="dxa"/>
            <w:vAlign w:val="center"/>
          </w:tcPr>
          <w:p>
            <w:pPr>
              <w:pStyle w:val="12"/>
            </w:pPr>
            <w:r>
              <w:t>≥95.95</w:t>
            </w:r>
          </w:p>
        </w:tc>
        <w:tc>
          <w:tcPr>
            <w:tcW w:w="2268" w:type="dxa"/>
            <w:vAlign w:val="center"/>
          </w:tcPr>
          <w:p>
            <w:pPr>
              <w:pStyle w:val="12"/>
            </w:pPr>
            <w:r>
              <w:t>业务办理率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≥95.95</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2、财政专项业务费绩效目标表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2835" w:type="dxa"/>
            <w:vAlign w:val="center"/>
          </w:tcPr>
          <w:p>
            <w:pPr>
              <w:pStyle w:val="12"/>
            </w:pPr>
            <w:r>
              <w:t>执行公开率(%)</w:t>
            </w:r>
          </w:p>
        </w:tc>
        <w:tc>
          <w:tcPr>
            <w:tcW w:w="2551" w:type="dxa"/>
            <w:vAlign w:val="center"/>
          </w:tcPr>
          <w:p>
            <w:pPr>
              <w:pStyle w:val="12"/>
            </w:pPr>
            <w:r>
              <w:t>≥95.95</w:t>
            </w:r>
          </w:p>
        </w:tc>
        <w:tc>
          <w:tcPr>
            <w:tcW w:w="2268" w:type="dxa"/>
            <w:vAlign w:val="center"/>
          </w:tcPr>
          <w:p>
            <w:pPr>
              <w:pStyle w:val="12"/>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2835" w:type="dxa"/>
            <w:vAlign w:val="center"/>
          </w:tcPr>
          <w:p>
            <w:pPr>
              <w:pStyle w:val="12"/>
            </w:pPr>
            <w:r>
              <w:t>正常使用率</w:t>
            </w:r>
          </w:p>
        </w:tc>
        <w:tc>
          <w:tcPr>
            <w:tcW w:w="2551" w:type="dxa"/>
            <w:vAlign w:val="center"/>
          </w:tcPr>
          <w:p>
            <w:pPr>
              <w:pStyle w:val="12"/>
            </w:pPr>
            <w:r>
              <w:t>≥95.95</w:t>
            </w:r>
          </w:p>
        </w:tc>
        <w:tc>
          <w:tcPr>
            <w:tcW w:w="2268" w:type="dxa"/>
            <w:vAlign w:val="center"/>
          </w:tcPr>
          <w:p>
            <w:pPr>
              <w:pStyle w:val="12"/>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支付时间</w:t>
            </w:r>
          </w:p>
        </w:tc>
        <w:tc>
          <w:tcPr>
            <w:tcW w:w="2835" w:type="dxa"/>
            <w:vAlign w:val="center"/>
          </w:tcPr>
          <w:p>
            <w:pPr>
              <w:pStyle w:val="12"/>
            </w:pPr>
            <w:r>
              <w:t>支付时间</w:t>
            </w:r>
          </w:p>
        </w:tc>
        <w:tc>
          <w:tcPr>
            <w:tcW w:w="2551" w:type="dxa"/>
            <w:vAlign w:val="center"/>
          </w:tcPr>
          <w:p>
            <w:pPr>
              <w:pStyle w:val="12"/>
            </w:pPr>
            <w:r>
              <w:t>≥95.95</w:t>
            </w:r>
          </w:p>
        </w:tc>
        <w:tc>
          <w:tcPr>
            <w:tcW w:w="2268" w:type="dxa"/>
            <w:vAlign w:val="center"/>
          </w:tcPr>
          <w:p>
            <w:pPr>
              <w:pStyle w:val="12"/>
            </w:pPr>
            <w:r>
              <w:t>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t>≥95.95</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办公经费、专用材料费</w:t>
            </w:r>
          </w:p>
        </w:tc>
        <w:tc>
          <w:tcPr>
            <w:tcW w:w="2835" w:type="dxa"/>
            <w:vAlign w:val="center"/>
          </w:tcPr>
          <w:p>
            <w:pPr>
              <w:pStyle w:val="12"/>
            </w:pPr>
            <w:r>
              <w:t>办公经费、专用材料费</w:t>
            </w:r>
          </w:p>
        </w:tc>
        <w:tc>
          <w:tcPr>
            <w:tcW w:w="2551" w:type="dxa"/>
            <w:vAlign w:val="center"/>
          </w:tcPr>
          <w:p>
            <w:pPr>
              <w:pStyle w:val="12"/>
            </w:pPr>
            <w:r>
              <w:t>≥95.95</w:t>
            </w:r>
          </w:p>
        </w:tc>
        <w:tc>
          <w:tcPr>
            <w:tcW w:w="2268" w:type="dxa"/>
            <w:vAlign w:val="center"/>
          </w:tcPr>
          <w:p>
            <w:pPr>
              <w:pStyle w:val="12"/>
            </w:pPr>
            <w:r>
              <w:t>办公经费、专用材料费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2835" w:type="dxa"/>
            <w:vAlign w:val="center"/>
          </w:tcPr>
          <w:p>
            <w:pPr>
              <w:pStyle w:val="12"/>
            </w:pPr>
            <w:r>
              <w:t>提供优质服务</w:t>
            </w:r>
          </w:p>
        </w:tc>
        <w:tc>
          <w:tcPr>
            <w:tcW w:w="2551" w:type="dxa"/>
            <w:vAlign w:val="center"/>
          </w:tcPr>
          <w:p>
            <w:pPr>
              <w:pStyle w:val="12"/>
            </w:pPr>
            <w:r>
              <w:t>≥95.95</w:t>
            </w:r>
          </w:p>
        </w:tc>
        <w:tc>
          <w:tcPr>
            <w:tcW w:w="2268" w:type="dxa"/>
            <w:vAlign w:val="center"/>
          </w:tcPr>
          <w:p>
            <w:pPr>
              <w:pStyle w:val="12"/>
            </w:pPr>
            <w:r>
              <w:t>提供优质服务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≥95.95</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创造性转化，创新性发展</w:t>
            </w:r>
          </w:p>
        </w:tc>
        <w:tc>
          <w:tcPr>
            <w:tcW w:w="2835" w:type="dxa"/>
            <w:vAlign w:val="center"/>
          </w:tcPr>
          <w:p>
            <w:pPr>
              <w:pStyle w:val="12"/>
            </w:pPr>
            <w:r>
              <w:t>创造性转化，创新性发展</w:t>
            </w:r>
          </w:p>
        </w:tc>
        <w:tc>
          <w:tcPr>
            <w:tcW w:w="2551" w:type="dxa"/>
            <w:vAlign w:val="center"/>
          </w:tcPr>
          <w:p>
            <w:pPr>
              <w:pStyle w:val="12"/>
            </w:pPr>
            <w:r>
              <w:t>≥95.95</w:t>
            </w:r>
          </w:p>
        </w:tc>
        <w:tc>
          <w:tcPr>
            <w:tcW w:w="2268" w:type="dxa"/>
            <w:vAlign w:val="center"/>
          </w:tcPr>
          <w:p>
            <w:pPr>
              <w:pStyle w:val="12"/>
            </w:pPr>
            <w:r>
              <w:t>创造性转化，创新性发展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≥95.95</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3、档案室档案整理费绩效目标表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制作电子档案份数</w:t>
            </w:r>
          </w:p>
        </w:tc>
        <w:tc>
          <w:tcPr>
            <w:tcW w:w="2835" w:type="dxa"/>
            <w:vAlign w:val="center"/>
          </w:tcPr>
          <w:p>
            <w:pPr>
              <w:pStyle w:val="12"/>
            </w:pPr>
            <w:r>
              <w:t>制作电子档案份数</w:t>
            </w:r>
          </w:p>
        </w:tc>
        <w:tc>
          <w:tcPr>
            <w:tcW w:w="2551" w:type="dxa"/>
            <w:vAlign w:val="center"/>
          </w:tcPr>
          <w:p>
            <w:pPr>
              <w:pStyle w:val="12"/>
            </w:pPr>
            <w:r>
              <w:t>≥95.95</w:t>
            </w:r>
          </w:p>
        </w:tc>
        <w:tc>
          <w:tcPr>
            <w:tcW w:w="2268" w:type="dxa"/>
            <w:vAlign w:val="center"/>
          </w:tcPr>
          <w:p>
            <w:pPr>
              <w:pStyle w:val="12"/>
            </w:pPr>
            <w:r>
              <w:t>制作电子档案份数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数字化档案验收合格率</w:t>
            </w:r>
          </w:p>
        </w:tc>
        <w:tc>
          <w:tcPr>
            <w:tcW w:w="2835" w:type="dxa"/>
            <w:vAlign w:val="center"/>
          </w:tcPr>
          <w:p>
            <w:pPr>
              <w:pStyle w:val="12"/>
            </w:pPr>
            <w:r>
              <w:t>数字化档案验收合格率</w:t>
            </w:r>
          </w:p>
        </w:tc>
        <w:tc>
          <w:tcPr>
            <w:tcW w:w="2551" w:type="dxa"/>
            <w:vAlign w:val="center"/>
          </w:tcPr>
          <w:p>
            <w:pPr>
              <w:pStyle w:val="12"/>
            </w:pPr>
            <w:r>
              <w:t>≥95.95</w:t>
            </w:r>
          </w:p>
        </w:tc>
        <w:tc>
          <w:tcPr>
            <w:tcW w:w="2268" w:type="dxa"/>
            <w:vAlign w:val="center"/>
          </w:tcPr>
          <w:p>
            <w:pPr>
              <w:pStyle w:val="12"/>
            </w:pPr>
            <w:r>
              <w:t>数字化档案验收合格率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≥95.95</w:t>
            </w:r>
          </w:p>
        </w:tc>
        <w:tc>
          <w:tcPr>
            <w:tcW w:w="2268" w:type="dxa"/>
            <w:vAlign w:val="center"/>
          </w:tcPr>
          <w:p>
            <w:pPr>
              <w:pStyle w:val="12"/>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2835" w:type="dxa"/>
            <w:vAlign w:val="center"/>
          </w:tcPr>
          <w:p>
            <w:pPr>
              <w:pStyle w:val="12"/>
            </w:pPr>
            <w:r>
              <w:t>项目实际成本</w:t>
            </w:r>
          </w:p>
        </w:tc>
        <w:tc>
          <w:tcPr>
            <w:tcW w:w="2551" w:type="dxa"/>
            <w:vAlign w:val="center"/>
          </w:tcPr>
          <w:p>
            <w:pPr>
              <w:pStyle w:val="12"/>
            </w:pPr>
            <w:r>
              <w:t>≥95.95</w:t>
            </w:r>
          </w:p>
        </w:tc>
        <w:tc>
          <w:tcPr>
            <w:tcW w:w="2268" w:type="dxa"/>
            <w:vAlign w:val="center"/>
          </w:tcPr>
          <w:p>
            <w:pPr>
              <w:pStyle w:val="12"/>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≥95.95</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≥95.95</w:t>
            </w:r>
          </w:p>
        </w:tc>
        <w:tc>
          <w:tcPr>
            <w:tcW w:w="2268" w:type="dxa"/>
            <w:vAlign w:val="center"/>
          </w:tcPr>
          <w:p>
            <w:pPr>
              <w:pStyle w:val="12"/>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2835" w:type="dxa"/>
            <w:vAlign w:val="center"/>
          </w:tcPr>
          <w:p>
            <w:pPr>
              <w:pStyle w:val="12"/>
            </w:pPr>
            <w:r>
              <w:t>生态影响</w:t>
            </w:r>
          </w:p>
        </w:tc>
        <w:tc>
          <w:tcPr>
            <w:tcW w:w="2551" w:type="dxa"/>
            <w:vAlign w:val="center"/>
          </w:tcPr>
          <w:p>
            <w:pPr>
              <w:pStyle w:val="12"/>
            </w:pPr>
            <w:r>
              <w:t>≥95.95</w:t>
            </w:r>
          </w:p>
        </w:tc>
        <w:tc>
          <w:tcPr>
            <w:tcW w:w="2268" w:type="dxa"/>
            <w:vAlign w:val="center"/>
          </w:tcPr>
          <w:p>
            <w:pPr>
              <w:pStyle w:val="12"/>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工程使用年限</w:t>
            </w:r>
          </w:p>
        </w:tc>
        <w:tc>
          <w:tcPr>
            <w:tcW w:w="2551" w:type="dxa"/>
            <w:vAlign w:val="center"/>
          </w:tcPr>
          <w:p>
            <w:pPr>
              <w:pStyle w:val="12"/>
            </w:pPr>
            <w:r>
              <w:t>≥95.95</w:t>
            </w:r>
          </w:p>
        </w:tc>
        <w:tc>
          <w:tcPr>
            <w:tcW w:w="2268" w:type="dxa"/>
            <w:vAlign w:val="center"/>
          </w:tcPr>
          <w:p>
            <w:pPr>
              <w:pStyle w:val="12"/>
            </w:pPr>
            <w:r>
              <w:t>工程使用年限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≥95.95</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4、非财政开支人员1月份工资及保险绩效目标表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1.保证人员1月份工资及保险及时足额到位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★享受公益性岗位补贴人数</w:t>
            </w:r>
          </w:p>
        </w:tc>
        <w:tc>
          <w:tcPr>
            <w:tcW w:w="2835" w:type="dxa"/>
            <w:vAlign w:val="center"/>
          </w:tcPr>
          <w:p>
            <w:pPr>
              <w:pStyle w:val="12"/>
            </w:pPr>
            <w:r>
              <w:t>享受公益性岗位补贴人数</w:t>
            </w:r>
          </w:p>
        </w:tc>
        <w:tc>
          <w:tcPr>
            <w:tcW w:w="2551" w:type="dxa"/>
            <w:vAlign w:val="center"/>
          </w:tcPr>
          <w:p>
            <w:pPr>
              <w:pStyle w:val="12"/>
            </w:pPr>
            <w:r>
              <w:t>≥1001</w:t>
            </w:r>
          </w:p>
        </w:tc>
        <w:tc>
          <w:tcPr>
            <w:tcW w:w="2268" w:type="dxa"/>
            <w:vAlign w:val="center"/>
          </w:tcPr>
          <w:p>
            <w:pPr>
              <w:pStyle w:val="12"/>
            </w:pPr>
            <w:r>
              <w:t>享受公益性岗位补贴人数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2835" w:type="dxa"/>
            <w:vAlign w:val="center"/>
          </w:tcPr>
          <w:p>
            <w:pPr>
              <w:pStyle w:val="12"/>
            </w:pPr>
            <w:r>
              <w:t>公益性岗位补贴发放准确率</w:t>
            </w:r>
          </w:p>
        </w:tc>
        <w:tc>
          <w:tcPr>
            <w:tcW w:w="2551" w:type="dxa"/>
            <w:vAlign w:val="center"/>
          </w:tcPr>
          <w:p>
            <w:pPr>
              <w:pStyle w:val="12"/>
            </w:pPr>
            <w:r>
              <w:t>≥1001</w:t>
            </w:r>
          </w:p>
        </w:tc>
        <w:tc>
          <w:tcPr>
            <w:tcW w:w="2268" w:type="dxa"/>
            <w:vAlign w:val="center"/>
          </w:tcPr>
          <w:p>
            <w:pPr>
              <w:pStyle w:val="12"/>
            </w:pPr>
            <w:r>
              <w:t>公益性岗位补贴发放准确率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资金在规定时间内下达率</w:t>
            </w:r>
          </w:p>
        </w:tc>
        <w:tc>
          <w:tcPr>
            <w:tcW w:w="2835" w:type="dxa"/>
            <w:vAlign w:val="center"/>
          </w:tcPr>
          <w:p>
            <w:pPr>
              <w:pStyle w:val="12"/>
            </w:pPr>
            <w:r>
              <w:t>资金在规定时间内下达率</w:t>
            </w:r>
          </w:p>
        </w:tc>
        <w:tc>
          <w:tcPr>
            <w:tcW w:w="2551" w:type="dxa"/>
            <w:vAlign w:val="center"/>
          </w:tcPr>
          <w:p>
            <w:pPr>
              <w:pStyle w:val="12"/>
            </w:pPr>
            <w:r>
              <w:t>≥1001</w:t>
            </w:r>
          </w:p>
        </w:tc>
        <w:tc>
          <w:tcPr>
            <w:tcW w:w="2268" w:type="dxa"/>
            <w:vAlign w:val="center"/>
          </w:tcPr>
          <w:p>
            <w:pPr>
              <w:pStyle w:val="12"/>
            </w:pPr>
            <w:r>
              <w:t>资金在规定时间内下达率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2835" w:type="dxa"/>
            <w:vAlign w:val="center"/>
          </w:tcPr>
          <w:p>
            <w:pPr>
              <w:pStyle w:val="12"/>
            </w:pPr>
            <w:r>
              <w:t>公益性岗位补贴人均标</w:t>
            </w:r>
          </w:p>
        </w:tc>
        <w:tc>
          <w:tcPr>
            <w:tcW w:w="2551" w:type="dxa"/>
            <w:vAlign w:val="center"/>
          </w:tcPr>
          <w:p>
            <w:pPr>
              <w:pStyle w:val="12"/>
            </w:pPr>
            <w:r>
              <w:t>≥1001</w:t>
            </w:r>
          </w:p>
        </w:tc>
        <w:tc>
          <w:tcPr>
            <w:tcW w:w="2268" w:type="dxa"/>
            <w:vAlign w:val="center"/>
          </w:tcPr>
          <w:p>
            <w:pPr>
              <w:pStyle w:val="12"/>
            </w:pPr>
            <w:r>
              <w:t>公益性岗位补贴人均标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★★★发放公益性岗位补贴金额</w:t>
            </w:r>
          </w:p>
        </w:tc>
        <w:tc>
          <w:tcPr>
            <w:tcW w:w="2835" w:type="dxa"/>
            <w:vAlign w:val="center"/>
          </w:tcPr>
          <w:p>
            <w:pPr>
              <w:pStyle w:val="12"/>
            </w:pPr>
            <w:r>
              <w:t>发放公益性岗位补贴金额</w:t>
            </w:r>
          </w:p>
        </w:tc>
        <w:tc>
          <w:tcPr>
            <w:tcW w:w="2551" w:type="dxa"/>
            <w:vAlign w:val="center"/>
          </w:tcPr>
          <w:p>
            <w:pPr>
              <w:pStyle w:val="12"/>
            </w:pPr>
            <w:r>
              <w:t>≥1001</w:t>
            </w:r>
          </w:p>
        </w:tc>
        <w:tc>
          <w:tcPr>
            <w:tcW w:w="2268" w:type="dxa"/>
            <w:vAlign w:val="center"/>
          </w:tcPr>
          <w:p>
            <w:pPr>
              <w:pStyle w:val="12"/>
            </w:pPr>
            <w:r>
              <w:t>发放公益性岗位补贴金额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≥1001</w:t>
            </w:r>
          </w:p>
        </w:tc>
        <w:tc>
          <w:tcPr>
            <w:tcW w:w="2268" w:type="dxa"/>
            <w:vAlign w:val="center"/>
          </w:tcPr>
          <w:p>
            <w:pPr>
              <w:pStyle w:val="12"/>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就业困难人员就业人数</w:t>
            </w:r>
          </w:p>
        </w:tc>
        <w:tc>
          <w:tcPr>
            <w:tcW w:w="2835" w:type="dxa"/>
            <w:vAlign w:val="center"/>
          </w:tcPr>
          <w:p>
            <w:pPr>
              <w:pStyle w:val="12"/>
            </w:pPr>
            <w:r>
              <w:t>就业困难人员就业人数</w:t>
            </w:r>
          </w:p>
        </w:tc>
        <w:tc>
          <w:tcPr>
            <w:tcW w:w="2551" w:type="dxa"/>
            <w:vAlign w:val="center"/>
          </w:tcPr>
          <w:p>
            <w:pPr>
              <w:pStyle w:val="12"/>
            </w:pPr>
            <w:r>
              <w:t>≥1001</w:t>
            </w:r>
          </w:p>
        </w:tc>
        <w:tc>
          <w:tcPr>
            <w:tcW w:w="2268" w:type="dxa"/>
            <w:vAlign w:val="center"/>
          </w:tcPr>
          <w:p>
            <w:pPr>
              <w:pStyle w:val="12"/>
            </w:pPr>
            <w:r>
              <w:t>就业困难人员就业人数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零就业家庭帮扶率</w:t>
            </w:r>
          </w:p>
        </w:tc>
        <w:tc>
          <w:tcPr>
            <w:tcW w:w="2835" w:type="dxa"/>
            <w:vAlign w:val="center"/>
          </w:tcPr>
          <w:p>
            <w:pPr>
              <w:pStyle w:val="12"/>
            </w:pPr>
            <w:r>
              <w:t>零就业家庭帮扶率</w:t>
            </w:r>
          </w:p>
        </w:tc>
        <w:tc>
          <w:tcPr>
            <w:tcW w:w="2551" w:type="dxa"/>
            <w:vAlign w:val="center"/>
          </w:tcPr>
          <w:p>
            <w:pPr>
              <w:pStyle w:val="12"/>
            </w:pPr>
            <w:r>
              <w:t>≥1001</w:t>
            </w:r>
          </w:p>
        </w:tc>
        <w:tc>
          <w:tcPr>
            <w:tcW w:w="2268" w:type="dxa"/>
            <w:vAlign w:val="center"/>
          </w:tcPr>
          <w:p>
            <w:pPr>
              <w:pStyle w:val="12"/>
            </w:pPr>
            <w:r>
              <w:t>零就业家庭帮扶率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2835" w:type="dxa"/>
            <w:vAlign w:val="center"/>
          </w:tcPr>
          <w:p>
            <w:pPr>
              <w:pStyle w:val="12"/>
            </w:pPr>
            <w:r>
              <w:t>受益贫困人口满意度</w:t>
            </w:r>
          </w:p>
        </w:tc>
        <w:tc>
          <w:tcPr>
            <w:tcW w:w="2551" w:type="dxa"/>
            <w:vAlign w:val="center"/>
          </w:tcPr>
          <w:p>
            <w:pPr>
              <w:pStyle w:val="12"/>
            </w:pPr>
            <w:r>
              <w:t>≥1001</w:t>
            </w:r>
          </w:p>
        </w:tc>
        <w:tc>
          <w:tcPr>
            <w:tcW w:w="2268" w:type="dxa"/>
            <w:vAlign w:val="center"/>
          </w:tcPr>
          <w:p>
            <w:pPr>
              <w:pStyle w:val="12"/>
            </w:pPr>
            <w:r>
              <w:t>受益贫困人口满意度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5、公益岗人员经费绩效目标表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招募公益岗人员</w:t>
            </w:r>
          </w:p>
        </w:tc>
        <w:tc>
          <w:tcPr>
            <w:tcW w:w="2835" w:type="dxa"/>
            <w:vAlign w:val="center"/>
          </w:tcPr>
          <w:p>
            <w:pPr>
              <w:pStyle w:val="12"/>
            </w:pPr>
            <w:r>
              <w:t>招募“公益岗”人员</w:t>
            </w:r>
          </w:p>
        </w:tc>
        <w:tc>
          <w:tcPr>
            <w:tcW w:w="2551" w:type="dxa"/>
            <w:vAlign w:val="center"/>
          </w:tcPr>
          <w:p>
            <w:pPr>
              <w:pStyle w:val="12"/>
            </w:pPr>
            <w:r>
              <w:t>≥1001</w:t>
            </w:r>
          </w:p>
        </w:tc>
        <w:tc>
          <w:tcPr>
            <w:tcW w:w="2268" w:type="dxa"/>
            <w:vAlign w:val="center"/>
          </w:tcPr>
          <w:p>
            <w:pPr>
              <w:pStyle w:val="12"/>
            </w:pPr>
            <w:r>
              <w:t>招募“公益岗”人员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2835" w:type="dxa"/>
            <w:vAlign w:val="center"/>
          </w:tcPr>
          <w:p>
            <w:pPr>
              <w:pStyle w:val="12"/>
            </w:pPr>
            <w:r>
              <w:t>资金发放率</w:t>
            </w:r>
          </w:p>
        </w:tc>
        <w:tc>
          <w:tcPr>
            <w:tcW w:w="2551" w:type="dxa"/>
            <w:vAlign w:val="center"/>
          </w:tcPr>
          <w:p>
            <w:pPr>
              <w:pStyle w:val="12"/>
            </w:pPr>
            <w:r>
              <w:t>≥1001</w:t>
            </w:r>
          </w:p>
        </w:tc>
        <w:tc>
          <w:tcPr>
            <w:tcW w:w="2268" w:type="dxa"/>
            <w:vAlign w:val="center"/>
          </w:tcPr>
          <w:p>
            <w:pPr>
              <w:pStyle w:val="12"/>
            </w:pPr>
            <w:r>
              <w:t>资金发放率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任务完成及时率</w:t>
            </w:r>
          </w:p>
        </w:tc>
        <w:tc>
          <w:tcPr>
            <w:tcW w:w="2551" w:type="dxa"/>
            <w:vAlign w:val="center"/>
          </w:tcPr>
          <w:p>
            <w:pPr>
              <w:pStyle w:val="12"/>
            </w:pPr>
            <w:r>
              <w:t>≥1001</w:t>
            </w:r>
          </w:p>
        </w:tc>
        <w:tc>
          <w:tcPr>
            <w:tcW w:w="2268" w:type="dxa"/>
            <w:vAlign w:val="center"/>
          </w:tcPr>
          <w:p>
            <w:pPr>
              <w:pStyle w:val="12"/>
            </w:pPr>
            <w:r>
              <w:t>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2835" w:type="dxa"/>
            <w:vAlign w:val="center"/>
          </w:tcPr>
          <w:p>
            <w:pPr>
              <w:pStyle w:val="12"/>
            </w:pPr>
            <w:r>
              <w:t>预算执行</w:t>
            </w:r>
          </w:p>
        </w:tc>
        <w:tc>
          <w:tcPr>
            <w:tcW w:w="2551" w:type="dxa"/>
            <w:vAlign w:val="center"/>
          </w:tcPr>
          <w:p>
            <w:pPr>
              <w:pStyle w:val="12"/>
            </w:pPr>
            <w:r>
              <w:t>≥1001</w:t>
            </w:r>
          </w:p>
        </w:tc>
        <w:tc>
          <w:tcPr>
            <w:tcW w:w="2268" w:type="dxa"/>
            <w:vAlign w:val="center"/>
          </w:tcPr>
          <w:p>
            <w:pPr>
              <w:pStyle w:val="12"/>
            </w:pPr>
            <w:r>
              <w:t>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2835" w:type="dxa"/>
            <w:vAlign w:val="center"/>
          </w:tcPr>
          <w:p>
            <w:pPr>
              <w:pStyle w:val="12"/>
            </w:pPr>
            <w:r>
              <w:t>公共服务水平提升情况</w:t>
            </w:r>
          </w:p>
        </w:tc>
        <w:tc>
          <w:tcPr>
            <w:tcW w:w="2551" w:type="dxa"/>
            <w:vAlign w:val="center"/>
          </w:tcPr>
          <w:p>
            <w:pPr>
              <w:pStyle w:val="12"/>
            </w:pPr>
            <w:r>
              <w:t>≥1001</w:t>
            </w:r>
          </w:p>
        </w:tc>
        <w:tc>
          <w:tcPr>
            <w:tcW w:w="2268" w:type="dxa"/>
            <w:vAlign w:val="center"/>
          </w:tcPr>
          <w:p>
            <w:pPr>
              <w:pStyle w:val="12"/>
            </w:pPr>
            <w:r>
              <w:t>公共服务水平提升情况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岗位配置率</w:t>
            </w:r>
          </w:p>
          <w:p>
            <w:pPr>
              <w:pStyle w:val="12"/>
            </w:pPr>
          </w:p>
          <w:p>
            <w:pPr>
              <w:pStyle w:val="12"/>
            </w:pPr>
          </w:p>
        </w:tc>
        <w:tc>
          <w:tcPr>
            <w:tcW w:w="2835" w:type="dxa"/>
            <w:vAlign w:val="center"/>
          </w:tcPr>
          <w:p>
            <w:pPr>
              <w:pStyle w:val="12"/>
            </w:pPr>
            <w:r>
              <w:t>岗位配置率</w:t>
            </w:r>
          </w:p>
          <w:p>
            <w:pPr>
              <w:pStyle w:val="12"/>
            </w:pPr>
          </w:p>
          <w:p>
            <w:pPr>
              <w:pStyle w:val="12"/>
            </w:pPr>
          </w:p>
        </w:tc>
        <w:tc>
          <w:tcPr>
            <w:tcW w:w="2551" w:type="dxa"/>
            <w:vAlign w:val="center"/>
          </w:tcPr>
          <w:p>
            <w:pPr>
              <w:pStyle w:val="12"/>
            </w:pPr>
            <w:r>
              <w:t>≥1001</w:t>
            </w:r>
          </w:p>
        </w:tc>
        <w:tc>
          <w:tcPr>
            <w:tcW w:w="2268" w:type="dxa"/>
            <w:vAlign w:val="center"/>
          </w:tcPr>
          <w:p>
            <w:pPr>
              <w:pStyle w:val="12"/>
            </w:pPr>
            <w:r>
              <w:t>岗位配置率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≥1001</w:t>
            </w:r>
          </w:p>
        </w:tc>
        <w:tc>
          <w:tcPr>
            <w:tcW w:w="2268" w:type="dxa"/>
            <w:vAlign w:val="center"/>
          </w:tcPr>
          <w:p>
            <w:pPr>
              <w:pStyle w:val="12"/>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2835" w:type="dxa"/>
            <w:vAlign w:val="center"/>
          </w:tcPr>
          <w:p>
            <w:pPr>
              <w:pStyle w:val="12"/>
            </w:pPr>
            <w:r>
              <w:t>保障业务工作情况</w:t>
            </w:r>
          </w:p>
        </w:tc>
        <w:tc>
          <w:tcPr>
            <w:tcW w:w="2551" w:type="dxa"/>
            <w:vAlign w:val="center"/>
          </w:tcPr>
          <w:p>
            <w:pPr>
              <w:pStyle w:val="12"/>
            </w:pPr>
            <w:r>
              <w:t>≥1001</w:t>
            </w:r>
          </w:p>
        </w:tc>
        <w:tc>
          <w:tcPr>
            <w:tcW w:w="2268" w:type="dxa"/>
            <w:vAlign w:val="center"/>
          </w:tcPr>
          <w:p>
            <w:pPr>
              <w:pStyle w:val="12"/>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≥1001</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pPr>
            <w:r>
              <w:t>完成项目数量</w:t>
            </w:r>
          </w:p>
        </w:tc>
        <w:tc>
          <w:tcPr>
            <w:tcW w:w="2551" w:type="dxa"/>
            <w:vAlign w:val="center"/>
          </w:tcPr>
          <w:p>
            <w:pPr>
              <w:pStyle w:val="12"/>
            </w:pPr>
            <w:r>
              <w:t>≥98.98</w:t>
            </w:r>
          </w:p>
        </w:tc>
        <w:tc>
          <w:tcPr>
            <w:tcW w:w="2268" w:type="dxa"/>
            <w:vAlign w:val="center"/>
          </w:tcPr>
          <w:p>
            <w:pPr>
              <w:pStyle w:val="12"/>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工程按时完成率（%）</w:t>
            </w:r>
          </w:p>
        </w:tc>
        <w:tc>
          <w:tcPr>
            <w:tcW w:w="2835" w:type="dxa"/>
            <w:vAlign w:val="center"/>
          </w:tcPr>
          <w:p>
            <w:pPr>
              <w:pStyle w:val="12"/>
            </w:pPr>
            <w:r>
              <w:t>工程按时完成率（%）</w:t>
            </w:r>
          </w:p>
        </w:tc>
        <w:tc>
          <w:tcPr>
            <w:tcW w:w="2551" w:type="dxa"/>
            <w:vAlign w:val="center"/>
          </w:tcPr>
          <w:p>
            <w:pPr>
              <w:pStyle w:val="12"/>
            </w:pPr>
            <w:r>
              <w:t>≥98.98</w:t>
            </w:r>
          </w:p>
        </w:tc>
        <w:tc>
          <w:tcPr>
            <w:tcW w:w="2268" w:type="dxa"/>
            <w:vAlign w:val="center"/>
          </w:tcPr>
          <w:p>
            <w:pPr>
              <w:pStyle w:val="12"/>
            </w:pPr>
            <w:r>
              <w:t>工程按时完成率（%）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2835" w:type="dxa"/>
            <w:vAlign w:val="center"/>
          </w:tcPr>
          <w:p>
            <w:pPr>
              <w:pStyle w:val="12"/>
            </w:pPr>
            <w:r>
              <w:t>完成工作时间</w:t>
            </w:r>
          </w:p>
        </w:tc>
        <w:tc>
          <w:tcPr>
            <w:tcW w:w="2551" w:type="dxa"/>
            <w:vAlign w:val="center"/>
          </w:tcPr>
          <w:p>
            <w:pPr>
              <w:pStyle w:val="12"/>
            </w:pPr>
            <w:r>
              <w:t>≥98.98</w:t>
            </w:r>
          </w:p>
        </w:tc>
        <w:tc>
          <w:tcPr>
            <w:tcW w:w="2268" w:type="dxa"/>
            <w:vAlign w:val="center"/>
          </w:tcPr>
          <w:p>
            <w:pPr>
              <w:pStyle w:val="12"/>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2835" w:type="dxa"/>
            <w:vAlign w:val="center"/>
          </w:tcPr>
          <w:p>
            <w:pPr>
              <w:pStyle w:val="12"/>
            </w:pPr>
            <w:r>
              <w:t>项目完成总成本</w:t>
            </w:r>
          </w:p>
        </w:tc>
        <w:tc>
          <w:tcPr>
            <w:tcW w:w="2551" w:type="dxa"/>
            <w:vAlign w:val="center"/>
          </w:tcPr>
          <w:p>
            <w:pPr>
              <w:pStyle w:val="12"/>
            </w:pPr>
            <w:r>
              <w:t>≥98.98</w:t>
            </w:r>
          </w:p>
        </w:tc>
        <w:tc>
          <w:tcPr>
            <w:tcW w:w="2268" w:type="dxa"/>
            <w:vAlign w:val="center"/>
          </w:tcPr>
          <w:p>
            <w:pPr>
              <w:pStyle w:val="12"/>
            </w:pPr>
            <w:r>
              <w:t>项目完成总成本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≥98.98</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选拔专业人才</w:t>
            </w:r>
          </w:p>
        </w:tc>
        <w:tc>
          <w:tcPr>
            <w:tcW w:w="2835" w:type="dxa"/>
            <w:vAlign w:val="center"/>
          </w:tcPr>
          <w:p>
            <w:pPr>
              <w:pStyle w:val="12"/>
            </w:pPr>
            <w:r>
              <w:t>选拔专业人才</w:t>
            </w:r>
          </w:p>
        </w:tc>
        <w:tc>
          <w:tcPr>
            <w:tcW w:w="2551" w:type="dxa"/>
            <w:vAlign w:val="center"/>
          </w:tcPr>
          <w:p>
            <w:pPr>
              <w:pStyle w:val="12"/>
            </w:pPr>
            <w:r>
              <w:t>≥98.98</w:t>
            </w:r>
          </w:p>
        </w:tc>
        <w:tc>
          <w:tcPr>
            <w:tcW w:w="2268" w:type="dxa"/>
            <w:vAlign w:val="center"/>
          </w:tcPr>
          <w:p>
            <w:pPr>
              <w:pStyle w:val="12"/>
            </w:pPr>
            <w:r>
              <w:t>选拔专业人才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2835" w:type="dxa"/>
            <w:vAlign w:val="center"/>
          </w:tcPr>
          <w:p>
            <w:pPr>
              <w:pStyle w:val="12"/>
            </w:pPr>
            <w:r>
              <w:t>生态影响</w:t>
            </w:r>
          </w:p>
        </w:tc>
        <w:tc>
          <w:tcPr>
            <w:tcW w:w="2551" w:type="dxa"/>
            <w:vAlign w:val="center"/>
          </w:tcPr>
          <w:p>
            <w:pPr>
              <w:pStyle w:val="12"/>
            </w:pPr>
            <w:r>
              <w:t>≥98.98</w:t>
            </w:r>
          </w:p>
        </w:tc>
        <w:tc>
          <w:tcPr>
            <w:tcW w:w="2268" w:type="dxa"/>
            <w:vAlign w:val="center"/>
          </w:tcPr>
          <w:p>
            <w:pPr>
              <w:pStyle w:val="12"/>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人数</w:t>
            </w:r>
          </w:p>
        </w:tc>
        <w:tc>
          <w:tcPr>
            <w:tcW w:w="2835" w:type="dxa"/>
            <w:vAlign w:val="center"/>
          </w:tcPr>
          <w:p>
            <w:pPr>
              <w:pStyle w:val="12"/>
            </w:pPr>
            <w:r>
              <w:t>人数</w:t>
            </w:r>
          </w:p>
        </w:tc>
        <w:tc>
          <w:tcPr>
            <w:tcW w:w="2551" w:type="dxa"/>
            <w:vAlign w:val="center"/>
          </w:tcPr>
          <w:p>
            <w:pPr>
              <w:pStyle w:val="12"/>
            </w:pPr>
            <w:r>
              <w:t>≥98.98</w:t>
            </w:r>
          </w:p>
        </w:tc>
        <w:tc>
          <w:tcPr>
            <w:tcW w:w="2268" w:type="dxa"/>
            <w:vAlign w:val="center"/>
          </w:tcPr>
          <w:p>
            <w:pPr>
              <w:pStyle w:val="12"/>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≥98.98</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7、全县财政业务知识学习与培训绩效目标表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培训班次。</w:t>
            </w:r>
          </w:p>
        </w:tc>
        <w:tc>
          <w:tcPr>
            <w:tcW w:w="2835" w:type="dxa"/>
            <w:vAlign w:val="center"/>
          </w:tcPr>
          <w:p>
            <w:pPr>
              <w:pStyle w:val="12"/>
            </w:pPr>
            <w:r>
              <w:t>培训班次。</w:t>
            </w:r>
          </w:p>
        </w:tc>
        <w:tc>
          <w:tcPr>
            <w:tcW w:w="2551" w:type="dxa"/>
            <w:vAlign w:val="center"/>
          </w:tcPr>
          <w:p>
            <w:pPr>
              <w:pStyle w:val="12"/>
            </w:pPr>
            <w:r>
              <w:t>≥95.95</w:t>
            </w:r>
          </w:p>
        </w:tc>
        <w:tc>
          <w:tcPr>
            <w:tcW w:w="2268" w:type="dxa"/>
            <w:vAlign w:val="center"/>
          </w:tcPr>
          <w:p>
            <w:pPr>
              <w:pStyle w:val="12"/>
            </w:pPr>
            <w:r>
              <w:t>培训班次。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培训完成率</w:t>
            </w:r>
          </w:p>
        </w:tc>
        <w:tc>
          <w:tcPr>
            <w:tcW w:w="2835" w:type="dxa"/>
            <w:vAlign w:val="center"/>
          </w:tcPr>
          <w:p>
            <w:pPr>
              <w:pStyle w:val="12"/>
            </w:pPr>
            <w:r>
              <w:t>培训完成率</w:t>
            </w:r>
          </w:p>
        </w:tc>
        <w:tc>
          <w:tcPr>
            <w:tcW w:w="2551" w:type="dxa"/>
            <w:vAlign w:val="center"/>
          </w:tcPr>
          <w:p>
            <w:pPr>
              <w:pStyle w:val="12"/>
            </w:pPr>
            <w:r>
              <w:t>≥95.95</w:t>
            </w:r>
          </w:p>
        </w:tc>
        <w:tc>
          <w:tcPr>
            <w:tcW w:w="2268" w:type="dxa"/>
            <w:vAlign w:val="center"/>
          </w:tcPr>
          <w:p>
            <w:pPr>
              <w:pStyle w:val="12"/>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培训及时性</w:t>
            </w:r>
          </w:p>
        </w:tc>
        <w:tc>
          <w:tcPr>
            <w:tcW w:w="2835" w:type="dxa"/>
            <w:vAlign w:val="center"/>
          </w:tcPr>
          <w:p>
            <w:pPr>
              <w:pStyle w:val="12"/>
            </w:pPr>
            <w:r>
              <w:t>培训按计划及时开展</w:t>
            </w:r>
          </w:p>
        </w:tc>
        <w:tc>
          <w:tcPr>
            <w:tcW w:w="2551" w:type="dxa"/>
            <w:vAlign w:val="center"/>
          </w:tcPr>
          <w:p>
            <w:pPr>
              <w:pStyle w:val="12"/>
            </w:pPr>
            <w:r>
              <w:t>≥95.95</w:t>
            </w:r>
          </w:p>
        </w:tc>
        <w:tc>
          <w:tcPr>
            <w:tcW w:w="2268" w:type="dxa"/>
            <w:vAlign w:val="center"/>
          </w:tcPr>
          <w:p>
            <w:pPr>
              <w:pStyle w:val="12"/>
            </w:pPr>
            <w:r>
              <w:t>培训按计划及时开展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2835" w:type="dxa"/>
            <w:vAlign w:val="center"/>
          </w:tcPr>
          <w:p>
            <w:pPr>
              <w:pStyle w:val="12"/>
            </w:pPr>
            <w:r>
              <w:t>项目总成本</w:t>
            </w:r>
          </w:p>
        </w:tc>
        <w:tc>
          <w:tcPr>
            <w:tcW w:w="2551" w:type="dxa"/>
            <w:vAlign w:val="center"/>
          </w:tcPr>
          <w:p>
            <w:pPr>
              <w:pStyle w:val="12"/>
            </w:pPr>
            <w:r>
              <w:t>≥95.95</w:t>
            </w:r>
          </w:p>
        </w:tc>
        <w:tc>
          <w:tcPr>
            <w:tcW w:w="2268" w:type="dxa"/>
            <w:vAlign w:val="center"/>
          </w:tcPr>
          <w:p>
            <w:pPr>
              <w:pStyle w:val="12"/>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培训工作经济效益提升</w:t>
            </w:r>
          </w:p>
        </w:tc>
        <w:tc>
          <w:tcPr>
            <w:tcW w:w="2835" w:type="dxa"/>
            <w:vAlign w:val="center"/>
          </w:tcPr>
          <w:p>
            <w:pPr>
              <w:pStyle w:val="12"/>
            </w:pPr>
            <w:r>
              <w:t>培训工作经济效益提升</w:t>
            </w:r>
          </w:p>
        </w:tc>
        <w:tc>
          <w:tcPr>
            <w:tcW w:w="2551" w:type="dxa"/>
            <w:vAlign w:val="center"/>
          </w:tcPr>
          <w:p>
            <w:pPr>
              <w:pStyle w:val="12"/>
            </w:pPr>
            <w:r>
              <w:t>≥95.95</w:t>
            </w:r>
          </w:p>
        </w:tc>
        <w:tc>
          <w:tcPr>
            <w:tcW w:w="2268" w:type="dxa"/>
            <w:vAlign w:val="center"/>
          </w:tcPr>
          <w:p>
            <w:pPr>
              <w:pStyle w:val="12"/>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培训效果影响程度</w:t>
            </w:r>
          </w:p>
        </w:tc>
        <w:tc>
          <w:tcPr>
            <w:tcW w:w="2835" w:type="dxa"/>
            <w:vAlign w:val="center"/>
          </w:tcPr>
          <w:p>
            <w:pPr>
              <w:pStyle w:val="12"/>
            </w:pPr>
            <w:r>
              <w:t>培训效果影响程度</w:t>
            </w:r>
          </w:p>
        </w:tc>
        <w:tc>
          <w:tcPr>
            <w:tcW w:w="2551" w:type="dxa"/>
            <w:vAlign w:val="center"/>
          </w:tcPr>
          <w:p>
            <w:pPr>
              <w:pStyle w:val="12"/>
            </w:pPr>
            <w:r>
              <w:t>≥95.95</w:t>
            </w:r>
          </w:p>
        </w:tc>
        <w:tc>
          <w:tcPr>
            <w:tcW w:w="2268" w:type="dxa"/>
            <w:vAlign w:val="center"/>
          </w:tcPr>
          <w:p>
            <w:pPr>
              <w:pStyle w:val="12"/>
            </w:pPr>
            <w:r>
              <w:t>培训效果影响程度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2835" w:type="dxa"/>
            <w:vAlign w:val="center"/>
          </w:tcPr>
          <w:p>
            <w:pPr>
              <w:pStyle w:val="12"/>
            </w:pPr>
            <w:r>
              <w:t>生态影响</w:t>
            </w:r>
          </w:p>
        </w:tc>
        <w:tc>
          <w:tcPr>
            <w:tcW w:w="2551" w:type="dxa"/>
            <w:vAlign w:val="center"/>
          </w:tcPr>
          <w:p>
            <w:pPr>
              <w:pStyle w:val="12"/>
            </w:pPr>
            <w:r>
              <w:t>≥95.95</w:t>
            </w:r>
          </w:p>
        </w:tc>
        <w:tc>
          <w:tcPr>
            <w:tcW w:w="2268" w:type="dxa"/>
            <w:vAlign w:val="center"/>
          </w:tcPr>
          <w:p>
            <w:pPr>
              <w:pStyle w:val="12"/>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≥95.95</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≥95.95</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8、全县预决算及政府债务管理经费绩效目标表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文件印刷数量</w:t>
            </w:r>
          </w:p>
        </w:tc>
        <w:tc>
          <w:tcPr>
            <w:tcW w:w="2835" w:type="dxa"/>
            <w:vAlign w:val="center"/>
          </w:tcPr>
          <w:p>
            <w:pPr>
              <w:pStyle w:val="12"/>
            </w:pPr>
            <w:r>
              <w:t>文件印刷数量</w:t>
            </w:r>
          </w:p>
        </w:tc>
        <w:tc>
          <w:tcPr>
            <w:tcW w:w="2551" w:type="dxa"/>
            <w:vAlign w:val="center"/>
          </w:tcPr>
          <w:p>
            <w:pPr>
              <w:pStyle w:val="12"/>
            </w:pPr>
            <w:r>
              <w:t>≥95.95</w:t>
            </w:r>
          </w:p>
        </w:tc>
        <w:tc>
          <w:tcPr>
            <w:tcW w:w="2268" w:type="dxa"/>
            <w:vAlign w:val="center"/>
          </w:tcPr>
          <w:p>
            <w:pPr>
              <w:pStyle w:val="12"/>
            </w:pPr>
            <w:r>
              <w:t>文件印刷数量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2835" w:type="dxa"/>
            <w:vAlign w:val="center"/>
          </w:tcPr>
          <w:p>
            <w:pPr>
              <w:pStyle w:val="12"/>
            </w:pPr>
            <w:r>
              <w:t>业务工作完成率（%）</w:t>
            </w:r>
          </w:p>
        </w:tc>
        <w:tc>
          <w:tcPr>
            <w:tcW w:w="2551" w:type="dxa"/>
            <w:vAlign w:val="center"/>
          </w:tcPr>
          <w:p>
            <w:pPr>
              <w:pStyle w:val="12"/>
            </w:pPr>
            <w:r>
              <w:t>≥95.95</w:t>
            </w:r>
          </w:p>
        </w:tc>
        <w:tc>
          <w:tcPr>
            <w:tcW w:w="2268" w:type="dxa"/>
            <w:vAlign w:val="center"/>
          </w:tcPr>
          <w:p>
            <w:pPr>
              <w:pStyle w:val="12"/>
            </w:pPr>
            <w:r>
              <w:t>业务工作完成率（%）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2835" w:type="dxa"/>
            <w:vAlign w:val="center"/>
          </w:tcPr>
          <w:p>
            <w:pPr>
              <w:pStyle w:val="12"/>
            </w:pPr>
            <w:r>
              <w:t>支付及时率</w:t>
            </w:r>
          </w:p>
        </w:tc>
        <w:tc>
          <w:tcPr>
            <w:tcW w:w="2551" w:type="dxa"/>
            <w:vAlign w:val="center"/>
          </w:tcPr>
          <w:p>
            <w:pPr>
              <w:pStyle w:val="12"/>
            </w:pPr>
            <w:r>
              <w:t>≥95.95</w:t>
            </w:r>
          </w:p>
        </w:tc>
        <w:tc>
          <w:tcPr>
            <w:tcW w:w="2268" w:type="dxa"/>
            <w:vAlign w:val="center"/>
          </w:tcPr>
          <w:p>
            <w:pPr>
              <w:pStyle w:val="12"/>
            </w:pPr>
            <w:r>
              <w:t>支付及时率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2835" w:type="dxa"/>
            <w:vAlign w:val="center"/>
          </w:tcPr>
          <w:p>
            <w:pPr>
              <w:pStyle w:val="12"/>
            </w:pPr>
            <w:r>
              <w:t>项目成本</w:t>
            </w:r>
          </w:p>
        </w:tc>
        <w:tc>
          <w:tcPr>
            <w:tcW w:w="2551" w:type="dxa"/>
            <w:vAlign w:val="center"/>
          </w:tcPr>
          <w:p>
            <w:pPr>
              <w:pStyle w:val="12"/>
            </w:pPr>
            <w:r>
              <w:t>≥95.95</w:t>
            </w:r>
          </w:p>
        </w:tc>
        <w:tc>
          <w:tcPr>
            <w:tcW w:w="2268" w:type="dxa"/>
            <w:vAlign w:val="center"/>
          </w:tcPr>
          <w:p>
            <w:pPr>
              <w:pStyle w:val="12"/>
            </w:pPr>
            <w:r>
              <w:t>项目成本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≥95.95</w:t>
            </w:r>
          </w:p>
        </w:tc>
        <w:tc>
          <w:tcPr>
            <w:tcW w:w="2268" w:type="dxa"/>
            <w:vAlign w:val="center"/>
          </w:tcPr>
          <w:p>
            <w:pPr>
              <w:pStyle w:val="12"/>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≥95.95</w:t>
            </w:r>
          </w:p>
        </w:tc>
        <w:tc>
          <w:tcPr>
            <w:tcW w:w="2268" w:type="dxa"/>
            <w:vAlign w:val="center"/>
          </w:tcPr>
          <w:p>
            <w:pPr>
              <w:pStyle w:val="12"/>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≥95.95</w:t>
            </w:r>
          </w:p>
        </w:tc>
        <w:tc>
          <w:tcPr>
            <w:tcW w:w="2268" w:type="dxa"/>
            <w:vAlign w:val="center"/>
          </w:tcPr>
          <w:p>
            <w:pPr>
              <w:pStyle w:val="12"/>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≥95.95</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≥95.95</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9、提前下达2022年省级农村综合改革转移支付预算（冀财农【2021】158号）绩效目标表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综合事务完成率</w:t>
            </w:r>
          </w:p>
        </w:tc>
        <w:tc>
          <w:tcPr>
            <w:tcW w:w="2835" w:type="dxa"/>
            <w:vAlign w:val="center"/>
          </w:tcPr>
          <w:p>
            <w:pPr>
              <w:pStyle w:val="12"/>
            </w:pPr>
            <w:r>
              <w:t>综合事务完成率</w:t>
            </w:r>
          </w:p>
        </w:tc>
        <w:tc>
          <w:tcPr>
            <w:tcW w:w="2551" w:type="dxa"/>
            <w:vAlign w:val="center"/>
          </w:tcPr>
          <w:p>
            <w:pPr>
              <w:pStyle w:val="12"/>
            </w:pPr>
            <w:r>
              <w:t>≥95.95</w:t>
            </w:r>
          </w:p>
        </w:tc>
        <w:tc>
          <w:tcPr>
            <w:tcW w:w="2268" w:type="dxa"/>
            <w:vAlign w:val="center"/>
          </w:tcPr>
          <w:p>
            <w:pPr>
              <w:pStyle w:val="12"/>
            </w:pPr>
            <w:r>
              <w:t>综合事务完成率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综合业务管理工作完成率</w:t>
            </w:r>
          </w:p>
        </w:tc>
        <w:tc>
          <w:tcPr>
            <w:tcW w:w="2835" w:type="dxa"/>
            <w:vAlign w:val="center"/>
          </w:tcPr>
          <w:p>
            <w:pPr>
              <w:pStyle w:val="12"/>
            </w:pPr>
            <w:r>
              <w:t>综合业务管理工作完成率</w:t>
            </w:r>
          </w:p>
        </w:tc>
        <w:tc>
          <w:tcPr>
            <w:tcW w:w="2551" w:type="dxa"/>
            <w:vAlign w:val="center"/>
          </w:tcPr>
          <w:p>
            <w:pPr>
              <w:pStyle w:val="12"/>
            </w:pPr>
            <w:r>
              <w:t>≥95.95</w:t>
            </w:r>
          </w:p>
        </w:tc>
        <w:tc>
          <w:tcPr>
            <w:tcW w:w="2268" w:type="dxa"/>
            <w:vAlign w:val="center"/>
          </w:tcPr>
          <w:p>
            <w:pPr>
              <w:pStyle w:val="12"/>
            </w:pPr>
            <w:r>
              <w:t>综合业务管理工作完成率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综合业务工作任务及时性</w:t>
            </w:r>
          </w:p>
        </w:tc>
        <w:tc>
          <w:tcPr>
            <w:tcW w:w="2835" w:type="dxa"/>
            <w:vAlign w:val="center"/>
          </w:tcPr>
          <w:p>
            <w:pPr>
              <w:pStyle w:val="12"/>
            </w:pPr>
            <w:r>
              <w:t>综合业务工作任务及时性</w:t>
            </w:r>
          </w:p>
        </w:tc>
        <w:tc>
          <w:tcPr>
            <w:tcW w:w="2551" w:type="dxa"/>
            <w:vAlign w:val="center"/>
          </w:tcPr>
          <w:p>
            <w:pPr>
              <w:pStyle w:val="12"/>
            </w:pPr>
            <w:r>
              <w:t>≥95.95</w:t>
            </w:r>
          </w:p>
        </w:tc>
        <w:tc>
          <w:tcPr>
            <w:tcW w:w="2268" w:type="dxa"/>
            <w:vAlign w:val="center"/>
          </w:tcPr>
          <w:p>
            <w:pPr>
              <w:pStyle w:val="12"/>
            </w:pPr>
            <w:r>
              <w:t>综合业务工作任务及时性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完成综合事务各项工作成本</w:t>
            </w:r>
          </w:p>
        </w:tc>
        <w:tc>
          <w:tcPr>
            <w:tcW w:w="2835" w:type="dxa"/>
            <w:vAlign w:val="center"/>
          </w:tcPr>
          <w:p>
            <w:pPr>
              <w:pStyle w:val="12"/>
            </w:pPr>
            <w:r>
              <w:t>完成综合事务各项工作成本</w:t>
            </w:r>
          </w:p>
        </w:tc>
        <w:tc>
          <w:tcPr>
            <w:tcW w:w="2551" w:type="dxa"/>
            <w:vAlign w:val="center"/>
          </w:tcPr>
          <w:p>
            <w:pPr>
              <w:pStyle w:val="12"/>
            </w:pPr>
            <w:r>
              <w:t>≥95.95</w:t>
            </w:r>
          </w:p>
        </w:tc>
        <w:tc>
          <w:tcPr>
            <w:tcW w:w="2268" w:type="dxa"/>
            <w:vAlign w:val="center"/>
          </w:tcPr>
          <w:p>
            <w:pPr>
              <w:pStyle w:val="12"/>
            </w:pPr>
            <w:r>
              <w:t>完成综合事务各项工作成本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综合利用率</w:t>
            </w:r>
          </w:p>
        </w:tc>
        <w:tc>
          <w:tcPr>
            <w:tcW w:w="2835" w:type="dxa"/>
            <w:vAlign w:val="center"/>
          </w:tcPr>
          <w:p>
            <w:pPr>
              <w:pStyle w:val="12"/>
            </w:pPr>
            <w:r>
              <w:t>综合利用率</w:t>
            </w:r>
          </w:p>
        </w:tc>
        <w:tc>
          <w:tcPr>
            <w:tcW w:w="2551" w:type="dxa"/>
            <w:vAlign w:val="center"/>
          </w:tcPr>
          <w:p>
            <w:pPr>
              <w:pStyle w:val="12"/>
            </w:pPr>
            <w:r>
              <w:t>≥95.95</w:t>
            </w:r>
          </w:p>
        </w:tc>
        <w:tc>
          <w:tcPr>
            <w:tcW w:w="2268" w:type="dxa"/>
            <w:vAlign w:val="center"/>
          </w:tcPr>
          <w:p>
            <w:pPr>
              <w:pStyle w:val="12"/>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≥95.95</w:t>
            </w:r>
          </w:p>
        </w:tc>
        <w:tc>
          <w:tcPr>
            <w:tcW w:w="2268" w:type="dxa"/>
            <w:vAlign w:val="center"/>
          </w:tcPr>
          <w:p>
            <w:pPr>
              <w:pStyle w:val="12"/>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≥95.95</w:t>
            </w:r>
          </w:p>
        </w:tc>
        <w:tc>
          <w:tcPr>
            <w:tcW w:w="2268" w:type="dxa"/>
            <w:vAlign w:val="center"/>
          </w:tcPr>
          <w:p>
            <w:pPr>
              <w:pStyle w:val="12"/>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2835" w:type="dxa"/>
            <w:vAlign w:val="center"/>
          </w:tcPr>
          <w:p>
            <w:pPr>
              <w:pStyle w:val="12"/>
            </w:pPr>
            <w:r>
              <w:t>基本公共服务水平</w:t>
            </w:r>
          </w:p>
        </w:tc>
        <w:tc>
          <w:tcPr>
            <w:tcW w:w="2551" w:type="dxa"/>
            <w:vAlign w:val="center"/>
          </w:tcPr>
          <w:p>
            <w:pPr>
              <w:pStyle w:val="12"/>
            </w:pPr>
            <w:r>
              <w:t>≥95.95</w:t>
            </w:r>
          </w:p>
        </w:tc>
        <w:tc>
          <w:tcPr>
            <w:tcW w:w="2268" w:type="dxa"/>
            <w:vAlign w:val="center"/>
          </w:tcPr>
          <w:p>
            <w:pPr>
              <w:pStyle w:val="12"/>
            </w:pPr>
            <w:r>
              <w:t>基本公共服务水平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≥95.95</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10、援疆干部生活补贴、探亲路费绩效目标表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pPr>
            <w:r>
              <w:t>完成项目数量</w:t>
            </w:r>
          </w:p>
        </w:tc>
        <w:tc>
          <w:tcPr>
            <w:tcW w:w="2551" w:type="dxa"/>
            <w:vAlign w:val="center"/>
          </w:tcPr>
          <w:p>
            <w:pPr>
              <w:pStyle w:val="12"/>
            </w:pPr>
            <w:r>
              <w:t>≥95.95</w:t>
            </w:r>
          </w:p>
        </w:tc>
        <w:tc>
          <w:tcPr>
            <w:tcW w:w="2268" w:type="dxa"/>
            <w:vAlign w:val="center"/>
          </w:tcPr>
          <w:p>
            <w:pPr>
              <w:pStyle w:val="12"/>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宣传及奖励经费财政拨款专款专用情况</w:t>
            </w:r>
          </w:p>
        </w:tc>
        <w:tc>
          <w:tcPr>
            <w:tcW w:w="2551" w:type="dxa"/>
            <w:vAlign w:val="center"/>
          </w:tcPr>
          <w:p>
            <w:pPr>
              <w:pStyle w:val="12"/>
            </w:pPr>
            <w:r>
              <w:t>≥95.95</w:t>
            </w:r>
          </w:p>
        </w:tc>
        <w:tc>
          <w:tcPr>
            <w:tcW w:w="2268" w:type="dxa"/>
            <w:vAlign w:val="center"/>
          </w:tcPr>
          <w:p>
            <w:pPr>
              <w:pStyle w:val="12"/>
            </w:pPr>
            <w:r>
              <w:t>宣传及奖励经费财政拨款专款专用情况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2835" w:type="dxa"/>
            <w:vAlign w:val="center"/>
          </w:tcPr>
          <w:p>
            <w:pPr>
              <w:pStyle w:val="12"/>
            </w:pPr>
            <w:r>
              <w:t>工作按时完成率</w:t>
            </w:r>
          </w:p>
        </w:tc>
        <w:tc>
          <w:tcPr>
            <w:tcW w:w="2551" w:type="dxa"/>
            <w:vAlign w:val="center"/>
          </w:tcPr>
          <w:p>
            <w:pPr>
              <w:pStyle w:val="12"/>
            </w:pPr>
            <w:r>
              <w:t>≥95.95</w:t>
            </w:r>
          </w:p>
        </w:tc>
        <w:tc>
          <w:tcPr>
            <w:tcW w:w="2268" w:type="dxa"/>
            <w:vAlign w:val="center"/>
          </w:tcPr>
          <w:p>
            <w:pPr>
              <w:pStyle w:val="12"/>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≥95.95</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2835" w:type="dxa"/>
            <w:vAlign w:val="center"/>
          </w:tcPr>
          <w:p>
            <w:pPr>
              <w:pStyle w:val="12"/>
            </w:pPr>
            <w:r>
              <w:t>运行成本</w:t>
            </w:r>
          </w:p>
        </w:tc>
        <w:tc>
          <w:tcPr>
            <w:tcW w:w="2551" w:type="dxa"/>
            <w:vAlign w:val="center"/>
          </w:tcPr>
          <w:p>
            <w:pPr>
              <w:pStyle w:val="12"/>
            </w:pPr>
            <w:r>
              <w:t>≥95.95</w:t>
            </w:r>
          </w:p>
        </w:tc>
        <w:tc>
          <w:tcPr>
            <w:tcW w:w="2268" w:type="dxa"/>
            <w:vAlign w:val="center"/>
          </w:tcPr>
          <w:p>
            <w:pPr>
              <w:pStyle w:val="12"/>
            </w:pPr>
            <w:r>
              <w:t>运行成本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≥95.95</w:t>
            </w:r>
          </w:p>
        </w:tc>
        <w:tc>
          <w:tcPr>
            <w:tcW w:w="2268" w:type="dxa"/>
            <w:vAlign w:val="center"/>
          </w:tcPr>
          <w:p>
            <w:pPr>
              <w:pStyle w:val="12"/>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≥95.95</w:t>
            </w:r>
          </w:p>
        </w:tc>
        <w:tc>
          <w:tcPr>
            <w:tcW w:w="2268" w:type="dxa"/>
            <w:vAlign w:val="center"/>
          </w:tcPr>
          <w:p>
            <w:pPr>
              <w:pStyle w:val="12"/>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≥95.95</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≥95.95</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11、自收自支人员管理经费绩效目标表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2835" w:type="dxa"/>
            <w:vAlign w:val="center"/>
          </w:tcPr>
          <w:p>
            <w:pPr>
              <w:pStyle w:val="12"/>
            </w:pPr>
            <w:r>
              <w:t>服务人数</w:t>
            </w:r>
          </w:p>
        </w:tc>
        <w:tc>
          <w:tcPr>
            <w:tcW w:w="2551" w:type="dxa"/>
            <w:vAlign w:val="center"/>
          </w:tcPr>
          <w:p>
            <w:pPr>
              <w:pStyle w:val="12"/>
            </w:pPr>
            <w:r>
              <w:t>≥95.95</w:t>
            </w:r>
          </w:p>
        </w:tc>
        <w:tc>
          <w:tcPr>
            <w:tcW w:w="2268" w:type="dxa"/>
            <w:vAlign w:val="center"/>
          </w:tcPr>
          <w:p>
            <w:pPr>
              <w:pStyle w:val="12"/>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≥95.95</w:t>
            </w:r>
          </w:p>
        </w:tc>
        <w:tc>
          <w:tcPr>
            <w:tcW w:w="2268" w:type="dxa"/>
            <w:vAlign w:val="center"/>
          </w:tcPr>
          <w:p>
            <w:pPr>
              <w:pStyle w:val="12"/>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2835" w:type="dxa"/>
            <w:vAlign w:val="center"/>
          </w:tcPr>
          <w:p>
            <w:pPr>
              <w:pStyle w:val="12"/>
            </w:pPr>
            <w:r>
              <w:t>资金支付的及时程度</w:t>
            </w:r>
          </w:p>
        </w:tc>
        <w:tc>
          <w:tcPr>
            <w:tcW w:w="2551" w:type="dxa"/>
            <w:vAlign w:val="center"/>
          </w:tcPr>
          <w:p>
            <w:pPr>
              <w:pStyle w:val="12"/>
            </w:pPr>
            <w:r>
              <w:t>≥95.95</w:t>
            </w:r>
          </w:p>
        </w:tc>
        <w:tc>
          <w:tcPr>
            <w:tcW w:w="2268" w:type="dxa"/>
            <w:vAlign w:val="center"/>
          </w:tcPr>
          <w:p>
            <w:pPr>
              <w:pStyle w:val="12"/>
            </w:pPr>
            <w:r>
              <w:t>资金支付的及时程度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2835" w:type="dxa"/>
            <w:vAlign w:val="center"/>
          </w:tcPr>
          <w:p>
            <w:pPr>
              <w:pStyle w:val="12"/>
            </w:pPr>
            <w:r>
              <w:t>完成年度预算资金安排</w:t>
            </w:r>
          </w:p>
        </w:tc>
        <w:tc>
          <w:tcPr>
            <w:tcW w:w="2551" w:type="dxa"/>
            <w:vAlign w:val="center"/>
          </w:tcPr>
          <w:p>
            <w:pPr>
              <w:pStyle w:val="12"/>
            </w:pPr>
            <w:r>
              <w:t>≥95.95</w:t>
            </w:r>
          </w:p>
        </w:tc>
        <w:tc>
          <w:tcPr>
            <w:tcW w:w="2268" w:type="dxa"/>
            <w:vAlign w:val="center"/>
          </w:tcPr>
          <w:p>
            <w:pPr>
              <w:pStyle w:val="12"/>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2835" w:type="dxa"/>
            <w:vAlign w:val="center"/>
          </w:tcPr>
          <w:p>
            <w:pPr>
              <w:pStyle w:val="12"/>
            </w:pPr>
            <w:r>
              <w:t>成本节约</w:t>
            </w:r>
          </w:p>
        </w:tc>
        <w:tc>
          <w:tcPr>
            <w:tcW w:w="2551" w:type="dxa"/>
            <w:vAlign w:val="center"/>
          </w:tcPr>
          <w:p>
            <w:pPr>
              <w:pStyle w:val="12"/>
            </w:pPr>
            <w:r>
              <w:t>≥95.95</w:t>
            </w:r>
          </w:p>
        </w:tc>
        <w:tc>
          <w:tcPr>
            <w:tcW w:w="2268" w:type="dxa"/>
            <w:vAlign w:val="center"/>
          </w:tcPr>
          <w:p>
            <w:pPr>
              <w:pStyle w:val="12"/>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≥95.95</w:t>
            </w:r>
          </w:p>
        </w:tc>
        <w:tc>
          <w:tcPr>
            <w:tcW w:w="2268" w:type="dxa"/>
            <w:vAlign w:val="center"/>
          </w:tcPr>
          <w:p>
            <w:pPr>
              <w:pStyle w:val="12"/>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2835" w:type="dxa"/>
            <w:vAlign w:val="center"/>
          </w:tcPr>
          <w:p>
            <w:pPr>
              <w:pStyle w:val="12"/>
            </w:pPr>
            <w:r>
              <w:t>生态影响</w:t>
            </w:r>
          </w:p>
        </w:tc>
        <w:tc>
          <w:tcPr>
            <w:tcW w:w="2551" w:type="dxa"/>
            <w:vAlign w:val="center"/>
          </w:tcPr>
          <w:p>
            <w:pPr>
              <w:pStyle w:val="12"/>
            </w:pPr>
            <w:r>
              <w:t>≥95.95</w:t>
            </w:r>
          </w:p>
        </w:tc>
        <w:tc>
          <w:tcPr>
            <w:tcW w:w="2268" w:type="dxa"/>
            <w:vAlign w:val="center"/>
          </w:tcPr>
          <w:p>
            <w:pPr>
              <w:pStyle w:val="12"/>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≥95.95</w:t>
            </w:r>
          </w:p>
        </w:tc>
        <w:tc>
          <w:tcPr>
            <w:tcW w:w="2268" w:type="dxa"/>
            <w:vAlign w:val="center"/>
          </w:tcPr>
          <w:p>
            <w:pPr>
              <w:pStyle w:val="12"/>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≥95.95</w:t>
            </w:r>
          </w:p>
        </w:tc>
        <w:tc>
          <w:tcPr>
            <w:tcW w:w="2268"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2023年，宁晋县财政局安排政府采购预算0.00万元。具体内容见下表。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318宁晋县财政局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宁晋县财政局（含所属单位）上年末固定资产金额为</w:t>
      </w:r>
      <w:r>
        <w:rPr>
          <w:rFonts w:hint="default" w:eastAsia="方正仿宋_GBK" w:cs="Times New Roman"/>
          <w:b w:val="0"/>
          <w:color w:val="000000"/>
          <w:sz w:val="28"/>
          <w:lang w:val="en-US"/>
        </w:rPr>
        <w:t>205.31</w:t>
      </w:r>
      <w:r>
        <w:rPr>
          <w:rFonts w:ascii="Times New Roman" w:hAnsi="Times New Roman" w:eastAsia="方正仿宋_GBK" w:cs="Times New Roman"/>
          <w:b w:val="0"/>
          <w:color w:val="000000"/>
          <w:sz w:val="28"/>
        </w:rPr>
        <w:t>万元（详见下表）。本年度拟购置固定资产总额为</w:t>
      </w:r>
      <w:r>
        <w:rPr>
          <w:rFonts w:hint="default" w:ascii="Times New Roman" w:hAnsi="Times New Roman" w:eastAsia="方正仿宋_GBK" w:cs="Times New Roman"/>
          <w:b w:val="0"/>
          <w:color w:val="000000"/>
          <w:sz w:val="28"/>
          <w:lang w:val="en-US"/>
        </w:rPr>
        <w:t>0.</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318宁晋县财政局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方正书宋_GBK"/>
                <w:lang w:eastAsia="zh-CN"/>
              </w:rPr>
            </w:pPr>
            <w:r>
              <w:rPr>
                <w:rFonts w:hint="eastAsia"/>
                <w:lang w:eastAsia="zh-CN"/>
              </w:rPr>
              <w:t>固定资产</w:t>
            </w:r>
          </w:p>
        </w:tc>
        <w:tc>
          <w:tcPr>
            <w:tcW w:w="2835" w:type="dxa"/>
            <w:vAlign w:val="center"/>
          </w:tcPr>
          <w:p>
            <w:pPr>
              <w:pStyle w:val="11"/>
              <w:rPr>
                <w:rFonts w:hint="default"/>
                <w:lang w:val="en-US"/>
              </w:rPr>
            </w:pPr>
            <w:r>
              <w:rPr>
                <w:rFonts w:hint="default"/>
                <w:lang w:val="en-US"/>
              </w:rPr>
              <w:t>1004</w:t>
            </w:r>
          </w:p>
        </w:tc>
        <w:tc>
          <w:tcPr>
            <w:tcW w:w="2835" w:type="dxa"/>
            <w:vAlign w:val="center"/>
          </w:tcPr>
          <w:p>
            <w:pPr>
              <w:pStyle w:val="13"/>
              <w:rPr>
                <w:rFonts w:hint="default"/>
                <w:lang w:val="en-US"/>
              </w:rPr>
            </w:pPr>
            <w:r>
              <w:rPr>
                <w:rFonts w:hint="default"/>
                <w:lang w:val="en-US"/>
              </w:rPr>
              <w:t>205.31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w:t>
      </w:r>
      <w:r>
        <w:rPr>
          <w:rFonts w:hint="eastAsia" w:ascii="Times New Roman" w:hAnsi="Times New Roman" w:eastAsia="方正仿宋_GBK" w:cs="Times New Roman"/>
          <w:b w:val="0"/>
          <w:color w:val="000000"/>
          <w:sz w:val="28"/>
          <w:lang w:eastAsia="zh-CN"/>
        </w:rPr>
        <w:t>项。</w:t>
      </w:r>
    </w:p>
    <w:sectPr>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343472"/>
    <w:rsid w:val="306536BB"/>
    <w:rsid w:val="6DBB150E"/>
    <w:rsid w:val="6E343472"/>
    <w:rsid w:val="74A665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2023-09-05T02:15:00Z</dcterms:created>
  <dc:creator>zfzx</dc:creator>
  <cp:lastModifiedBy>zfzx</cp:lastModifiedBy>
  <dcterms:modified xsi:type="dcterms:W3CDTF">2023-09-05T02:27:50Z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36779049A29A4B3899D413446E7FD848</vt:lpwstr>
  </property>
</Properties>
</file>