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32"/>
          <w:szCs w:val="32"/>
        </w:rPr>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宋体" w:hAnsi="宋体"/>
          <w:b/>
          <w:bCs/>
          <w:sz w:val="44"/>
          <w:szCs w:val="44"/>
        </w:rPr>
        <w:t>预算信息公开目录</w:t>
      </w:r>
    </w:p>
    <w:p>
      <w:pPr>
        <w:jc w:val="center"/>
        <w:rPr>
          <w:rFonts w:ascii="黑体" w:hAnsi="黑体" w:eastAsia="黑体" w:cs="黑体"/>
          <w:b/>
          <w:color w:val="000000"/>
          <w:sz w:val="32"/>
          <w:szCs w:val="32"/>
        </w:rPr>
      </w:pPr>
    </w:p>
    <w:p>
      <w:pPr>
        <w:autoSpaceDE w:val="0"/>
        <w:autoSpaceDN w:val="0"/>
        <w:adjustRightInd w:val="0"/>
        <w:ind w:firstLine="600"/>
        <w:jc w:val="left"/>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一、宁晋县公安局本级收支预算</w:t>
      </w:r>
    </w:p>
    <w:p>
      <w:pPr>
        <w:autoSpaceDE w:val="0"/>
        <w:autoSpaceDN w:val="0"/>
        <w:adjustRightInd w:val="0"/>
        <w:jc w:val="both"/>
        <w:rPr>
          <w:rFonts w:hint="eastAsia" w:ascii="仿宋_GB2312" w:hAnsi="仿宋_GB2312" w:eastAsia="仿宋_GB2312" w:cs="仿宋_GB2312"/>
          <w:b/>
          <w:bCs/>
          <w:sz w:val="84"/>
          <w:szCs w:val="84"/>
          <w:lang w:val="en-US" w:eastAsia="zh-CN"/>
        </w:rPr>
      </w:pPr>
    </w:p>
    <w:p>
      <w:pPr>
        <w:autoSpaceDE w:val="0"/>
        <w:autoSpaceDN w:val="0"/>
        <w:adjustRightInd w:val="0"/>
        <w:jc w:val="both"/>
        <w:rPr>
          <w:rFonts w:hint="eastAsia" w:ascii="仿宋_GB2312" w:hAnsi="仿宋_GB2312" w:eastAsia="仿宋_GB2312" w:cs="仿宋_GB2312"/>
          <w:b/>
          <w:bCs/>
          <w:sz w:val="84"/>
          <w:szCs w:val="84"/>
          <w:lang w:val="en-US" w:eastAsia="zh-CN"/>
        </w:rPr>
      </w:pPr>
    </w:p>
    <w:p>
      <w:pPr>
        <w:autoSpaceDE w:val="0"/>
        <w:autoSpaceDN w:val="0"/>
        <w:adjustRightInd w:val="0"/>
        <w:ind w:firstLine="600"/>
        <w:jc w:val="left"/>
        <w:rPr>
          <w:rFonts w:hint="eastAsia" w:ascii="宋体" w:hAnsi="宋体" w:eastAsia="宋体" w:cs="宋体"/>
          <w:sz w:val="32"/>
          <w:szCs w:val="32"/>
          <w:lang w:val="en-US" w:eastAsia="zh-CN"/>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widowControl/>
        <w:spacing w:line="560" w:lineRule="exact"/>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jc w:val="center"/>
      </w:pPr>
      <w:r>
        <w:rPr>
          <w:rFonts w:ascii="方正小标宋_GBK" w:hAnsi="方正小标宋_GBK" w:eastAsia="方正小标宋_GBK" w:cs="方正小标宋_GBK"/>
          <w:color w:val="000000"/>
          <w:sz w:val="44"/>
        </w:rPr>
        <w:t xml:space="preserve"> </w:t>
      </w:r>
      <w:bookmarkStart w:id="1" w:name="_GoBack"/>
      <w:bookmarkEnd w:id="1"/>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rPr>
          <w:rFonts w:ascii="仿宋_GB2312" w:hAnsi="仿宋_GB2312"/>
          <w:sz w:val="32"/>
          <w:szCs w:val="32"/>
        </w:rPr>
      </w:pPr>
      <w:bookmarkStart w:id="0"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val="en-US" w:eastAsia="zh-CN"/>
        </w:rPr>
        <w:t>宁晋县公安局</w:t>
      </w:r>
      <w:r>
        <w:rPr>
          <w:rFonts w:ascii="方正小标宋_GBK" w:hAnsi="方正小标宋_GBK" w:eastAsia="方正小标宋_GBK" w:cs="方正小标宋_GBK"/>
          <w:color w:val="000000"/>
          <w:sz w:val="44"/>
        </w:rPr>
        <w:t>本级收支预算</w:t>
      </w:r>
      <w:bookmarkEnd w:id="0"/>
    </w:p>
    <w:tbl>
      <w:tblPr>
        <w:tblStyle w:val="5"/>
        <w:tblW w:w="125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3469"/>
        <w:gridCol w:w="1670"/>
        <w:gridCol w:w="4058"/>
        <w:gridCol w:w="25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2520" w:type="dxa"/>
            <w:gridSpan w:val="5"/>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923" w:type="dxa"/>
            <w:gridSpan w:val="3"/>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4058"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539"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6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339"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1100"/>
        <w:gridCol w:w="2416"/>
        <w:gridCol w:w="1053"/>
        <w:gridCol w:w="1053"/>
        <w:gridCol w:w="1053"/>
        <w:gridCol w:w="964"/>
        <w:gridCol w:w="964"/>
        <w:gridCol w:w="964"/>
        <w:gridCol w:w="964"/>
        <w:gridCol w:w="964"/>
        <w:gridCol w:w="964"/>
        <w:gridCol w:w="10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14339" w:type="dxa"/>
            <w:gridSpan w:val="13"/>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351" w:type="dxa"/>
            <w:gridSpan w:val="9"/>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928"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60"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51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890"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2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9"/>
        <w:gridCol w:w="997"/>
        <w:gridCol w:w="3889"/>
        <w:gridCol w:w="1855"/>
        <w:gridCol w:w="1487"/>
        <w:gridCol w:w="950"/>
        <w:gridCol w:w="947"/>
        <w:gridCol w:w="1604"/>
        <w:gridCol w:w="20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4280" w:type="dxa"/>
            <w:gridSpan w:val="9"/>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0634" w:type="dxa"/>
            <w:gridSpan w:val="7"/>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604"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42"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20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80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2895"/>
        <w:gridCol w:w="1180"/>
        <w:gridCol w:w="3327"/>
        <w:gridCol w:w="1053"/>
        <w:gridCol w:w="1053"/>
        <w:gridCol w:w="1756"/>
        <w:gridCol w:w="1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804"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92"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0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94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88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8"/>
        <w:gridCol w:w="1349"/>
        <w:gridCol w:w="4599"/>
        <w:gridCol w:w="1296"/>
        <w:gridCol w:w="1158"/>
        <w:gridCol w:w="1349"/>
        <w:gridCol w:w="2162"/>
        <w:gridCol w:w="21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883"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559"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9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6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16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16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5955.00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23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4"/>
        <w:gridCol w:w="1527"/>
        <w:gridCol w:w="4591"/>
        <w:gridCol w:w="1311"/>
        <w:gridCol w:w="2446"/>
        <w:gridCol w:w="24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233"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343"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44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44"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11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4524.86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公务接待费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2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2"/>
        <w:gridCol w:w="2075"/>
        <w:gridCol w:w="2075"/>
        <w:gridCol w:w="1242"/>
        <w:gridCol w:w="3325"/>
        <w:gridCol w:w="33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2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6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392"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无政府基金预算财政拨款预算，空表列示。</w:t>
            </w:r>
          </w:p>
        </w:tc>
        <w:tc>
          <w:tcPr>
            <w:tcW w:w="1242"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8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98"/>
        <w:gridCol w:w="2169"/>
        <w:gridCol w:w="2169"/>
        <w:gridCol w:w="1298"/>
        <w:gridCol w:w="3475"/>
        <w:gridCol w:w="3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8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9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3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636"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无国有资本经营预算财政拨款预算，空表列示。</w:t>
            </w:r>
          </w:p>
        </w:tc>
        <w:tc>
          <w:tcPr>
            <w:tcW w:w="1298"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tbl>
      <w:tblPr>
        <w:tblStyle w:val="5"/>
        <w:tblW w:w="1357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9"/>
        <w:gridCol w:w="5087"/>
        <w:gridCol w:w="1185"/>
        <w:gridCol w:w="1781"/>
        <w:gridCol w:w="2381"/>
        <w:gridCol w:w="23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57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812"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7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50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三、公务接待费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四、会议费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五、培训费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jc w:val="center"/>
        <w:rPr>
          <w:rFonts w:hint="eastAsia" w:asciiTheme="majorEastAsia" w:hAnsiTheme="majorEastAsia" w:eastAsiaTheme="majorEastAsia" w:cstheme="majorEastAsia"/>
          <w:b/>
          <w:bCs/>
          <w:kern w:val="0"/>
          <w:sz w:val="44"/>
          <w:szCs w:val="44"/>
        </w:rPr>
      </w:pPr>
      <w:r>
        <w:rPr>
          <w:rFonts w:hint="eastAsia" w:asciiTheme="majorEastAsia" w:hAnsiTheme="majorEastAsia" w:eastAsiaTheme="majorEastAsia" w:cstheme="majorEastAsia"/>
          <w:b/>
          <w:bCs/>
          <w:kern w:val="0"/>
          <w:sz w:val="44"/>
          <w:szCs w:val="44"/>
          <w:lang w:val="en-US" w:eastAsia="zh-CN"/>
        </w:rPr>
        <w:t>宁晋县公安局本级</w:t>
      </w:r>
      <w:r>
        <w:rPr>
          <w:rFonts w:hint="eastAsia" w:asciiTheme="majorEastAsia" w:hAnsiTheme="majorEastAsia" w:eastAsiaTheme="majorEastAsia" w:cstheme="majorEastAsia"/>
          <w:b/>
          <w:bCs/>
          <w:kern w:val="0"/>
          <w:sz w:val="44"/>
          <w:szCs w:val="44"/>
        </w:rPr>
        <w:t>2022年</w:t>
      </w:r>
      <w:r>
        <w:rPr>
          <w:rFonts w:hint="eastAsia" w:asciiTheme="majorEastAsia" w:hAnsiTheme="majorEastAsia" w:eastAsiaTheme="majorEastAsia" w:cstheme="majorEastAsia"/>
          <w:b/>
          <w:bCs/>
          <w:kern w:val="0"/>
          <w:sz w:val="44"/>
          <w:szCs w:val="44"/>
          <w:lang w:val="en-US" w:eastAsia="zh-CN"/>
        </w:rPr>
        <w:t>单位</w:t>
      </w:r>
      <w:r>
        <w:rPr>
          <w:rFonts w:hint="eastAsia" w:asciiTheme="majorEastAsia" w:hAnsiTheme="majorEastAsia" w:eastAsiaTheme="majorEastAsia" w:cstheme="majorEastAsia"/>
          <w:b/>
          <w:bCs/>
          <w:kern w:val="0"/>
          <w:sz w:val="44"/>
          <w:szCs w:val="44"/>
        </w:rPr>
        <w:t>预算信息公开情况说明</w:t>
      </w:r>
    </w:p>
    <w:p>
      <w:pPr>
        <w:spacing w:line="560" w:lineRule="exact"/>
        <w:jc w:val="center"/>
        <w:rPr>
          <w:rFonts w:hint="eastAsia" w:asciiTheme="majorEastAsia" w:hAnsiTheme="majorEastAsia" w:eastAsiaTheme="majorEastAsia" w:cstheme="majorEastAsia"/>
          <w:b/>
          <w:bCs/>
          <w:kern w:val="0"/>
          <w:sz w:val="44"/>
          <w:szCs w:val="44"/>
        </w:rPr>
      </w:pPr>
    </w:p>
    <w:p>
      <w:pPr>
        <w:spacing w:line="560" w:lineRule="exact"/>
        <w:ind w:firstLine="640" w:firstLineChars="200"/>
        <w:jc w:val="center"/>
        <w:rPr>
          <w:rFonts w:ascii="黑体" w:hAnsi="黑体" w:eastAsia="黑体"/>
          <w:sz w:val="32"/>
          <w:szCs w:val="32"/>
        </w:rPr>
      </w:pPr>
      <w:r>
        <w:rPr>
          <w:rFonts w:hint="eastAsia" w:ascii="黑体" w:hAnsi="黑体" w:eastAsia="黑体"/>
          <w:sz w:val="32"/>
          <w:szCs w:val="32"/>
        </w:rPr>
        <w:t>第一部分    宁晋县公安局</w:t>
      </w:r>
      <w:r>
        <w:rPr>
          <w:rFonts w:hint="eastAsia" w:ascii="黑体" w:hAnsi="黑体" w:eastAsia="黑体"/>
          <w:sz w:val="32"/>
          <w:szCs w:val="32"/>
          <w:lang w:val="en-US" w:eastAsia="zh-CN"/>
        </w:rPr>
        <w:t>本级单位</w:t>
      </w:r>
      <w:r>
        <w:rPr>
          <w:rFonts w:hint="eastAsia" w:ascii="黑体" w:hAnsi="黑体" w:eastAsia="黑体"/>
          <w:sz w:val="32"/>
          <w:szCs w:val="32"/>
        </w:rPr>
        <w:t>概况</w:t>
      </w:r>
    </w:p>
    <w:p>
      <w:pPr>
        <w:pStyle w:val="10"/>
        <w:numPr>
          <w:ilvl w:val="0"/>
          <w:numId w:val="1"/>
        </w:numPr>
        <w:spacing w:line="660" w:lineRule="exact"/>
        <w:rPr>
          <w:rFonts w:ascii="黑体" w:hAnsi="黑体" w:eastAsia="黑体"/>
          <w:sz w:val="32"/>
          <w:szCs w:val="32"/>
          <w:lang w:eastAsia="zh-CN"/>
        </w:rPr>
      </w:pPr>
      <w:r>
        <w:rPr>
          <w:rFonts w:hint="eastAsia" w:ascii="黑体" w:hAnsi="黑体" w:eastAsia="黑体"/>
          <w:sz w:val="32"/>
          <w:szCs w:val="32"/>
          <w:lang w:val="en-US" w:eastAsia="zh-CN"/>
        </w:rPr>
        <w:t>单位</w:t>
      </w:r>
      <w:r>
        <w:rPr>
          <w:rFonts w:hint="eastAsia" w:ascii="黑体" w:hAnsi="黑体" w:eastAsia="黑体"/>
          <w:sz w:val="32"/>
          <w:szCs w:val="32"/>
          <w:lang w:eastAsia="zh-CN"/>
        </w:rPr>
        <w:t>职责、机构设置等基本情况</w:t>
      </w:r>
    </w:p>
    <w:p>
      <w:pPr>
        <w:widowControl/>
        <w:spacing w:line="560" w:lineRule="exact"/>
        <w:ind w:firstLine="640" w:firstLineChars="200"/>
        <w:jc w:val="left"/>
        <w:rPr>
          <w:rFonts w:ascii="华文楷体" w:hAnsi="华文楷体" w:eastAsia="华文楷体"/>
          <w:sz w:val="32"/>
          <w:szCs w:val="32"/>
        </w:rPr>
      </w:pPr>
      <w:r>
        <w:rPr>
          <w:rFonts w:hint="eastAsia" w:ascii="华文楷体" w:hAnsi="华文楷体" w:eastAsia="华文楷体"/>
          <w:sz w:val="32"/>
          <w:szCs w:val="32"/>
          <w:lang w:val="en-US" w:eastAsia="zh-CN"/>
        </w:rPr>
        <w:t>单位</w:t>
      </w:r>
      <w:r>
        <w:rPr>
          <w:rFonts w:ascii="华文楷体" w:hAnsi="华文楷体" w:eastAsia="华文楷体"/>
          <w:sz w:val="32"/>
          <w:szCs w:val="32"/>
        </w:rPr>
        <w:t>职责</w:t>
      </w:r>
    </w:p>
    <w:p>
      <w:pPr>
        <w:widowControl/>
        <w:spacing w:line="560" w:lineRule="exact"/>
        <w:ind w:firstLine="640" w:firstLineChars="200"/>
        <w:jc w:val="left"/>
        <w:rPr>
          <w:rFonts w:ascii="仿宋" w:hAnsi="仿宋" w:eastAsia="仿宋"/>
          <w:sz w:val="32"/>
          <w:szCs w:val="32"/>
        </w:rPr>
      </w:pPr>
      <w:r>
        <w:rPr>
          <w:rFonts w:hint="eastAsia" w:ascii="仿宋" w:hAnsi="仿宋" w:eastAsia="仿宋" w:cs="宋体"/>
          <w:kern w:val="0"/>
          <w:sz w:val="32"/>
          <w:szCs w:val="32"/>
        </w:rPr>
        <w:t>根据《宁晋县公安局</w:t>
      </w:r>
      <w:r>
        <w:rPr>
          <w:rFonts w:hint="eastAsia" w:ascii="仿宋" w:hAnsi="仿宋" w:eastAsia="仿宋" w:cs="宋体"/>
          <w:kern w:val="0"/>
          <w:sz w:val="32"/>
          <w:szCs w:val="32"/>
          <w:lang w:eastAsia="zh-CN"/>
        </w:rPr>
        <w:t>职能配置、内设机构和人员编制规定》</w:t>
      </w:r>
      <w:r>
        <w:rPr>
          <w:rFonts w:hint="eastAsia" w:ascii="仿宋" w:hAnsi="仿宋" w:eastAsia="仿宋" w:cs="宋体"/>
          <w:kern w:val="0"/>
          <w:sz w:val="32"/>
          <w:szCs w:val="32"/>
        </w:rPr>
        <w:t>，宁晋县公安局的主要职责是：</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ind w:firstLine="640" w:firstLineChars="200"/>
        <w:rPr>
          <w:rFonts w:ascii="仿宋" w:hAnsi="仿宋" w:eastAsia="仿宋"/>
          <w:sz w:val="32"/>
          <w:szCs w:val="32"/>
        </w:rPr>
      </w:pPr>
    </w:p>
    <w:p>
      <w:pPr>
        <w:widowControl/>
        <w:spacing w:line="560" w:lineRule="exact"/>
        <w:ind w:firstLine="640"/>
        <w:jc w:val="left"/>
        <w:rPr>
          <w:rFonts w:ascii="仿宋" w:hAnsi="仿宋" w:eastAsia="仿宋" w:cs="宋体"/>
          <w:kern w:val="0"/>
          <w:sz w:val="32"/>
          <w:szCs w:val="32"/>
        </w:rPr>
      </w:pPr>
      <w:r>
        <w:rPr>
          <w:rFonts w:hint="eastAsia" w:ascii="华文楷体" w:hAnsi="华文楷体" w:eastAsia="华文楷体"/>
          <w:sz w:val="32"/>
          <w:szCs w:val="32"/>
        </w:rPr>
        <w:t>内设机构：</w:t>
      </w:r>
      <w:r>
        <w:rPr>
          <w:rFonts w:hint="eastAsia" w:ascii="仿宋" w:hAnsi="仿宋" w:eastAsia="仿宋" w:cs="宋体"/>
          <w:kern w:val="0"/>
          <w:sz w:val="32"/>
          <w:szCs w:val="32"/>
        </w:rPr>
        <w:t>根据主要职责，宁晋县公安局设</w:t>
      </w:r>
      <w:r>
        <w:rPr>
          <w:rFonts w:ascii="仿宋" w:hAnsi="仿宋" w:eastAsia="仿宋" w:cs="宋体"/>
          <w:kern w:val="0"/>
          <w:sz w:val="32"/>
          <w:szCs w:val="32"/>
        </w:rPr>
        <w:t>12</w:t>
      </w:r>
      <w:r>
        <w:rPr>
          <w:rFonts w:hint="eastAsia" w:ascii="仿宋" w:hAnsi="仿宋" w:eastAsia="仿宋" w:cs="宋体"/>
          <w:kern w:val="0"/>
          <w:sz w:val="32"/>
          <w:szCs w:val="32"/>
        </w:rPr>
        <w:t>个内设机构：</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二）刑事侦查。负责各类刑事案件、经济犯罪案件、毒品犯罪案件、网络犯罪案件、信息诈骗案件的侦察工作，协助开展暴力犯罪案件、文物走私案件、多发性侵财案件、黑恶社会性质组织案件和恶势力团伙案件和其他刑事案件的侦破。</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（三）户籍管理。对常住、暂住、重点人口和出租房屋进行治安管理；全县居民提供身份证、户口簿、准迁证、迁移证等特种证件的发放、存储等管理工作。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（七）监所管理。负责全县公安监管场所业务工作及在押人员的监管教育、安全防范工作，查处安全事故；负责监所硬件设施建设；做好教育感化深挖的犯罪工作。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九）环安大队。掌握全县环境犯罪动态，拟定预防、打击对策；直接侦办涉及环境违法犯罪的治安、刑事案件；建立与环保部门刑事执法与行政执法的相互衔接与协调联动机制，参与环境保护集中专项整治行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（十）执法建设。法制大队负责指导全县公安机关法制工作，规范指导各执法办案单位场所的建设使用；组织开展或指导执法质量考评、执法检查、个案检查、执法过错责任认定等执法监督工作。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r>
        <w:rPr>
          <w:rFonts w:ascii="仿宋" w:hAnsi="仿宋" w:eastAsia="仿宋" w:cs="宋体"/>
          <w:kern w:val="0"/>
          <w:sz w:val="32"/>
          <w:szCs w:val="32"/>
        </w:rPr>
        <w:t xml:space="preserve"> </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（十二）公安行政服务。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、办公室协助局领导组织、协调、处理日常政务；制定各项规范性文件，开展上级下发文件的收集、处置，做好各项保密文件的收集存档。</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、指挥中心负责协助局领导指挥、协调、处置突发事件及重大案（事）件；负责警务战备值班和</w:t>
      </w:r>
      <w:r>
        <w:rPr>
          <w:rFonts w:ascii="仿宋" w:hAnsi="仿宋" w:eastAsia="仿宋" w:cs="宋体"/>
          <w:kern w:val="0"/>
          <w:sz w:val="32"/>
          <w:szCs w:val="32"/>
        </w:rPr>
        <w:t>110</w:t>
      </w:r>
      <w:r>
        <w:rPr>
          <w:rFonts w:hint="eastAsia" w:ascii="仿宋" w:hAnsi="仿宋" w:eastAsia="仿宋" w:cs="宋体"/>
          <w:kern w:val="0"/>
          <w:sz w:val="32"/>
          <w:szCs w:val="32"/>
        </w:rPr>
        <w:t>报警，并做好组织指挥、协调处置工作；重点场所部位的监控工作。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、政治处承担公安民警专业培训任务；公安宣传、教育训练等思想政治工作；工资套改、警衔晋升培训、抚恤优待、工会活动、警体训练指导等工作。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、警务保障室指导全县公安机关财务及经费等保障工作，负责全县公安机关装备、被装配备管理；审核监督各类经费支出；业务用房和基础设施建设；负责局机关事务、接待等工作。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、公安信访负责非正常人员的上访的信息及各项大型会议的进京值班等上级交办的各项信访任务。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、警务督察大队负责局各项重大工作部署、对公安内部各办案场所和基层派出所值班人员值班备勤和窗口服务情况等内部工作的监督检查。</w:t>
      </w:r>
    </w:p>
    <w:p>
      <w:pPr>
        <w:spacing w:line="560" w:lineRule="exact"/>
        <w:ind w:firstLine="640" w:firstLineChars="200"/>
        <w:rPr>
          <w:rFonts w:ascii="仿宋" w:hAnsi="仿宋" w:eastAsia="仿宋" w:cs="宋体"/>
          <w:kern w:val="0"/>
          <w:sz w:val="32"/>
          <w:szCs w:val="32"/>
        </w:rPr>
      </w:pPr>
      <w:r>
        <w:rPr>
          <w:rFonts w:hint="eastAsia" w:ascii="华文楷体" w:hAnsi="华文楷体" w:eastAsia="华文楷体"/>
          <w:sz w:val="32"/>
          <w:szCs w:val="32"/>
        </w:rPr>
        <w:t>预算单位构成</w:t>
      </w:r>
      <w:r>
        <w:rPr>
          <w:rFonts w:ascii="华文楷体" w:hAnsi="华文楷体" w:eastAsia="华文楷体"/>
          <w:sz w:val="32"/>
          <w:szCs w:val="32"/>
        </w:rPr>
        <w:t>：</w:t>
      </w:r>
      <w:r>
        <w:rPr>
          <w:rFonts w:hint="eastAsia" w:ascii="仿宋" w:hAnsi="仿宋" w:eastAsia="仿宋" w:cs="宋体"/>
          <w:kern w:val="0"/>
          <w:sz w:val="32"/>
          <w:szCs w:val="32"/>
        </w:rPr>
        <w:t>从预算单位构成看，宁晋县公安局202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年度部门预算包括局本级预算和局属单位预算。</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纳入宁晋县公安局</w:t>
      </w:r>
      <w:r>
        <w:rPr>
          <w:rFonts w:hint="eastAsia" w:ascii="仿宋" w:hAnsi="仿宋" w:eastAsia="仿宋" w:cs="宋体"/>
          <w:kern w:val="0"/>
          <w:sz w:val="32"/>
          <w:szCs w:val="32"/>
          <w:lang w:val="en-US" w:eastAsia="zh-CN"/>
        </w:rPr>
        <w:t>本级</w:t>
      </w:r>
      <w:r>
        <w:rPr>
          <w:rFonts w:hint="eastAsia" w:ascii="仿宋" w:hAnsi="仿宋" w:eastAsia="仿宋" w:cs="宋体"/>
          <w:kern w:val="0"/>
          <w:sz w:val="32"/>
          <w:szCs w:val="32"/>
        </w:rPr>
        <w:t>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w:t>
      </w:r>
      <w:r>
        <w:rPr>
          <w:rFonts w:hint="eastAsia" w:ascii="仿宋" w:hAnsi="仿宋" w:eastAsia="仿宋" w:cs="宋体"/>
          <w:kern w:val="0"/>
          <w:sz w:val="32"/>
          <w:szCs w:val="32"/>
          <w:lang w:val="en-US" w:eastAsia="zh-CN"/>
        </w:rPr>
        <w:t>单位</w:t>
      </w:r>
      <w:r>
        <w:rPr>
          <w:rFonts w:hint="eastAsia" w:ascii="仿宋" w:hAnsi="仿宋" w:eastAsia="仿宋" w:cs="宋体"/>
          <w:kern w:val="0"/>
          <w:sz w:val="32"/>
          <w:szCs w:val="32"/>
        </w:rPr>
        <w:t>预算编制范围的单位共</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个，详细情况见下表：</w:t>
      </w:r>
    </w:p>
    <w:tbl>
      <w:tblPr>
        <w:tblStyle w:val="5"/>
        <w:tblW w:w="7950" w:type="dxa"/>
        <w:jc w:val="center"/>
        <w:tblLayout w:type="fixed"/>
        <w:tblCellMar>
          <w:top w:w="0" w:type="dxa"/>
          <w:left w:w="0" w:type="dxa"/>
          <w:bottom w:w="0" w:type="dxa"/>
          <w:right w:w="0" w:type="dxa"/>
        </w:tblCellMar>
      </w:tblPr>
      <w:tblGrid>
        <w:gridCol w:w="1528"/>
        <w:gridCol w:w="6422"/>
      </w:tblGrid>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序号</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单位名称</w:t>
            </w:r>
          </w:p>
        </w:tc>
      </w:tr>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default" w:ascii="仿宋" w:hAnsi="仿宋" w:eastAsia="仿宋" w:cs="宋体"/>
                <w:sz w:val="32"/>
                <w:szCs w:val="32"/>
              </w:rPr>
              <w:t>1</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宁晋县公安局本级</w:t>
            </w:r>
          </w:p>
        </w:tc>
      </w:tr>
    </w:tbl>
    <w:p>
      <w:pPr>
        <w:spacing w:line="560" w:lineRule="exact"/>
        <w:rPr>
          <w:rFonts w:ascii="仿宋" w:hAnsi="仿宋" w:eastAsia="仿宋" w:cs="宋体"/>
          <w:kern w:val="0"/>
          <w:sz w:val="32"/>
          <w:szCs w:val="32"/>
        </w:rPr>
      </w:pPr>
    </w:p>
    <w:p>
      <w:pPr>
        <w:widowControl/>
        <w:spacing w:line="560" w:lineRule="exact"/>
        <w:ind w:firstLine="643"/>
        <w:jc w:val="left"/>
        <w:rPr>
          <w:rFonts w:ascii="黑体" w:hAnsi="黑体" w:eastAsia="黑体"/>
          <w:sz w:val="32"/>
          <w:szCs w:val="32"/>
        </w:rPr>
      </w:pPr>
      <w:r>
        <w:rPr>
          <w:rFonts w:hint="eastAsia" w:ascii="黑体" w:hAnsi="黑体" w:eastAsia="黑体" w:cs="宋体"/>
          <w:kern w:val="0"/>
          <w:sz w:val="32"/>
          <w:szCs w:val="32"/>
        </w:rPr>
        <w:t>二、</w:t>
      </w:r>
      <w:r>
        <w:rPr>
          <w:rFonts w:hint="eastAsia" w:ascii="黑体" w:hAnsi="黑体" w:eastAsia="黑体" w:cs="宋体"/>
          <w:kern w:val="0"/>
          <w:sz w:val="32"/>
          <w:szCs w:val="32"/>
          <w:lang w:val="en-US" w:eastAsia="zh-CN"/>
        </w:rPr>
        <w:t>单位</w:t>
      </w:r>
      <w:r>
        <w:rPr>
          <w:rFonts w:hint="eastAsia" w:ascii="黑体" w:hAnsi="黑体" w:eastAsia="黑体" w:cs="宋体"/>
          <w:kern w:val="0"/>
          <w:sz w:val="32"/>
          <w:szCs w:val="32"/>
        </w:rPr>
        <w:t>预算安排的总体情况</w:t>
      </w:r>
    </w:p>
    <w:p>
      <w:pPr>
        <w:pStyle w:val="11"/>
        <w:rPr>
          <w:rFonts w:hint="eastAsia" w:ascii="仿宋" w:hAnsi="仿宋" w:eastAsia="仿宋" w:cs="仿宋"/>
          <w:sz w:val="32"/>
          <w:szCs w:val="32"/>
        </w:rPr>
      </w:pPr>
      <w:r>
        <w:rPr>
          <w:rFonts w:hint="eastAsia" w:ascii="仿宋" w:hAnsi="仿宋" w:eastAsia="仿宋" w:cs="仿宋"/>
          <w:sz w:val="32"/>
          <w:szCs w:val="32"/>
        </w:rPr>
        <w:t>我单位2022年一般公共预算拨款收入10479.86万元，较2021年预算总收入10241.71万元，增加238.15万元，增长2.3%，全部为一般公共预算拨款。2022年预算总支出10479.86万元，较2021年预算总支出10241.71万元，增加238.15万元，增长2.3%，其中基本支出：4524.86万元，项目支出：5955.00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三、机关运行经费安排情况</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我单位2022年机关运行经费583.52万元，其中办公费142.69万元、电费60万元、水费2万元、公务接待费2万元，公车运行维护费32万元、工会会费26.16万元、福利费36.47万元、公务移动通讯费用补贴82.5万元、公务交通补贴199.7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四、财政拨款</w:t>
      </w:r>
      <w:r>
        <w:rPr>
          <w:rFonts w:ascii="黑体" w:hAnsi="黑体" w:eastAsia="黑体" w:cs="宋体"/>
          <w:kern w:val="0"/>
          <w:sz w:val="32"/>
          <w:szCs w:val="32"/>
        </w:rPr>
        <w:t>“</w:t>
      </w:r>
      <w:r>
        <w:rPr>
          <w:rFonts w:hint="eastAsia" w:ascii="黑体" w:hAnsi="黑体" w:eastAsia="黑体" w:cs="宋体"/>
          <w:kern w:val="0"/>
          <w:sz w:val="32"/>
          <w:szCs w:val="32"/>
        </w:rPr>
        <w:t>三公</w:t>
      </w:r>
      <w:r>
        <w:rPr>
          <w:rFonts w:ascii="黑体" w:hAnsi="黑体" w:eastAsia="黑体" w:cs="宋体"/>
          <w:kern w:val="0"/>
          <w:sz w:val="32"/>
          <w:szCs w:val="32"/>
        </w:rPr>
        <w:t>”</w:t>
      </w:r>
      <w:r>
        <w:rPr>
          <w:rFonts w:hint="eastAsia" w:ascii="黑体" w:hAnsi="黑体" w:eastAsia="黑体" w:cs="宋体"/>
          <w:kern w:val="0"/>
          <w:sz w:val="32"/>
          <w:szCs w:val="32"/>
        </w:rPr>
        <w:t>经费预算情况及增减变化原因</w:t>
      </w:r>
    </w:p>
    <w:p>
      <w:pPr>
        <w:pStyle w:val="12"/>
        <w:rPr>
          <w:rFonts w:hint="eastAsia" w:ascii="仿宋" w:hAnsi="仿宋" w:eastAsia="仿宋" w:cs="仿宋"/>
          <w:sz w:val="32"/>
          <w:szCs w:val="32"/>
        </w:rPr>
      </w:pPr>
      <w:r>
        <w:rPr>
          <w:rFonts w:hint="eastAsia" w:ascii="仿宋" w:hAnsi="仿宋" w:eastAsia="仿宋" w:cs="仿宋"/>
          <w:sz w:val="32"/>
          <w:szCs w:val="32"/>
        </w:rPr>
        <w:t>我单位2022年“三公”经费预算数为87.56万元，比2021年（142万元）减少54.44万元，其中公务接待费2万元，与上年持平；公务用车购置及运行费85.56万元，比上年（140万元）减少54.44万元，主要是因为本年度减少公务用车购置；因公出国（境）费0万元，与上年持平。</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五、预算</w:t>
      </w:r>
      <w:r>
        <w:rPr>
          <w:rFonts w:hint="eastAsia" w:ascii="黑体" w:hAnsi="黑体" w:eastAsia="黑体" w:cs="宋体"/>
          <w:kern w:val="0"/>
          <w:sz w:val="32"/>
          <w:szCs w:val="32"/>
          <w:lang w:val="en-US" w:eastAsia="zh-CN"/>
        </w:rPr>
        <w:t>绩效</w:t>
      </w:r>
      <w:r>
        <w:rPr>
          <w:rFonts w:hint="eastAsia" w:ascii="黑体" w:hAnsi="黑体" w:eastAsia="黑体" w:cs="宋体"/>
          <w:kern w:val="0"/>
          <w:sz w:val="32"/>
          <w:szCs w:val="32"/>
        </w:rPr>
        <w:t>信息</w:t>
      </w:r>
    </w:p>
    <w:p>
      <w:pPr>
        <w:ind w:firstLine="640"/>
        <w:rPr>
          <w:rFonts w:ascii="华文楷体" w:hAnsi="华文楷体" w:eastAsia="华文楷体"/>
          <w:sz w:val="32"/>
          <w:szCs w:val="32"/>
        </w:rPr>
      </w:pPr>
      <w:r>
        <w:rPr>
          <w:rFonts w:hint="eastAsia" w:ascii="仿宋" w:hAnsi="仿宋" w:eastAsia="仿宋" w:cs="仿宋"/>
          <w:b/>
          <w:color w:val="000000"/>
          <w:sz w:val="32"/>
        </w:rPr>
        <w:t xml:space="preserve">第一部分 </w:t>
      </w:r>
      <w:r>
        <w:rPr>
          <w:rFonts w:hint="eastAsia" w:ascii="仿宋" w:hAnsi="仿宋" w:eastAsia="仿宋" w:cs="仿宋"/>
          <w:b/>
          <w:color w:val="000000"/>
          <w:sz w:val="32"/>
          <w:lang w:val="en-US" w:eastAsia="zh-CN"/>
        </w:rPr>
        <w:t>单位</w:t>
      </w:r>
      <w:r>
        <w:rPr>
          <w:rFonts w:hint="eastAsia" w:ascii="仿宋" w:hAnsi="仿宋" w:eastAsia="仿宋" w:cs="仿宋"/>
          <w:b/>
          <w:color w:val="000000"/>
          <w:sz w:val="32"/>
        </w:rPr>
        <w:t>整体绩效目标</w:t>
      </w:r>
    </w:p>
    <w:p>
      <w:pPr>
        <w:ind w:firstLine="640" w:firstLineChars="200"/>
        <w:jc w:val="left"/>
        <w:rPr>
          <w:rFonts w:ascii="华文楷体" w:hAnsi="华文楷体" w:eastAsia="华文楷体"/>
          <w:sz w:val="32"/>
          <w:szCs w:val="32"/>
        </w:rPr>
      </w:pPr>
      <w:r>
        <w:rPr>
          <w:rFonts w:hint="eastAsia" w:ascii="华文楷体" w:hAnsi="华文楷体" w:eastAsia="华文楷体"/>
          <w:sz w:val="32"/>
          <w:szCs w:val="32"/>
          <w:lang w:eastAsia="zh-CN"/>
        </w:rPr>
        <w:t>（一）</w:t>
      </w:r>
      <w:r>
        <w:rPr>
          <w:rFonts w:ascii="华文楷体" w:hAnsi="华文楷体" w:eastAsia="华文楷体"/>
          <w:sz w:val="32"/>
          <w:szCs w:val="32"/>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2022年宁晋县公安局在县委、县政府和上级公安机关的坚强领导下，以贯彻落实党的十九大精神和习近平总书记系列重要讲话为主线，编制并严格落实执行“十四五”装备规划建设，进一步提高政治站位和政治规矩，紧紧围绕全县中心工作，全力护航宁晋经济社会健康持续发展，聚焦“平安宁晋”建设，以打击犯罪、维护稳定、安保维稳、护航发展、服务民生为工作总基调，深化公安改革，推进“四项建设”，全面推进公安整体工作再上新台阶。</w:t>
      </w:r>
    </w:p>
    <w:p>
      <w:pPr>
        <w:spacing w:line="560" w:lineRule="exact"/>
        <w:ind w:firstLine="640" w:firstLineChars="200"/>
        <w:rPr>
          <w:rFonts w:ascii="方正楷体_GBK" w:eastAsia="方正楷体_GBK"/>
          <w:b/>
          <w:sz w:val="32"/>
          <w:szCs w:val="32"/>
        </w:rPr>
      </w:pPr>
      <w:r>
        <w:rPr>
          <w:rFonts w:hint="eastAsia" w:ascii="华文楷体" w:hAnsi="华文楷体" w:eastAsia="华文楷体"/>
          <w:sz w:val="32"/>
          <w:szCs w:val="32"/>
          <w:lang w:eastAsia="zh-CN"/>
        </w:rPr>
        <w:t>（二）分项</w:t>
      </w:r>
      <w:r>
        <w:rPr>
          <w:rFonts w:hint="eastAsia" w:ascii="华文楷体" w:hAnsi="华文楷体" w:eastAsia="华文楷体"/>
          <w:sz w:val="32"/>
          <w:szCs w:val="32"/>
        </w:rPr>
        <w:t>绩效目标</w:t>
      </w:r>
      <w:r>
        <w:rPr>
          <w:rFonts w:hint="eastAsia" w:ascii="方正楷体_GBK" w:eastAsia="方正楷体_GBK"/>
          <w:b/>
          <w:sz w:val="32"/>
          <w:szCs w:val="32"/>
        </w:rPr>
        <w:t>：</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hint="eastAsia"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rPr>
          <w:rFonts w:hint="eastAsia" w:ascii="仿宋" w:hAnsi="仿宋" w:eastAsia="仿宋" w:cs="宋体"/>
          <w:kern w:val="0"/>
          <w:sz w:val="32"/>
          <w:szCs w:val="32"/>
        </w:rPr>
      </w:pP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（三）工作保障措施</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落实执行“十四五”装备基础建设规划纲要。根据省公安厅装备建设要求，进一步健全应急装备物资的储备更新机制，对现有装备开展常态检查，淘汰落后警用装备，及时维护并更新，不断提升装备质量、完善装备种类、提高装备科技含量，保障公安机关工作需要。</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2、建立高效指挥体系，实施扁平化调度，提升快速处警能力。逐步更新指挥调度系统、视频会议系统；不断加强交警大队、特警大队、巡警大队警力整合力度，实行车巡、步巡、天网巡三结合的“大巡控”工作模式，逐步提升城区街面治安、交通管控能力。</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3、加大案件侦破力度。坚持命案必破理念，进一步完善全警联动、网上串并等命案侦破机制，按照配备标准逐步提高刑事技术装备质量，全面叫响宁晋命案侦破品牌；深入开展严打整治行动、“两抢一盗”、非法集资、新型电信诈骗等专项行动，让人民群众在破案追赃中看到公安机关维护社会稳定的决心和严惩犯罪的实质行动;加大网上逃犯抓逃力度，尤其针对外地逃犯要坚持网上网下巡查，技侦技术协作工作机制，力争实现逃犯在侦、在控。充分发挥y库建设，为打击侦破各类违法犯罪提供有力保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4、做好社会治安防控。通过全县84个小区智慧安防建设、管理平台搭建，不断提升社会治安防控能力。积极开展“网格化大排查”，积极开展烟花爆竹排查、法轮功等邪教分子排查、群体性隐患排查等行动；积极做好“两会、暑期安保”等安全保卫工作；理顺驻京工作队工作机制，开展信访人稳控、劝返任务，打造环京安全屏障，消除治安隐患；做强群防群治，积极物建群治力量，在有条件的社区、村镇安装防控联控视频监控设备，打造样板社区、样板村镇；加大食品药品犯罪领域案件侦破力度，保障群众舌尖上的安全。根据县局大巡控体系部署，不断提升巡逻装备水平，做好民警巡逻防护，不断加强敏感期、案件高发期巡逻密度，提升城区居民安全感和满意度。不断加强对政府机关、金融网点、油、电、气等部门的安全指导力度，提升安全自查水平。</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5、积极开展禁毒人民斗争。开展缉毒执法专项行动，打击各类吸贩毒行为，净化社会环境；严厉打击种植毒品行为，实现我县禁绝非法种植毒品原植物目标；扩大宣传范围，加大宣传力度，最大限度让群众知晓毒品危害。常态化开展走进社区、走进校园、走进机关等活动，开展禁毒知识讲座。</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6、加大环境违法犯罪打击力度。加大环境安全违法犯罪线索的摸排力度，扩大案件来源，积极配合相关部门开展环境安全检查，对环境污染行为绝不姑息迁就，一律顶格处理。购置涉环境违法犯罪相关检测设备，水质采集器、便携式毒害气体检测仪、土壤重金属检测仪、多参数水质分析仪等，进一步理顺污染环境犯罪送检机制。</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7、创新交通管理机制。加大全县范围内交通治理力度，实现控事故、保稳定工作目标。对重点国省道，着手建设道路监控设备。完善更新现有道路标识标牌。</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8、做好派出所基层基础建设。及时对基层设施进行改建维护，争取建设项目立项及申报资金。</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9、加强网络侦控力度。加大互联网舆情分析系统及高科技设备的投入，落实无线上网定位设备购置，全时段关注网民动态，及时做好网上封控疏导工作。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10、做好天网一期、二期、三期工程运维工作，提升农村科技防范水平。加快城区电子围栏建设，做好视频侦查设备配备、视频侦查系统建设，全面提升案件侦破力度。利用警用数字集群（PDT）通信系统，进一步完善指挥调度机制。</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11、推进执法规范化建设。建设高质量、高标准执法办案中心，全面提升执法效能。延伸办案区升级改造建设，对部分派出所办案区进行升级改造，最大限度提升办案水平。按照网上执法办案系统建设要求，配足硬件、做强软件，确保系统正常运转。完善网上执法考核措施，强化网上审批监督能力;加强执法理念教育，从源头上理性严格执法，严防涉法涉诉问题发生。</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12、积极推行“外网受理、内网办理”的模式。加大服务大厅规范改造建设，打造全天候、全流程方便群众办理各项业务。免费为群众办理户口准迁、户口本更换、居住证办理等业务，增加二代身份证信息采集系统的配备数量、自助满意拍，临时身份证立等可取设备、身份证、港澳通行证自助办理机，完成出入境系统升级改造。借力移动、联通、电信运营平台，对办事群众、案件当事人进行短信回访。做好外国人遣送出境工作，做好涉外婚姻管理，做好涉外人员案件办理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13、加大从优待警工作力度。完善民警健康体检，逐步提升基层民警生活、住宿水平，对援疆支暑民警进行慰问，改善基层民警的生活、办公环境。按照公安部建设标准，迅速开展民警休息用房摸底调查，在原有基础上提升建设标准，达到建设要求。</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14、加强民警业务培训。加强民警业务技能训练，扎实开展春训秋考、防汛抗旱、反恐演练、处突演练、技战术演练等训练科目，邀请省厅、市局相关业务专家针对暑期安保、专项安保等开展现场授课。完善民警（辅警）服装配备、武器弹药配备和民警个人防护装备配备工作。</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15、按照省厅市局统一部署，制定切实有效的辅警管理办法，落实省市下达的辅警相关待遇，激发辅警工作积极性，提升工作效能。</w:t>
      </w:r>
    </w:p>
    <w:p>
      <w:pPr>
        <w:spacing w:line="560" w:lineRule="exact"/>
        <w:rPr>
          <w:rFonts w:hint="eastAsia" w:ascii="仿宋" w:hAnsi="仿宋" w:eastAsia="仿宋" w:cs="宋体"/>
          <w:kern w:val="0"/>
          <w:sz w:val="32"/>
          <w:szCs w:val="32"/>
        </w:rPr>
      </w:pPr>
    </w:p>
    <w:p>
      <w:pPr>
        <w:spacing w:line="560" w:lineRule="exact"/>
        <w:rPr>
          <w:rFonts w:hint="eastAsia" w:ascii="仿宋" w:hAnsi="仿宋" w:eastAsia="仿宋" w:cs="宋体"/>
          <w:kern w:val="0"/>
          <w:sz w:val="32"/>
          <w:szCs w:val="32"/>
        </w:rPr>
        <w:sectPr>
          <w:headerReference r:id="rId3" w:type="default"/>
          <w:headerReference r:id="rId4" w:type="even"/>
          <w:pgSz w:w="16838" w:h="11906" w:orient="landscape"/>
          <w:pgMar w:top="1758" w:right="1440" w:bottom="1758" w:left="1440" w:header="851" w:footer="992" w:gutter="0"/>
          <w:cols w:space="425" w:num="1"/>
          <w:docGrid w:type="linesAndChars" w:linePitch="312" w:charSpace="0"/>
        </w:sectPr>
      </w:pPr>
    </w:p>
    <w:p>
      <w:pPr>
        <w:numPr>
          <w:ilvl w:val="0"/>
          <w:numId w:val="2"/>
        </w:numPr>
        <w:ind w:firstLine="640"/>
        <w:rPr>
          <w:rFonts w:hint="eastAsia" w:ascii="仿宋" w:hAnsi="仿宋" w:eastAsia="仿宋" w:cs="仿宋"/>
          <w:b/>
          <w:color w:val="000000"/>
          <w:sz w:val="32"/>
        </w:rPr>
      </w:pPr>
      <w:r>
        <w:rPr>
          <w:rFonts w:hint="eastAsia" w:ascii="仿宋" w:hAnsi="仿宋" w:eastAsia="仿宋" w:cs="仿宋"/>
          <w:b/>
          <w:color w:val="000000"/>
          <w:sz w:val="32"/>
        </w:rPr>
        <w:t xml:space="preserve"> 预算项目绩效目标</w:t>
      </w:r>
    </w:p>
    <w:p>
      <w:pPr>
        <w:widowControl w:val="0"/>
        <w:numPr>
          <w:ilvl w:val="0"/>
          <w:numId w:val="0"/>
        </w:numPr>
        <w:jc w:val="both"/>
        <w:rPr>
          <w:rFonts w:hint="eastAsia" w:ascii="仿宋" w:hAnsi="仿宋" w:eastAsia="仿宋" w:cs="仿宋"/>
          <w:b/>
          <w:color w:val="000000"/>
          <w:sz w:val="32"/>
        </w:r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1.2022年大曹庄辅警人员劳务费绩效目标表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13052822P000772100015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＝18人数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2.2022年段志林、贾小偶两人一次性抚恤金及丧葬费绩效目标表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13052822P00070110001W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2022年段志林、贾小偶两人一次性抚恤金及丧葬费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段志林、贾小偶两人一次性抚恤金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3.2022年劳务派遣人员劳务费绩效目标表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13052822P00077110001F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4.2022年李殿奎、戴国华、刘林科一次性抚恤金及丧葬费绩效目标表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13052822P00108610001F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2022年李殿奎、戴国华、刘林科一次性抚恤金及丧葬费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支付一次性抚恤金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5.2022年民警加班津贴绩效目标表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13052822P00076310001K</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6.2022年民警执勤津贴绩效目标表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13052822P000764100019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2022年民警执勤津贴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民警执勤津帖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1.保障单位人员津贴及时准确发放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7.2022年人事代理人员劳务费绩效目标表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13052822P00076710001A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8.2022年涉军安置人员劳务费绩效目标表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13052822P00076910001M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9.2022年事业人员劳务费绩效目标表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13052822P000768100010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＝59人数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10.2022年特警人员劳务费绩效目标表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13052822P00076610001L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11.2022年退休合同制工人统筹外项目绩效目标表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13052822P00921710002A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12.2022年巡警人员劳务费绩效目标表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13052822P00076510001Y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13.2022年转业士官劳务费绩效目标表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13052822P00077010001R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14.大曹庄天网、公安网专线租用费绩效目标表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15.大曹庄天网线路租用费绩效目标表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16.反诈骗经费绩效目标表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13052822P001099100398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反诈骗系统款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1.侦破案件、抓捕逃犯</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≥95协调督办案件数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≥95违法案件人均办案率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≥95信息化破案率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≥95有组织犯罪案件数降低率(%)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17.辅警公用经费绩效目标表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13052822P00109910032Y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加强辅警执勤装备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1.保障辅警执勤装备，提高辅警战斗力</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18.公安办案业务装备费（公用运转保障）绩效目标表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13052822P000926100017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公安办案业务装备费（公用运转保障）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19.公安视频传输网安全防护体系建设绩效目标表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13052822P00109910033J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1.全面提升我省公安视频传输网安全防护水平，坚决防止发生安全事件。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20.公安执法办案业务经费（公用运转保障）绩效目标表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13052822P00092710001W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21.禁毒经费绩效目标表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13052822P001099100275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1.巩固我县禁毒铲毒成果，毒品犯罪得到有效防范和控制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22.看守所人犯给养费、公务费绩效目标表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13052822P00109910030P</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1.保障被羁押人员生活、安全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23.宁晋县“雪亮工程”天网三期服务项目绩效目标表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13052822P00109910016M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24.宁晋县公安局天网维护项目绩效目标表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13052822P00109910024A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宁晋县公安局天网维护项目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25.派出所执法办案中心维护费（公用运转保障）绩效目标表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13052822P000929100018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1.维护执法办案中心设备正常运转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26.全县人脸识别自动测温平台线路租赁及运维费绩效目标表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13052822P00109910025X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完成网络安全检查工作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提高防疫工作效率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27.扫黑除恶专项经费绩效目标表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13052822P00109910028Q</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1.黑恶犯罪及新型犯罪得到有效打击</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28.提前下达2022年省级基层公检法司转移支付资金业务费（冀财政法[2021]63号）绩效目标表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13052822P00063410001U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提前下达2022年省级基层公检法司转移支付资金业务费（冀财政法[2021]63号）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用于支付办案业务差旅费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1.目标内容1</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29.提前下达2022年省级基层公检法司转移支付资金装备费（冀财政法[2021]63号）绩效目标表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13052822P000633100016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提前下达2022年省级基层公检法司转移支付资金装备费（冀财政法[2021]63号）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30.提前下达2022年中央政法纪检监察转移支付资金业务费（冀财政法[2021]62号）绩效目标表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13052822P00063210001G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提前下达2022年中央政法纪检监察转移支付资金业务费（冀财政法[2021]62号）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用于办理各项业务经费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1.为更好应对各种突发性事件，打击各种违法犯罪行为，保障</w:t>
            </w:r>
            <w:r>
              <w:rPr>
                <w:rFonts w:hint="eastAsia" w:cs="方正书宋_GBK"/>
                <w:sz w:val="21"/>
                <w:szCs w:val="21"/>
                <w:lang w:eastAsia="zh-CN"/>
              </w:rPr>
              <w:t>人民群众</w:t>
            </w:r>
            <w:r>
              <w:rPr>
                <w:rFonts w:hint="default" w:ascii="方正书宋_GBK" w:hAnsi="方正书宋_GBK" w:eastAsia="方正书宋_GBK" w:cs="方正书宋_GBK"/>
                <w:sz w:val="21"/>
                <w:szCs w:val="21"/>
              </w:rPr>
              <w:t>生命财产安全，保护社会和谐稳定。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31.提前下达2022年中央政法纪检监察转移支付资金装备费（冀财政法[2021]62号）绩效目标表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13052822P00063110001T</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提前下达2022年中央政法纪检监察转移支付资金装备费（冀财政法[2021]62号）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公安机关装备购置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32.天网二期网源租赁费绩效目标表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13052822P00109910019G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33.天网二期网源租赁费增补费绩效目标表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13052822P00109910020U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34.天网一期网源租赁费绩效目标表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35.天网运行维修维护费(公用运转保障)绩效目标表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13052822P00092810001J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1.提高辖区治安防范能力，维护辖区社会治安稳定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36.统筹外人员绩效奖金绩效目标表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13052822P00109910104U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保障统筹外退休人员绩效工资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1.保障统筹外退休人员绩效工资</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≥747元/月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37.武警中队营区硬化和围墙粉刷资金绩效目标表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13052822P00109910031B</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1.提升武警中队整体建设水平，便于官兵提升军事能力素质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38.武警中队专项经费绩效目标表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13052822P00109910029C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1.保障武警中队正常运转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39.烟花爆竹销毁及储存经费绩效目标表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13052822P00109910035R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烟花爆竹销毁及储存经费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1.及时、彻底消除隐患</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40.驻京工作队经费绩效目标表</w:t>
      </w:r>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13052822P00109910038L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1.为有力做好进京控访工作</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≥95有效化解涉检信访矛盾率（%）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≥95信访事项按期结案率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≥95信访投诉办结率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≥95保持信访形势总体平稳可控</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bl>
    <w:p>
      <w:pPr>
        <w:keepNext w:val="0"/>
        <w:keepLines w:val="0"/>
        <w:widowControl/>
        <w:suppressLineNumbers w:val="0"/>
        <w:spacing w:before="0" w:beforeAutospacing="0" w:after="0" w:afterAutospacing="0"/>
        <w:ind w:left="0" w:right="0"/>
        <w:jc w:val="left"/>
        <w:rPr>
          <w:rFonts w:hint="eastAsia" w:ascii="仿宋" w:hAnsi="仿宋" w:eastAsia="仿宋" w:cs="仿宋"/>
          <w:b/>
          <w:color w:val="000000"/>
          <w:sz w:val="32"/>
        </w:rPr>
        <w:sectPr>
          <w:pgSz w:w="11900" w:h="16840"/>
          <w:pgMar w:top="1020" w:right="1134" w:bottom="1020" w:left="1361" w:header="720" w:footer="720" w:gutter="0"/>
          <w:cols w:space="720" w:num="1"/>
        </w:sectPr>
      </w:pPr>
      <w:r>
        <w:rPr>
          <w:rFonts w:hint="default" w:ascii="Times New Roman" w:hAnsi="Times New Roman" w:eastAsia="宋体" w:cs="Times New Roman"/>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580" w:lineRule="exact"/>
        <w:ind w:right="0" w:rightChars="0" w:firstLine="650" w:firstLineChars="200"/>
        <w:jc w:val="left"/>
        <w:textAlignment w:val="auto"/>
        <w:outlineLvl w:val="2"/>
      </w:pPr>
      <w:r>
        <w:rPr>
          <w:rFonts w:ascii="黑体" w:hAnsi="黑体" w:eastAsia="黑体" w:cs="黑体"/>
          <w:color w:val="000000"/>
          <w:sz w:val="32"/>
        </w:rPr>
        <w:t>六、政府采购预算情况</w:t>
      </w:r>
    </w:p>
    <w:p>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2</w:t>
      </w:r>
      <w:r>
        <w:rPr>
          <w:rFonts w:ascii="Times New Roman" w:hAnsi="Times New Roman" w:eastAsia="方正仿宋_GBK" w:cs="Times New Roman"/>
          <w:b w:val="0"/>
          <w:color w:val="000000"/>
          <w:sz w:val="28"/>
        </w:rPr>
        <w:t>年，宁晋县</w:t>
      </w:r>
      <w:r>
        <w:rPr>
          <w:rFonts w:hint="eastAsia" w:ascii="Times New Roman" w:hAnsi="Times New Roman" w:eastAsia="方正仿宋_GBK" w:cs="Times New Roman"/>
          <w:b w:val="0"/>
          <w:color w:val="000000"/>
          <w:sz w:val="28"/>
          <w:lang w:eastAsia="zh-CN"/>
        </w:rPr>
        <w:t>公安局</w:t>
      </w:r>
      <w:r>
        <w:rPr>
          <w:rFonts w:ascii="Times New Roman" w:hAnsi="Times New Roman" w:eastAsia="方正仿宋_GBK" w:cs="Times New Roman"/>
          <w:b w:val="0"/>
          <w:color w:val="000000"/>
          <w:sz w:val="28"/>
        </w:rPr>
        <w:t>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21"/>
              <w:keepNext w:val="0"/>
              <w:keepLines w:val="0"/>
              <w:suppressLineNumbers w:val="0"/>
              <w:spacing w:beforeAutospacing="0" w:afterAutospacing="0"/>
              <w:ind w:left="0" w:right="0"/>
              <w:rPr>
                <w:rFonts w:hint="default"/>
              </w:rPr>
            </w:pPr>
            <w:r>
              <w:rPr>
                <w:rFonts w:hint="default"/>
              </w:rPr>
              <w:t>31</w:t>
            </w:r>
            <w:r>
              <w:rPr>
                <w:rFonts w:hint="eastAsia"/>
                <w:lang w:val="en-US" w:eastAsia="zh-CN"/>
              </w:rPr>
              <w:t>2</w:t>
            </w:r>
            <w:r>
              <w:rPr>
                <w:rFonts w:hint="default"/>
              </w:rPr>
              <w:t>宁晋县</w:t>
            </w:r>
            <w:r>
              <w:rPr>
                <w:rFonts w:hint="eastAsia"/>
                <w:lang w:eastAsia="zh-CN"/>
              </w:rPr>
              <w:t>公安</w:t>
            </w:r>
            <w:r>
              <w:rPr>
                <w:rFonts w:hint="default"/>
              </w:rPr>
              <w:t>局</w:t>
            </w:r>
          </w:p>
        </w:tc>
        <w:tc>
          <w:tcPr>
            <w:tcW w:w="8316" w:type="dxa"/>
            <w:gridSpan w:val="9"/>
            <w:tcBorders>
              <w:top w:val="single" w:color="FFFFFF" w:sz="6" w:space="0"/>
              <w:left w:val="single" w:color="FFFFFF" w:sz="6" w:space="0"/>
              <w:right w:val="single" w:color="FFFFFF" w:sz="6" w:space="0"/>
            </w:tcBorders>
            <w:vAlign w:val="center"/>
          </w:tcPr>
          <w:p>
            <w:pPr>
              <w:pStyle w:val="22"/>
              <w:keepNext w:val="0"/>
              <w:keepLines w:val="0"/>
              <w:suppressLineNumbers w:val="0"/>
              <w:spacing w:beforeAutospacing="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8"/>
              <w:keepNext w:val="0"/>
              <w:keepLines w:val="0"/>
              <w:suppressLineNumbers w:val="0"/>
            </w:pPr>
            <w:r>
              <w:t>政府采购项目来源</w:t>
            </w:r>
          </w:p>
        </w:tc>
        <w:tc>
          <w:tcPr>
            <w:tcW w:w="924" w:type="dxa"/>
            <w:vMerge w:val="restart"/>
            <w:vAlign w:val="center"/>
          </w:tcPr>
          <w:p>
            <w:pPr>
              <w:pStyle w:val="18"/>
              <w:keepNext w:val="0"/>
              <w:keepLines w:val="0"/>
              <w:suppressLineNumbers w:val="0"/>
            </w:pPr>
            <w:r>
              <w:t>采购物品名称</w:t>
            </w:r>
          </w:p>
        </w:tc>
        <w:tc>
          <w:tcPr>
            <w:tcW w:w="924" w:type="dxa"/>
            <w:vMerge w:val="restart"/>
            <w:vAlign w:val="center"/>
          </w:tcPr>
          <w:p>
            <w:pPr>
              <w:pStyle w:val="18"/>
              <w:keepNext w:val="0"/>
              <w:keepLines w:val="0"/>
              <w:suppressLineNumbers w:val="0"/>
            </w:pPr>
            <w:r>
              <w:t>政府采购目录序号</w:t>
            </w:r>
          </w:p>
        </w:tc>
        <w:tc>
          <w:tcPr>
            <w:tcW w:w="924" w:type="dxa"/>
            <w:vMerge w:val="restart"/>
            <w:vAlign w:val="center"/>
          </w:tcPr>
          <w:p>
            <w:pPr>
              <w:pStyle w:val="18"/>
              <w:keepNext w:val="0"/>
              <w:keepLines w:val="0"/>
              <w:suppressLineNumbers w:val="0"/>
            </w:pPr>
            <w:r>
              <w:t>计量  单位</w:t>
            </w:r>
          </w:p>
        </w:tc>
        <w:tc>
          <w:tcPr>
            <w:tcW w:w="924" w:type="dxa"/>
            <w:vMerge w:val="restart"/>
            <w:vAlign w:val="center"/>
          </w:tcPr>
          <w:p>
            <w:pPr>
              <w:pStyle w:val="18"/>
              <w:keepNext w:val="0"/>
              <w:keepLines w:val="0"/>
              <w:suppressLineNumbers w:val="0"/>
            </w:pPr>
            <w:r>
              <w:t>数量</w:t>
            </w:r>
          </w:p>
        </w:tc>
        <w:tc>
          <w:tcPr>
            <w:tcW w:w="924" w:type="dxa"/>
            <w:vMerge w:val="restart"/>
            <w:vAlign w:val="center"/>
          </w:tcPr>
          <w:p>
            <w:pPr>
              <w:pStyle w:val="18"/>
              <w:keepNext w:val="0"/>
              <w:keepLines w:val="0"/>
              <w:suppressLineNumbers w:val="0"/>
            </w:pPr>
            <w:r>
              <w:t>单价</w:t>
            </w:r>
          </w:p>
        </w:tc>
        <w:tc>
          <w:tcPr>
            <w:tcW w:w="7392" w:type="dxa"/>
            <w:gridSpan w:val="8"/>
            <w:vAlign w:val="center"/>
          </w:tcPr>
          <w:p>
            <w:pPr>
              <w:pStyle w:val="18"/>
              <w:keepNext w:val="0"/>
              <w:keepLines w:val="0"/>
              <w:suppressLineNumbers w:val="0"/>
            </w:pPr>
            <w:r>
              <w:t>政府采购金额（当年部门预算安排资金）</w:t>
            </w:r>
          </w:p>
        </w:tc>
        <w:tc>
          <w:tcPr>
            <w:tcW w:w="924" w:type="dxa"/>
            <w:vMerge w:val="restart"/>
            <w:vAlign w:val="center"/>
          </w:tcPr>
          <w:p>
            <w:pPr>
              <w:pStyle w:val="18"/>
              <w:keepNext w:val="0"/>
              <w:keepLines w:val="0"/>
              <w:suppressLineNumbers w:val="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8"/>
              <w:keepNext w:val="0"/>
              <w:keepLines w:val="0"/>
              <w:suppressLineNumbers w:val="0"/>
            </w:pPr>
            <w:r>
              <w:t>项目名称</w:t>
            </w:r>
          </w:p>
        </w:tc>
        <w:tc>
          <w:tcPr>
            <w:tcW w:w="924" w:type="dxa"/>
            <w:vAlign w:val="center"/>
          </w:tcPr>
          <w:p>
            <w:pPr>
              <w:pStyle w:val="18"/>
              <w:keepNext w:val="0"/>
              <w:keepLines w:val="0"/>
              <w:suppressLineNumbers w:val="0"/>
            </w:pPr>
            <w:r>
              <w:t>预算    资金</w:t>
            </w:r>
          </w:p>
        </w:tc>
        <w:tc>
          <w:tcPr>
            <w:tcW w:w="924" w:type="dxa"/>
            <w:vMerge w:val="continue"/>
          </w:tcPr>
          <w:p>
            <w:pPr>
              <w:keepNext w:val="0"/>
              <w:keepLines w:val="0"/>
              <w:suppressLineNumbers w:val="0"/>
              <w:spacing w:before="0" w:beforeAutospacing="0" w:after="0" w:afterAutospacing="0"/>
              <w:ind w:left="0" w:right="0"/>
              <w:rPr>
                <w:rFonts w:hint="default"/>
              </w:rPr>
            </w:pPr>
          </w:p>
        </w:tc>
        <w:tc>
          <w:tcPr>
            <w:tcW w:w="924" w:type="dxa"/>
            <w:vMerge w:val="continue"/>
          </w:tcPr>
          <w:p>
            <w:pPr>
              <w:keepNext w:val="0"/>
              <w:keepLines w:val="0"/>
              <w:suppressLineNumbers w:val="0"/>
              <w:spacing w:before="0" w:beforeAutospacing="0" w:after="0" w:afterAutospacing="0"/>
              <w:ind w:left="0" w:right="0"/>
              <w:rPr>
                <w:rFonts w:hint="default"/>
              </w:rPr>
            </w:pPr>
          </w:p>
        </w:tc>
        <w:tc>
          <w:tcPr>
            <w:tcW w:w="924" w:type="dxa"/>
            <w:vMerge w:val="continue"/>
          </w:tcPr>
          <w:p>
            <w:pPr>
              <w:keepNext w:val="0"/>
              <w:keepLines w:val="0"/>
              <w:suppressLineNumbers w:val="0"/>
              <w:spacing w:before="0" w:beforeAutospacing="0" w:after="0" w:afterAutospacing="0"/>
              <w:ind w:left="0" w:right="0"/>
              <w:rPr>
                <w:rFonts w:hint="default"/>
              </w:rPr>
            </w:pPr>
          </w:p>
        </w:tc>
        <w:tc>
          <w:tcPr>
            <w:tcW w:w="924" w:type="dxa"/>
            <w:vMerge w:val="continue"/>
          </w:tcPr>
          <w:p>
            <w:pPr>
              <w:keepNext w:val="0"/>
              <w:keepLines w:val="0"/>
              <w:suppressLineNumbers w:val="0"/>
              <w:spacing w:before="0" w:beforeAutospacing="0" w:after="0" w:afterAutospacing="0"/>
              <w:ind w:left="0" w:right="0"/>
              <w:rPr>
                <w:rFonts w:hint="default"/>
              </w:rPr>
            </w:pPr>
          </w:p>
        </w:tc>
        <w:tc>
          <w:tcPr>
            <w:tcW w:w="924" w:type="dxa"/>
            <w:vMerge w:val="continue"/>
          </w:tcPr>
          <w:p>
            <w:pPr>
              <w:keepNext w:val="0"/>
              <w:keepLines w:val="0"/>
              <w:suppressLineNumbers w:val="0"/>
              <w:spacing w:before="0" w:beforeAutospacing="0" w:after="0" w:afterAutospacing="0"/>
              <w:ind w:left="0" w:right="0"/>
              <w:rPr>
                <w:rFonts w:hint="default"/>
              </w:rPr>
            </w:pPr>
          </w:p>
        </w:tc>
        <w:tc>
          <w:tcPr>
            <w:tcW w:w="924" w:type="dxa"/>
            <w:vAlign w:val="center"/>
          </w:tcPr>
          <w:p>
            <w:pPr>
              <w:pStyle w:val="18"/>
              <w:keepNext w:val="0"/>
              <w:keepLines w:val="0"/>
              <w:suppressLineNumbers w:val="0"/>
            </w:pPr>
            <w:r>
              <w:t>合计</w:t>
            </w:r>
          </w:p>
        </w:tc>
        <w:tc>
          <w:tcPr>
            <w:tcW w:w="924" w:type="dxa"/>
            <w:vAlign w:val="center"/>
          </w:tcPr>
          <w:p>
            <w:pPr>
              <w:pStyle w:val="18"/>
              <w:keepNext w:val="0"/>
              <w:keepLines w:val="0"/>
              <w:suppressLineNumbers w:val="0"/>
            </w:pPr>
            <w:r>
              <w:t>一般公共预算拨款</w:t>
            </w:r>
          </w:p>
        </w:tc>
        <w:tc>
          <w:tcPr>
            <w:tcW w:w="924" w:type="dxa"/>
            <w:vAlign w:val="center"/>
          </w:tcPr>
          <w:p>
            <w:pPr>
              <w:pStyle w:val="18"/>
              <w:keepNext w:val="0"/>
              <w:keepLines w:val="0"/>
              <w:suppressLineNumbers w:val="0"/>
            </w:pPr>
            <w:r>
              <w:t>基金预算拨款</w:t>
            </w:r>
          </w:p>
        </w:tc>
        <w:tc>
          <w:tcPr>
            <w:tcW w:w="924" w:type="dxa"/>
            <w:vAlign w:val="center"/>
          </w:tcPr>
          <w:p>
            <w:pPr>
              <w:pStyle w:val="18"/>
              <w:keepNext w:val="0"/>
              <w:keepLines w:val="0"/>
              <w:suppressLineNumbers w:val="0"/>
            </w:pPr>
            <w:r>
              <w:t>国有资本经营预算拨款</w:t>
            </w:r>
          </w:p>
        </w:tc>
        <w:tc>
          <w:tcPr>
            <w:tcW w:w="924" w:type="dxa"/>
            <w:vAlign w:val="center"/>
          </w:tcPr>
          <w:p>
            <w:pPr>
              <w:pStyle w:val="18"/>
              <w:keepNext w:val="0"/>
              <w:keepLines w:val="0"/>
              <w:suppressLineNumbers w:val="0"/>
            </w:pPr>
            <w:r>
              <w:t>财政专户核拨</w:t>
            </w:r>
          </w:p>
        </w:tc>
        <w:tc>
          <w:tcPr>
            <w:tcW w:w="924" w:type="dxa"/>
            <w:vAlign w:val="center"/>
          </w:tcPr>
          <w:p>
            <w:pPr>
              <w:pStyle w:val="18"/>
              <w:keepNext w:val="0"/>
              <w:keepLines w:val="0"/>
              <w:suppressLineNumbers w:val="0"/>
            </w:pPr>
            <w:r>
              <w:t>单位    资金</w:t>
            </w:r>
          </w:p>
        </w:tc>
        <w:tc>
          <w:tcPr>
            <w:tcW w:w="924" w:type="dxa"/>
            <w:vAlign w:val="center"/>
          </w:tcPr>
          <w:p>
            <w:pPr>
              <w:pStyle w:val="18"/>
              <w:keepNext w:val="0"/>
              <w:keepLines w:val="0"/>
              <w:suppressLineNumbers w:val="0"/>
            </w:pPr>
            <w:r>
              <w:t>财政拨    款结转</w:t>
            </w:r>
          </w:p>
        </w:tc>
        <w:tc>
          <w:tcPr>
            <w:tcW w:w="924" w:type="dxa"/>
            <w:vAlign w:val="center"/>
          </w:tcPr>
          <w:p>
            <w:pPr>
              <w:pStyle w:val="18"/>
              <w:keepNext w:val="0"/>
              <w:keepLines w:val="0"/>
              <w:suppressLineNumbers w:val="0"/>
            </w:pPr>
            <w:r>
              <w:t>非财政    拨款结    转结余</w:t>
            </w:r>
          </w:p>
        </w:tc>
        <w:tc>
          <w:tcPr>
            <w:tcW w:w="924" w:type="dxa"/>
            <w:vMerge w:val="continue"/>
          </w:tcPr>
          <w:p>
            <w:pPr>
              <w:keepNext w:val="0"/>
              <w:keepLines w:val="0"/>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5" w:hRule="atLeast"/>
          <w:jc w:val="center"/>
        </w:trPr>
        <w:tc>
          <w:tcPr>
            <w:tcW w:w="924" w:type="dxa"/>
            <w:vAlign w:val="center"/>
          </w:tcPr>
          <w:p>
            <w:pPr>
              <w:pStyle w:val="17"/>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7"/>
              <w:keepNext w:val="0"/>
              <w:keepLines w:val="0"/>
              <w:suppressLineNumbers w:val="0"/>
            </w:pPr>
          </w:p>
        </w:tc>
        <w:tc>
          <w:tcPr>
            <w:tcW w:w="924" w:type="dxa"/>
            <w:vAlign w:val="center"/>
          </w:tcPr>
          <w:p>
            <w:pPr>
              <w:pStyle w:val="17"/>
              <w:keepNext w:val="0"/>
              <w:keepLines w:val="0"/>
              <w:suppressLineNumbers w:val="0"/>
            </w:pPr>
          </w:p>
        </w:tc>
        <w:tc>
          <w:tcPr>
            <w:tcW w:w="924" w:type="dxa"/>
            <w:vAlign w:val="center"/>
          </w:tcPr>
          <w:p>
            <w:pPr>
              <w:pStyle w:val="20"/>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c>
          <w:tcPr>
            <w:tcW w:w="924" w:type="dxa"/>
            <w:vAlign w:val="center"/>
          </w:tcPr>
          <w:p>
            <w:pPr>
              <w:pStyle w:val="19"/>
              <w:keepNext w:val="0"/>
              <w:keepLines w:val="0"/>
              <w:suppressLineNumbers w:val="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line="560" w:lineRule="exact"/>
        <w:rPr>
          <w:rFonts w:ascii="黑体" w:hAnsi="黑体" w:eastAsia="黑体" w:cs="宋体"/>
          <w:kern w:val="0"/>
          <w:sz w:val="32"/>
          <w:szCs w:val="32"/>
        </w:rPr>
      </w:pPr>
      <w:r>
        <w:rPr>
          <w:rFonts w:hint="eastAsia" w:ascii="黑体" w:hAnsi="黑体" w:eastAsia="黑体" w:cs="宋体"/>
          <w:kern w:val="0"/>
          <w:sz w:val="32"/>
          <w:szCs w:val="32"/>
        </w:rPr>
        <w:t>七、国有资产信息</w:t>
      </w:r>
    </w:p>
    <w:p>
      <w:pPr>
        <w:spacing w:line="560" w:lineRule="exact"/>
        <w:ind w:firstLine="650" w:firstLineChars="200"/>
        <w:jc w:val="left"/>
        <w:rPr>
          <w:rFonts w:ascii="仿宋" w:hAnsi="仿宋" w:eastAsia="仿宋" w:cs="宋体"/>
          <w:kern w:val="0"/>
          <w:sz w:val="32"/>
          <w:szCs w:val="32"/>
        </w:rPr>
      </w:pPr>
      <w:r>
        <w:rPr>
          <w:rFonts w:hint="eastAsia" w:ascii="仿宋" w:hAnsi="仿宋" w:eastAsia="仿宋" w:cs="宋体"/>
          <w:sz w:val="32"/>
          <w:szCs w:val="32"/>
        </w:rPr>
        <w:t>截止</w:t>
      </w:r>
      <w:r>
        <w:rPr>
          <w:rFonts w:ascii="仿宋" w:hAnsi="仿宋" w:eastAsia="仿宋" w:cs="宋体"/>
          <w:sz w:val="32"/>
          <w:szCs w:val="32"/>
        </w:rPr>
        <w:t>20</w:t>
      </w:r>
      <w:r>
        <w:rPr>
          <w:rFonts w:hint="eastAsia" w:ascii="仿宋" w:hAnsi="仿宋" w:eastAsia="仿宋" w:cs="宋体"/>
          <w:sz w:val="32"/>
          <w:szCs w:val="32"/>
          <w:lang w:val="en-US" w:eastAsia="zh-CN"/>
        </w:rPr>
        <w:t>21</w:t>
      </w:r>
      <w:r>
        <w:rPr>
          <w:rFonts w:hint="eastAsia" w:ascii="仿宋" w:hAnsi="仿宋" w:eastAsia="仿宋" w:cs="宋体"/>
          <w:sz w:val="32"/>
          <w:szCs w:val="32"/>
        </w:rPr>
        <w:t>年</w:t>
      </w:r>
      <w:r>
        <w:rPr>
          <w:rFonts w:ascii="仿宋" w:hAnsi="仿宋" w:eastAsia="仿宋" w:cs="宋体"/>
          <w:sz w:val="32"/>
          <w:szCs w:val="32"/>
        </w:rPr>
        <w:t>12</w:t>
      </w:r>
      <w:r>
        <w:rPr>
          <w:rFonts w:hint="eastAsia" w:ascii="仿宋" w:hAnsi="仿宋" w:eastAsia="仿宋" w:cs="宋体"/>
          <w:sz w:val="32"/>
          <w:szCs w:val="32"/>
        </w:rPr>
        <w:t>月</w:t>
      </w:r>
      <w:r>
        <w:rPr>
          <w:rFonts w:ascii="仿宋" w:hAnsi="仿宋" w:eastAsia="仿宋" w:cs="宋体"/>
          <w:sz w:val="32"/>
          <w:szCs w:val="32"/>
        </w:rPr>
        <w:t>31</w:t>
      </w:r>
      <w:r>
        <w:rPr>
          <w:rFonts w:hint="eastAsia" w:ascii="仿宋" w:hAnsi="仿宋" w:eastAsia="仿宋" w:cs="宋体"/>
          <w:sz w:val="32"/>
          <w:szCs w:val="32"/>
        </w:rPr>
        <w:t>日，我单位固定资产清查值</w:t>
      </w:r>
      <w:r>
        <w:rPr>
          <w:rFonts w:hint="eastAsia" w:ascii="仿宋" w:hAnsi="仿宋" w:eastAsia="仿宋" w:cs="宋体"/>
          <w:kern w:val="0"/>
          <w:sz w:val="32"/>
          <w:szCs w:val="32"/>
        </w:rPr>
        <w:t>为</w:t>
      </w:r>
      <w:r>
        <w:rPr>
          <w:rFonts w:hint="eastAsia" w:ascii="仿宋" w:hAnsi="仿宋" w:eastAsia="仿宋" w:cs="宋体"/>
          <w:kern w:val="0"/>
          <w:sz w:val="32"/>
          <w:szCs w:val="32"/>
          <w:lang w:val="en-US" w:eastAsia="zh-CN"/>
        </w:rPr>
        <w:t>13371.75</w:t>
      </w:r>
      <w:r>
        <w:rPr>
          <w:rFonts w:ascii="仿宋" w:hAnsi="仿宋" w:eastAsia="仿宋" w:cs="宋体"/>
          <w:kern w:val="0"/>
          <w:sz w:val="32"/>
          <w:szCs w:val="32"/>
        </w:rPr>
        <w:t xml:space="preserve"> </w:t>
      </w:r>
      <w:r>
        <w:rPr>
          <w:rFonts w:hint="eastAsia" w:ascii="仿宋" w:hAnsi="仿宋" w:eastAsia="仿宋" w:cs="宋体"/>
          <w:kern w:val="0"/>
          <w:sz w:val="32"/>
          <w:szCs w:val="32"/>
        </w:rPr>
        <w:t>万元。详见下表。</w:t>
      </w:r>
    </w:p>
    <w:p>
      <w:pPr>
        <w:spacing w:line="560" w:lineRule="exact"/>
        <w:ind w:firstLine="650" w:firstLineChars="200"/>
        <w:jc w:val="center"/>
        <w:rPr>
          <w:rFonts w:cs="宋体" w:asciiTheme="majorEastAsia" w:hAnsiTheme="majorEastAsia" w:eastAsiaTheme="majorEastAsia"/>
          <w:b/>
          <w:kern w:val="0"/>
          <w:sz w:val="32"/>
          <w:szCs w:val="32"/>
        </w:rPr>
      </w:pPr>
      <w:r>
        <w:rPr>
          <w:rFonts w:hint="eastAsia" w:cs="宋体" w:asciiTheme="majorEastAsia" w:hAnsiTheme="majorEastAsia" w:eastAsiaTheme="majorEastAsia"/>
          <w:b/>
          <w:kern w:val="0"/>
          <w:sz w:val="32"/>
          <w:szCs w:val="32"/>
        </w:rPr>
        <w:t>宁晋县公安局固定资产占用情况</w:t>
      </w:r>
    </w:p>
    <w:p>
      <w:pPr>
        <w:spacing w:line="560" w:lineRule="exact"/>
        <w:ind w:right="640" w:firstLine="8457" w:firstLineChars="3934"/>
        <w:jc w:val="right"/>
        <w:rPr>
          <w:rFonts w:ascii="仿宋" w:hAnsi="仿宋" w:eastAsia="仿宋" w:cs="宋体"/>
          <w:b/>
          <w:kern w:val="0"/>
          <w:szCs w:val="21"/>
        </w:rPr>
      </w:pPr>
      <w:r>
        <w:rPr>
          <w:rFonts w:hint="eastAsia" w:ascii="仿宋" w:hAnsi="仿宋" w:eastAsia="仿宋" w:cs="宋体"/>
          <w:b/>
          <w:kern w:val="0"/>
          <w:szCs w:val="21"/>
          <w:lang w:val="en-US" w:eastAsia="zh-CN"/>
        </w:rPr>
        <w:t xml:space="preserve">        </w:t>
      </w:r>
      <w:r>
        <w:rPr>
          <w:rFonts w:hint="eastAsia" w:ascii="仿宋" w:hAnsi="仿宋" w:eastAsia="仿宋" w:cs="宋体"/>
          <w:b/>
          <w:kern w:val="0"/>
          <w:szCs w:val="21"/>
        </w:rPr>
        <w:t>截止时间：20</w:t>
      </w:r>
      <w:r>
        <w:rPr>
          <w:rFonts w:hint="eastAsia" w:ascii="仿宋" w:hAnsi="仿宋" w:eastAsia="仿宋" w:cs="宋体"/>
          <w:b/>
          <w:kern w:val="0"/>
          <w:szCs w:val="21"/>
          <w:lang w:val="en-US" w:eastAsia="zh-CN"/>
        </w:rPr>
        <w:t>21</w:t>
      </w:r>
      <w:r>
        <w:rPr>
          <w:rFonts w:hint="eastAsia" w:ascii="仿宋" w:hAnsi="仿宋" w:eastAsia="仿宋" w:cs="宋体"/>
          <w:b/>
          <w:kern w:val="0"/>
          <w:szCs w:val="21"/>
        </w:rPr>
        <w:t>年12月31日</w:t>
      </w:r>
    </w:p>
    <w:tbl>
      <w:tblPr>
        <w:tblStyle w:val="5"/>
        <w:tblW w:w="8760" w:type="dxa"/>
        <w:jc w:val="center"/>
        <w:tblLayout w:type="fixed"/>
        <w:tblCellMar>
          <w:top w:w="0" w:type="dxa"/>
          <w:left w:w="108" w:type="dxa"/>
          <w:bottom w:w="0" w:type="dxa"/>
          <w:right w:w="108" w:type="dxa"/>
        </w:tblCellMar>
      </w:tblPr>
      <w:tblGrid>
        <w:gridCol w:w="2920"/>
        <w:gridCol w:w="2320"/>
        <w:gridCol w:w="3520"/>
      </w:tblGrid>
      <w:tr>
        <w:tblPrEx>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项目</w:t>
            </w:r>
          </w:p>
        </w:tc>
        <w:tc>
          <w:tcPr>
            <w:tcW w:w="23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数量</w:t>
            </w:r>
          </w:p>
        </w:tc>
        <w:tc>
          <w:tcPr>
            <w:tcW w:w="35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价值（金额单位：万元）</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固定资产总额</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default" w:ascii="仿宋" w:hAnsi="仿宋" w:eastAsia="仿宋" w:cs="宋体"/>
                <w:b/>
                <w:bCs/>
                <w:kern w:val="0"/>
                <w:sz w:val="28"/>
                <w:szCs w:val="28"/>
              </w:rPr>
              <w:t>——</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b/>
                <w:bCs/>
                <w:kern w:val="0"/>
                <w:sz w:val="28"/>
                <w:szCs w:val="28"/>
              </w:rPr>
            </w:pPr>
            <w:r>
              <w:rPr>
                <w:rFonts w:hint="eastAsia" w:ascii="仿宋" w:hAnsi="仿宋" w:eastAsia="仿宋" w:cs="宋体"/>
                <w:b/>
                <w:bCs/>
                <w:kern w:val="0"/>
                <w:sz w:val="28"/>
                <w:szCs w:val="28"/>
                <w:lang w:val="en-US" w:eastAsia="zh-CN"/>
              </w:rPr>
              <w:t>13371.75</w:t>
            </w:r>
            <w:r>
              <w:rPr>
                <w:rFonts w:hint="default" w:ascii="仿宋" w:hAnsi="仿宋" w:eastAsia="仿宋" w:cs="宋体"/>
                <w:b/>
                <w:bCs/>
                <w:kern w:val="0"/>
                <w:sz w:val="28"/>
                <w:szCs w:val="28"/>
              </w:rPr>
              <w:t xml:space="preserve"> </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eastAsia" w:ascii="仿宋" w:hAnsi="仿宋" w:eastAsia="仿宋" w:cs="宋体"/>
                <w:kern w:val="0"/>
                <w:sz w:val="28"/>
                <w:szCs w:val="28"/>
              </w:rPr>
              <w:t>其中：办公用房</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47</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768.11</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1</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399.42</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default" w:ascii="仿宋" w:hAnsi="仿宋" w:eastAsia="仿宋" w:cs="宋体"/>
                <w:kern w:val="0"/>
                <w:sz w:val="28"/>
                <w:szCs w:val="28"/>
              </w:rPr>
              <w:t>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5858.64</w:t>
            </w:r>
          </w:p>
        </w:tc>
      </w:tr>
    </w:tbl>
    <w:p>
      <w:pPr>
        <w:spacing w:line="560" w:lineRule="exact"/>
        <w:rPr>
          <w:rFonts w:ascii="黑体" w:hAnsi="黑体" w:eastAsia="黑体" w:cs="宋体"/>
          <w:kern w:val="0"/>
          <w:sz w:val="32"/>
          <w:szCs w:val="32"/>
        </w:rPr>
      </w:pPr>
    </w:p>
    <w:p>
      <w:pPr>
        <w:spacing w:line="560" w:lineRule="exact"/>
        <w:ind w:firstLine="812" w:firstLineChars="250"/>
        <w:rPr>
          <w:rFonts w:ascii="黑体" w:hAnsi="黑体" w:eastAsia="黑体" w:cs="宋体"/>
          <w:kern w:val="0"/>
          <w:sz w:val="32"/>
          <w:szCs w:val="32"/>
        </w:rPr>
      </w:pPr>
      <w:r>
        <w:rPr>
          <w:rFonts w:hint="eastAsia" w:ascii="黑体" w:hAnsi="黑体" w:eastAsia="黑体" w:cs="宋体"/>
          <w:kern w:val="0"/>
          <w:sz w:val="32"/>
          <w:szCs w:val="32"/>
        </w:rPr>
        <w:t>八、名词解释</w:t>
      </w:r>
    </w:p>
    <w:p>
      <w:pPr>
        <w:spacing w:line="560" w:lineRule="exact"/>
        <w:ind w:firstLine="650" w:firstLineChars="200"/>
        <w:jc w:val="left"/>
        <w:rPr>
          <w:rFonts w:ascii="仿宋" w:hAnsi="仿宋" w:eastAsia="仿宋" w:cs="FZFSK--GBK1-0"/>
          <w:b/>
          <w:bCs/>
          <w:kern w:val="0"/>
          <w:sz w:val="32"/>
          <w:szCs w:val="32"/>
        </w:rPr>
      </w:pPr>
      <w:r>
        <w:rPr>
          <w:rFonts w:hint="eastAsia" w:ascii="仿宋" w:hAnsi="仿宋" w:eastAsia="仿宋"/>
          <w:b/>
          <w:sz w:val="32"/>
          <w:szCs w:val="32"/>
        </w:rPr>
        <w:t>（一）财政拨款收入：</w:t>
      </w:r>
      <w:r>
        <w:rPr>
          <w:rFonts w:hint="eastAsia" w:ascii="仿宋" w:hAnsi="仿宋" w:eastAsia="仿宋"/>
          <w:sz w:val="32"/>
          <w:szCs w:val="32"/>
        </w:rPr>
        <w:t>指本级财政当年拨付的资金。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二</w:t>
      </w:r>
      <w:r>
        <w:rPr>
          <w:rFonts w:ascii="仿宋" w:hAnsi="仿宋" w:eastAsia="仿宋"/>
          <w:b/>
          <w:sz w:val="32"/>
          <w:szCs w:val="32"/>
        </w:rPr>
        <w:t>)</w:t>
      </w:r>
      <w:r>
        <w:rPr>
          <w:rFonts w:hint="eastAsia" w:ascii="仿宋" w:hAnsi="仿宋" w:eastAsia="仿宋"/>
          <w:b/>
          <w:sz w:val="32"/>
          <w:szCs w:val="32"/>
        </w:rPr>
        <w:t>年初结转和结余：</w:t>
      </w:r>
      <w:r>
        <w:rPr>
          <w:rFonts w:hint="eastAsia" w:ascii="仿宋" w:hAnsi="仿宋" w:eastAsia="仿宋"/>
          <w:sz w:val="32"/>
          <w:szCs w:val="32"/>
        </w:rPr>
        <w:t>指以前年度尚未完成、结转到本年按有关规定继续使用的资金。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三</w:t>
      </w:r>
      <w:r>
        <w:rPr>
          <w:rFonts w:ascii="仿宋" w:hAnsi="仿宋" w:eastAsia="仿宋"/>
          <w:b/>
          <w:sz w:val="32"/>
          <w:szCs w:val="32"/>
        </w:rPr>
        <w:t>)</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四</w:t>
      </w:r>
      <w:r>
        <w:rPr>
          <w:rFonts w:ascii="仿宋" w:hAnsi="仿宋" w:eastAsia="仿宋"/>
          <w:b/>
          <w:sz w:val="32"/>
          <w:szCs w:val="32"/>
        </w:rPr>
        <w:t>)</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spacing w:line="560" w:lineRule="exact"/>
        <w:ind w:firstLine="812" w:firstLineChars="250"/>
        <w:jc w:val="left"/>
        <w:rPr>
          <w:rFonts w:ascii="仿宋" w:hAnsi="仿宋" w:eastAsia="仿宋" w:cs="宋体"/>
          <w:kern w:val="0"/>
          <w:sz w:val="32"/>
          <w:szCs w:val="32"/>
        </w:rPr>
      </w:pPr>
      <w:r>
        <w:rPr>
          <w:rFonts w:ascii="仿宋" w:hAnsi="仿宋" w:eastAsia="仿宋"/>
          <w:b/>
          <w:sz w:val="32"/>
          <w:szCs w:val="32"/>
        </w:rPr>
        <w:t>(</w:t>
      </w:r>
      <w:r>
        <w:rPr>
          <w:rFonts w:hint="eastAsia" w:ascii="仿宋" w:hAnsi="仿宋" w:eastAsia="仿宋"/>
          <w:b/>
          <w:sz w:val="32"/>
          <w:szCs w:val="32"/>
        </w:rPr>
        <w:t>五</w:t>
      </w:r>
      <w:r>
        <w:rPr>
          <w:rFonts w:ascii="仿宋" w:hAnsi="仿宋" w:eastAsia="仿宋"/>
          <w:b/>
          <w:sz w:val="32"/>
          <w:szCs w:val="32"/>
        </w:rPr>
        <w:t>)</w:t>
      </w:r>
      <w:r>
        <w:rPr>
          <w:rFonts w:hint="eastAsia" w:ascii="仿宋" w:hAnsi="仿宋" w:eastAsia="仿宋"/>
          <w:b/>
          <w:sz w:val="32"/>
          <w:szCs w:val="32"/>
        </w:rPr>
        <w:t>“三公”经费：</w:t>
      </w:r>
      <w:r>
        <w:rPr>
          <w:rFonts w:hint="eastAsia" w:ascii="仿宋" w:hAnsi="仿宋" w:eastAsia="仿宋"/>
          <w:sz w:val="32"/>
          <w:szCs w:val="32"/>
        </w:rPr>
        <w:t>纳入本级财政预决算管理的“三公”经费，是指本级部门用财政拨款安排的因公出国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的国际旅费、国外城市间交通费、住宿费、伙食费、培训费、公杂费等支出</w:t>
      </w:r>
      <w:r>
        <w:rPr>
          <w:rFonts w:ascii="仿宋" w:hAnsi="仿宋" w:eastAsia="仿宋"/>
          <w:sz w:val="32"/>
          <w:szCs w:val="32"/>
        </w:rPr>
        <w:t>;</w:t>
      </w:r>
      <w:r>
        <w:rPr>
          <w:rFonts w:hint="eastAsia" w:ascii="仿宋" w:hAnsi="仿宋" w:eastAsia="仿宋"/>
          <w:sz w:val="32"/>
          <w:szCs w:val="32"/>
        </w:rPr>
        <w:t>公务用车购置及运行费反映单位公务用车车辆购置支出</w:t>
      </w:r>
      <w:r>
        <w:rPr>
          <w:rFonts w:ascii="仿宋" w:hAnsi="仿宋" w:eastAsia="仿宋"/>
          <w:sz w:val="32"/>
          <w:szCs w:val="32"/>
        </w:rPr>
        <w:t>(</w:t>
      </w:r>
      <w:r>
        <w:rPr>
          <w:rFonts w:hint="eastAsia" w:ascii="仿宋" w:hAnsi="仿宋" w:eastAsia="仿宋"/>
          <w:sz w:val="32"/>
          <w:szCs w:val="32"/>
        </w:rPr>
        <w:t>含车辆购置税</w:t>
      </w:r>
      <w:r>
        <w:rPr>
          <w:rFonts w:ascii="仿宋" w:hAnsi="仿宋" w:eastAsia="仿宋"/>
          <w:sz w:val="32"/>
          <w:szCs w:val="32"/>
        </w:rPr>
        <w:t>)</w:t>
      </w:r>
      <w:r>
        <w:rPr>
          <w:rFonts w:hint="eastAsia" w:ascii="仿宋" w:hAnsi="仿宋" w:eastAsia="仿宋"/>
          <w:sz w:val="32"/>
          <w:szCs w:val="32"/>
        </w:rPr>
        <w:t>及租用费、燃料费、维修费、过路过桥费、保险费、安全奖励费用等支出</w:t>
      </w:r>
      <w:r>
        <w:rPr>
          <w:rFonts w:ascii="仿宋" w:hAnsi="仿宋" w:eastAsia="仿宋"/>
          <w:sz w:val="32"/>
          <w:szCs w:val="32"/>
        </w:rPr>
        <w:t>;</w:t>
      </w:r>
      <w:r>
        <w:rPr>
          <w:rFonts w:hint="eastAsia" w:ascii="仿宋" w:hAnsi="仿宋" w:eastAsia="仿宋"/>
          <w:sz w:val="32"/>
          <w:szCs w:val="32"/>
        </w:rPr>
        <w:t>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pStyle w:val="4"/>
        <w:spacing w:before="0" w:beforeAutospacing="0" w:after="0" w:afterAutospacing="0" w:line="560" w:lineRule="exact"/>
        <w:ind w:firstLine="802" w:firstLineChars="247"/>
        <w:rPr>
          <w:rFonts w:ascii="仿宋" w:hAnsi="仿宋" w:eastAsia="仿宋" w:cs="Times New Roman"/>
          <w:kern w:val="2"/>
          <w:sz w:val="32"/>
          <w:szCs w:val="32"/>
        </w:rPr>
      </w:pPr>
      <w:r>
        <w:rPr>
          <w:rFonts w:ascii="仿宋" w:hAnsi="仿宋" w:eastAsia="仿宋" w:cs="Times New Roman"/>
          <w:b/>
          <w:kern w:val="2"/>
          <w:sz w:val="32"/>
          <w:szCs w:val="32"/>
        </w:rPr>
        <w:t>(</w:t>
      </w:r>
      <w:r>
        <w:rPr>
          <w:rFonts w:hint="eastAsia" w:ascii="仿宋" w:hAnsi="仿宋" w:eastAsia="仿宋" w:cs="Times New Roman"/>
          <w:b/>
          <w:kern w:val="2"/>
          <w:sz w:val="32"/>
          <w:szCs w:val="32"/>
        </w:rPr>
        <w:t>六</w:t>
      </w:r>
      <w:r>
        <w:rPr>
          <w:rFonts w:ascii="仿宋" w:hAnsi="仿宋" w:eastAsia="仿宋" w:cs="Times New Roman"/>
          <w:b/>
          <w:kern w:val="2"/>
          <w:sz w:val="32"/>
          <w:szCs w:val="32"/>
        </w:rPr>
        <w:t>)</w:t>
      </w:r>
      <w:r>
        <w:rPr>
          <w:rFonts w:hint="eastAsia" w:ascii="仿宋" w:hAnsi="仿宋" w:eastAsia="仿宋" w:cs="Times New Roman"/>
          <w:b/>
          <w:kern w:val="2"/>
          <w:sz w:val="32"/>
          <w:szCs w:val="32"/>
        </w:rPr>
        <w:t>机关运行经费：</w:t>
      </w:r>
      <w:r>
        <w:rPr>
          <w:rFonts w:hint="eastAsia" w:ascii="仿宋" w:hAnsi="仿宋" w:eastAsia="仿宋" w:cs="Times New Roman"/>
          <w:kern w:val="2"/>
          <w:sz w:val="32"/>
          <w:szCs w:val="32"/>
        </w:rPr>
        <w:t>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50" w:firstLineChars="200"/>
        <w:rPr>
          <w:rFonts w:ascii="黑体" w:hAnsi="黑体" w:eastAsia="黑体" w:cs="宋体"/>
          <w:kern w:val="0"/>
          <w:sz w:val="32"/>
          <w:szCs w:val="32"/>
        </w:rPr>
      </w:pPr>
      <w:r>
        <w:rPr>
          <w:rFonts w:hint="eastAsia" w:ascii="黑体" w:hAnsi="黑体" w:eastAsia="黑体" w:cs="宋体"/>
          <w:kern w:val="0"/>
          <w:sz w:val="32"/>
          <w:szCs w:val="32"/>
        </w:rPr>
        <w:t>九、其他需要说明的事项</w:t>
      </w:r>
    </w:p>
    <w:p>
      <w:pPr>
        <w:widowControl/>
        <w:spacing w:line="560" w:lineRule="exact"/>
        <w:ind w:firstLine="640"/>
        <w:jc w:val="left"/>
        <w:rPr>
          <w:rFonts w:hint="eastAsia" w:ascii="仿宋" w:hAnsi="仿宋" w:eastAsia="仿宋"/>
          <w:sz w:val="32"/>
          <w:szCs w:val="32"/>
        </w:rPr>
      </w:pPr>
      <w:r>
        <w:rPr>
          <w:rFonts w:hint="eastAsia" w:ascii="仿宋" w:hAnsi="仿宋" w:eastAsia="仿宋"/>
          <w:sz w:val="32"/>
          <w:szCs w:val="32"/>
        </w:rPr>
        <w:t>无其他需要说明的事项。</w:t>
      </w: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jc w:val="left"/>
        <w:rPr>
          <w:rFonts w:hint="eastAsia" w:ascii="仿宋" w:hAnsi="仿宋" w:eastAsia="仿宋"/>
          <w:sz w:val="32"/>
          <w:szCs w:val="32"/>
        </w:rPr>
      </w:pPr>
    </w:p>
    <w:sectPr>
      <w:pgSz w:w="16838" w:h="11906" w:orient="landscape"/>
      <w:pgMar w:top="1757" w:right="1440" w:bottom="1757" w:left="1440" w:header="851" w:footer="992" w:gutter="0"/>
      <w:cols w:space="0" w:num="1"/>
      <w:rtlGutter w:val="0"/>
      <w:docGrid w:type="linesAndChars" w:linePitch="322" w:charSpace="10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FZFSK--GBK1-0">
    <w:altName w:val="黑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CDF3F0"/>
    <w:multiLevelType w:val="singleLevel"/>
    <w:tmpl w:val="83CDF3F0"/>
    <w:lvl w:ilvl="0" w:tentative="0">
      <w:start w:val="2"/>
      <w:numFmt w:val="chineseCounting"/>
      <w:suff w:val="space"/>
      <w:lvlText w:val="第%1部分"/>
      <w:lvlJc w:val="left"/>
      <w:rPr>
        <w:rFonts w:hint="eastAsia"/>
      </w:rPr>
    </w:lvl>
  </w:abstractNum>
  <w:abstractNum w:abstractNumId="1">
    <w:nsid w:val="52DB58BE"/>
    <w:multiLevelType w:val="multilevel"/>
    <w:tmpl w:val="52DB58BE"/>
    <w:lvl w:ilvl="0" w:tentative="0">
      <w:start w:val="1"/>
      <w:numFmt w:val="japaneseCounting"/>
      <w:lvlText w:val="%1、"/>
      <w:lvlJc w:val="left"/>
      <w:pPr>
        <w:ind w:left="1335" w:hanging="720"/>
      </w:pPr>
      <w:rPr>
        <w:rFonts w:hint="default"/>
      </w:rPr>
    </w:lvl>
    <w:lvl w:ilvl="1" w:tentative="0">
      <w:start w:val="1"/>
      <w:numFmt w:val="lowerLetter"/>
      <w:lvlText w:val="%2)"/>
      <w:lvlJc w:val="left"/>
      <w:pPr>
        <w:ind w:left="1455" w:hanging="420"/>
      </w:pPr>
    </w:lvl>
    <w:lvl w:ilvl="2" w:tentative="0">
      <w:start w:val="1"/>
      <w:numFmt w:val="lowerRoman"/>
      <w:lvlText w:val="%3."/>
      <w:lvlJc w:val="right"/>
      <w:pPr>
        <w:ind w:left="1875" w:hanging="420"/>
      </w:pPr>
    </w:lvl>
    <w:lvl w:ilvl="3" w:tentative="0">
      <w:start w:val="1"/>
      <w:numFmt w:val="decimal"/>
      <w:lvlText w:val="%4."/>
      <w:lvlJc w:val="left"/>
      <w:pPr>
        <w:ind w:left="2295" w:hanging="420"/>
      </w:pPr>
    </w:lvl>
    <w:lvl w:ilvl="4" w:tentative="0">
      <w:start w:val="1"/>
      <w:numFmt w:val="lowerLetter"/>
      <w:lvlText w:val="%5)"/>
      <w:lvlJc w:val="left"/>
      <w:pPr>
        <w:ind w:left="2715" w:hanging="420"/>
      </w:pPr>
    </w:lvl>
    <w:lvl w:ilvl="5" w:tentative="0">
      <w:start w:val="1"/>
      <w:numFmt w:val="lowerRoman"/>
      <w:lvlText w:val="%6."/>
      <w:lvlJc w:val="right"/>
      <w:pPr>
        <w:ind w:left="3135" w:hanging="420"/>
      </w:pPr>
    </w:lvl>
    <w:lvl w:ilvl="6" w:tentative="0">
      <w:start w:val="1"/>
      <w:numFmt w:val="decimal"/>
      <w:lvlText w:val="%7."/>
      <w:lvlJc w:val="left"/>
      <w:pPr>
        <w:ind w:left="3555" w:hanging="420"/>
      </w:pPr>
    </w:lvl>
    <w:lvl w:ilvl="7" w:tentative="0">
      <w:start w:val="1"/>
      <w:numFmt w:val="lowerLetter"/>
      <w:lvlText w:val="%8)"/>
      <w:lvlJc w:val="left"/>
      <w:pPr>
        <w:ind w:left="3975" w:hanging="420"/>
      </w:pPr>
    </w:lvl>
    <w:lvl w:ilvl="8" w:tentative="0">
      <w:start w:val="1"/>
      <w:numFmt w:val="lowerRoman"/>
      <w:lvlText w:val="%9."/>
      <w:lvlJc w:val="right"/>
      <w:pPr>
        <w:ind w:left="439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8"/>
  <w:drawingGridVerticalSpacing w:val="161"/>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NjNzU0NGY2MGIwMjg4ZjM3YzMwODNmYTUzY2FhYTIifQ=="/>
  </w:docVars>
  <w:rsids>
    <w:rsidRoot w:val="00172A27"/>
    <w:rsid w:val="00040ACF"/>
    <w:rsid w:val="000418B4"/>
    <w:rsid w:val="00047E76"/>
    <w:rsid w:val="000736F4"/>
    <w:rsid w:val="000767F0"/>
    <w:rsid w:val="00084C3E"/>
    <w:rsid w:val="000A278C"/>
    <w:rsid w:val="000B59A1"/>
    <w:rsid w:val="000C113E"/>
    <w:rsid w:val="000D5D89"/>
    <w:rsid w:val="000D69D9"/>
    <w:rsid w:val="000E532F"/>
    <w:rsid w:val="00183122"/>
    <w:rsid w:val="00196866"/>
    <w:rsid w:val="001C3980"/>
    <w:rsid w:val="001D3BD4"/>
    <w:rsid w:val="001E2CBF"/>
    <w:rsid w:val="001E6131"/>
    <w:rsid w:val="001E7669"/>
    <w:rsid w:val="001F36AF"/>
    <w:rsid w:val="00277626"/>
    <w:rsid w:val="0028056A"/>
    <w:rsid w:val="00281C9B"/>
    <w:rsid w:val="00282AC5"/>
    <w:rsid w:val="00293F1C"/>
    <w:rsid w:val="002A031D"/>
    <w:rsid w:val="002D3781"/>
    <w:rsid w:val="002E4539"/>
    <w:rsid w:val="00317903"/>
    <w:rsid w:val="00325C6E"/>
    <w:rsid w:val="00326421"/>
    <w:rsid w:val="00331DA0"/>
    <w:rsid w:val="00336AB9"/>
    <w:rsid w:val="00346A66"/>
    <w:rsid w:val="003D4722"/>
    <w:rsid w:val="003E430B"/>
    <w:rsid w:val="003E7E51"/>
    <w:rsid w:val="003F1D49"/>
    <w:rsid w:val="004576B5"/>
    <w:rsid w:val="004642A8"/>
    <w:rsid w:val="00472F8B"/>
    <w:rsid w:val="004A1E9F"/>
    <w:rsid w:val="004D1CEC"/>
    <w:rsid w:val="004E2334"/>
    <w:rsid w:val="004F2861"/>
    <w:rsid w:val="005070F1"/>
    <w:rsid w:val="005222C3"/>
    <w:rsid w:val="00540D1F"/>
    <w:rsid w:val="005479EF"/>
    <w:rsid w:val="005532D0"/>
    <w:rsid w:val="005A294E"/>
    <w:rsid w:val="006231A0"/>
    <w:rsid w:val="00646F2F"/>
    <w:rsid w:val="006701E0"/>
    <w:rsid w:val="006C4A76"/>
    <w:rsid w:val="006D03F9"/>
    <w:rsid w:val="00704E2A"/>
    <w:rsid w:val="00733BBA"/>
    <w:rsid w:val="00743788"/>
    <w:rsid w:val="00750DE3"/>
    <w:rsid w:val="007537F4"/>
    <w:rsid w:val="00764425"/>
    <w:rsid w:val="007745B5"/>
    <w:rsid w:val="00783854"/>
    <w:rsid w:val="007A19EA"/>
    <w:rsid w:val="007A4376"/>
    <w:rsid w:val="007E57E7"/>
    <w:rsid w:val="00803788"/>
    <w:rsid w:val="008127F3"/>
    <w:rsid w:val="008137A9"/>
    <w:rsid w:val="008501B9"/>
    <w:rsid w:val="00875F9B"/>
    <w:rsid w:val="00876ADC"/>
    <w:rsid w:val="008804C0"/>
    <w:rsid w:val="00884FEA"/>
    <w:rsid w:val="008C6D16"/>
    <w:rsid w:val="008D2FED"/>
    <w:rsid w:val="008E57E3"/>
    <w:rsid w:val="008F5F68"/>
    <w:rsid w:val="00921C6B"/>
    <w:rsid w:val="009240C9"/>
    <w:rsid w:val="009247C5"/>
    <w:rsid w:val="009348BA"/>
    <w:rsid w:val="0094375A"/>
    <w:rsid w:val="009E601B"/>
    <w:rsid w:val="00A21BB9"/>
    <w:rsid w:val="00A37978"/>
    <w:rsid w:val="00A54A50"/>
    <w:rsid w:val="00A71C4E"/>
    <w:rsid w:val="00A822AE"/>
    <w:rsid w:val="00A9116C"/>
    <w:rsid w:val="00AD1877"/>
    <w:rsid w:val="00AF7CA6"/>
    <w:rsid w:val="00B1104C"/>
    <w:rsid w:val="00B26938"/>
    <w:rsid w:val="00B616EC"/>
    <w:rsid w:val="00B62E5D"/>
    <w:rsid w:val="00B643B6"/>
    <w:rsid w:val="00B85FB0"/>
    <w:rsid w:val="00B94173"/>
    <w:rsid w:val="00BA79A9"/>
    <w:rsid w:val="00BB2F62"/>
    <w:rsid w:val="00BC66EF"/>
    <w:rsid w:val="00BC7797"/>
    <w:rsid w:val="00BD0215"/>
    <w:rsid w:val="00BE7CF3"/>
    <w:rsid w:val="00BF09B6"/>
    <w:rsid w:val="00BF5CDF"/>
    <w:rsid w:val="00C3321A"/>
    <w:rsid w:val="00C34FD6"/>
    <w:rsid w:val="00C554A4"/>
    <w:rsid w:val="00C571F3"/>
    <w:rsid w:val="00C850AE"/>
    <w:rsid w:val="00CE6D97"/>
    <w:rsid w:val="00CF0F70"/>
    <w:rsid w:val="00CF64B7"/>
    <w:rsid w:val="00D52BB5"/>
    <w:rsid w:val="00D541D1"/>
    <w:rsid w:val="00D70D59"/>
    <w:rsid w:val="00DA08C1"/>
    <w:rsid w:val="00DA7221"/>
    <w:rsid w:val="00DB1895"/>
    <w:rsid w:val="00DB688A"/>
    <w:rsid w:val="00DD2F1B"/>
    <w:rsid w:val="00DE5C44"/>
    <w:rsid w:val="00E03653"/>
    <w:rsid w:val="00E10C7A"/>
    <w:rsid w:val="00E151E2"/>
    <w:rsid w:val="00E173FE"/>
    <w:rsid w:val="00E30BBF"/>
    <w:rsid w:val="00E55582"/>
    <w:rsid w:val="00E773E1"/>
    <w:rsid w:val="00E82488"/>
    <w:rsid w:val="00E85D07"/>
    <w:rsid w:val="00E96DE5"/>
    <w:rsid w:val="00EC3567"/>
    <w:rsid w:val="00ED2100"/>
    <w:rsid w:val="00EF59ED"/>
    <w:rsid w:val="00F07091"/>
    <w:rsid w:val="00F211C4"/>
    <w:rsid w:val="00F31DE0"/>
    <w:rsid w:val="00F401FF"/>
    <w:rsid w:val="00F43EE2"/>
    <w:rsid w:val="00F46517"/>
    <w:rsid w:val="00FA645B"/>
    <w:rsid w:val="01842D59"/>
    <w:rsid w:val="02013C18"/>
    <w:rsid w:val="06043E9E"/>
    <w:rsid w:val="0743447D"/>
    <w:rsid w:val="09F85A1C"/>
    <w:rsid w:val="0A5E2710"/>
    <w:rsid w:val="0B0A2703"/>
    <w:rsid w:val="0B3E3BB8"/>
    <w:rsid w:val="0D526F99"/>
    <w:rsid w:val="0E3E4413"/>
    <w:rsid w:val="0F927DA5"/>
    <w:rsid w:val="0FA4260E"/>
    <w:rsid w:val="1048027E"/>
    <w:rsid w:val="14116BCD"/>
    <w:rsid w:val="14155F7A"/>
    <w:rsid w:val="15CC63BF"/>
    <w:rsid w:val="1DE859FC"/>
    <w:rsid w:val="1E415839"/>
    <w:rsid w:val="231509A8"/>
    <w:rsid w:val="258842CD"/>
    <w:rsid w:val="28DB7232"/>
    <w:rsid w:val="2C6141CA"/>
    <w:rsid w:val="3A95679B"/>
    <w:rsid w:val="3F1C0C82"/>
    <w:rsid w:val="40F86B1E"/>
    <w:rsid w:val="41A20FEA"/>
    <w:rsid w:val="41D75CAE"/>
    <w:rsid w:val="42A604A9"/>
    <w:rsid w:val="434846C3"/>
    <w:rsid w:val="4469221F"/>
    <w:rsid w:val="4891255E"/>
    <w:rsid w:val="49A547CC"/>
    <w:rsid w:val="49E2547D"/>
    <w:rsid w:val="4A1831FC"/>
    <w:rsid w:val="4AFC4813"/>
    <w:rsid w:val="4C7E73A7"/>
    <w:rsid w:val="505631CD"/>
    <w:rsid w:val="50FB1FA9"/>
    <w:rsid w:val="5843509B"/>
    <w:rsid w:val="58A76BED"/>
    <w:rsid w:val="5EAC10ED"/>
    <w:rsid w:val="5FA74B2A"/>
    <w:rsid w:val="63EC27FF"/>
    <w:rsid w:val="66467200"/>
    <w:rsid w:val="66F86AD3"/>
    <w:rsid w:val="677376B1"/>
    <w:rsid w:val="67BF7759"/>
    <w:rsid w:val="688205FD"/>
    <w:rsid w:val="6F123351"/>
    <w:rsid w:val="704A69B4"/>
    <w:rsid w:val="751A00A9"/>
    <w:rsid w:val="765E777E"/>
    <w:rsid w:val="76EB5B65"/>
    <w:rsid w:val="774E39D3"/>
    <w:rsid w:val="79BD2A0E"/>
    <w:rsid w:val="7A244858"/>
    <w:rsid w:val="7CAF7D5F"/>
    <w:rsid w:val="7CFC1AEC"/>
    <w:rsid w:val="7EB97C4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link w:val="8"/>
    <w:semiHidden/>
    <w:qFormat/>
    <w:uiPriority w:val="99"/>
    <w:pPr>
      <w:tabs>
        <w:tab w:val="center" w:pos="4153"/>
        <w:tab w:val="right" w:pos="8306"/>
      </w:tabs>
      <w:snapToGrid w:val="0"/>
      <w:jc w:val="left"/>
    </w:pPr>
    <w:rPr>
      <w:sz w:val="18"/>
      <w:szCs w:val="18"/>
    </w:rPr>
  </w:style>
  <w:style w:type="paragraph" w:styleId="3">
    <w:name w:val="header"/>
    <w:basedOn w:val="1"/>
    <w:link w:val="7"/>
    <w:semiHidden/>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6"/>
    <w:link w:val="3"/>
    <w:semiHidden/>
    <w:qFormat/>
    <w:locked/>
    <w:uiPriority w:val="99"/>
    <w:rPr>
      <w:rFonts w:cs="Times New Roman"/>
      <w:sz w:val="18"/>
      <w:szCs w:val="18"/>
    </w:rPr>
  </w:style>
  <w:style w:type="character" w:customStyle="1" w:styleId="8">
    <w:name w:val="页脚 Char"/>
    <w:basedOn w:val="6"/>
    <w:link w:val="2"/>
    <w:semiHidden/>
    <w:qFormat/>
    <w:locked/>
    <w:uiPriority w:val="99"/>
    <w:rPr>
      <w:rFonts w:cs="Times New Roman"/>
      <w:sz w:val="18"/>
      <w:szCs w:val="18"/>
    </w:rPr>
  </w:style>
  <w:style w:type="paragraph" w:styleId="9">
    <w:name w:val="List Paragraph"/>
    <w:basedOn w:val="1"/>
    <w:qFormat/>
    <w:uiPriority w:val="99"/>
    <w:pPr>
      <w:ind w:firstLine="420" w:firstLineChars="200"/>
    </w:pPr>
  </w:style>
  <w:style w:type="paragraph" w:customStyle="1" w:styleId="10">
    <w:name w:val="[Normal]"/>
    <w:qFormat/>
    <w:uiPriority w:val="0"/>
    <w:pPr>
      <w:widowControl w:val="0"/>
    </w:pPr>
    <w:rPr>
      <w:rFonts w:ascii="Times New Roman" w:hAnsi="Times New Roman" w:eastAsia="宋体" w:cs="Times New Roman"/>
      <w:sz w:val="24"/>
      <w:szCs w:val="22"/>
      <w:lang w:val="en-US" w:eastAsia="en-US" w:bidi="ar-SA"/>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Other|1"/>
    <w:basedOn w:val="1"/>
    <w:qFormat/>
    <w:uiPriority w:val="0"/>
    <w:pPr>
      <w:keepNext w:val="0"/>
      <w:keepLines w:val="0"/>
      <w:widowControl w:val="0"/>
      <w:suppressLineNumbers w:val="0"/>
      <w:spacing w:before="0" w:beforeAutospacing="0" w:after="0" w:afterAutospacing="0"/>
      <w:ind w:left="140" w:right="0" w:firstLine="0"/>
      <w:jc w:val="left"/>
    </w:pPr>
    <w:rPr>
      <w:rFonts w:hint="eastAsia" w:ascii="宋体" w:hAnsi="宋体" w:eastAsia="宋体" w:cs="宋体"/>
      <w:color w:val="000000"/>
      <w:spacing w:val="0"/>
      <w:kern w:val="0"/>
      <w:sz w:val="13"/>
      <w:szCs w:val="13"/>
      <w:lang w:val="en-US" w:eastAsia="zh-CN" w:bidi="ar"/>
    </w:rPr>
  </w:style>
  <w:style w:type="paragraph" w:customStyle="1" w:styleId="16">
    <w:name w:val="单元格样式5"/>
    <w:basedOn w:val="1"/>
    <w:qFormat/>
    <w:uiPriority w:val="0"/>
    <w:pPr>
      <w:spacing w:before="0" w:beforeAutospacing="0" w:after="0" w:afterAutospacing="0"/>
      <w:ind w:left="0" w:right="0"/>
      <w:jc w:val="left"/>
    </w:pPr>
    <w:rPr>
      <w:rFonts w:hint="default" w:ascii="方正书宋_GBK" w:hAnsi="方正书宋_GBK" w:eastAsia="方正书宋_GBK" w:cs="方正书宋_GBK"/>
      <w:b/>
      <w:kern w:val="0"/>
      <w:sz w:val="21"/>
      <w:szCs w:val="21"/>
      <w:lang w:val="en-US" w:eastAsia="zh-CN" w:bidi="ar"/>
    </w:rPr>
  </w:style>
  <w:style w:type="paragraph" w:customStyle="1" w:styleId="17">
    <w:name w:val="单元格样式2"/>
    <w:basedOn w:val="1"/>
    <w:qFormat/>
    <w:uiPriority w:val="0"/>
    <w:pPr>
      <w:spacing w:before="0" w:beforeAutospacing="0" w:after="0" w:afterAutospacing="0"/>
      <w:ind w:left="0" w:right="0"/>
      <w:jc w:val="left"/>
    </w:pPr>
    <w:rPr>
      <w:rFonts w:hint="default" w:ascii="方正书宋_GBK" w:hAnsi="方正书宋_GBK" w:eastAsia="方正书宋_GBK" w:cs="方正书宋_GBK"/>
      <w:kern w:val="0"/>
      <w:sz w:val="21"/>
      <w:szCs w:val="21"/>
      <w:lang w:val="en-US" w:eastAsia="zh-CN" w:bidi="ar"/>
    </w:rPr>
  </w:style>
  <w:style w:type="paragraph" w:customStyle="1" w:styleId="18">
    <w:name w:val="单元格样式1"/>
    <w:basedOn w:val="1"/>
    <w:qFormat/>
    <w:uiPriority w:val="0"/>
    <w:pPr>
      <w:spacing w:before="0" w:beforeAutospacing="0" w:after="0" w:afterAutospacing="0"/>
      <w:ind w:left="0" w:right="0"/>
      <w:jc w:val="center"/>
    </w:pPr>
    <w:rPr>
      <w:rFonts w:hint="default" w:ascii="方正书宋_GBK" w:hAnsi="方正书宋_GBK" w:eastAsia="方正书宋_GBK" w:cs="方正书宋_GBK"/>
      <w:b/>
      <w:kern w:val="0"/>
      <w:sz w:val="21"/>
      <w:szCs w:val="21"/>
      <w:lang w:val="en-US" w:eastAsia="zh-CN" w:bidi="ar"/>
    </w:rPr>
  </w:style>
  <w:style w:type="paragraph" w:customStyle="1" w:styleId="19">
    <w:name w:val="单元格样式4"/>
    <w:basedOn w:val="1"/>
    <w:qFormat/>
    <w:uiPriority w:val="0"/>
    <w:pPr>
      <w:spacing w:before="0" w:beforeAutospacing="0" w:after="0" w:afterAutospacing="0"/>
      <w:ind w:left="0" w:right="0"/>
      <w:jc w:val="right"/>
    </w:pPr>
    <w:rPr>
      <w:rFonts w:hint="default" w:ascii="方正书宋_GBK" w:hAnsi="方正书宋_GBK" w:eastAsia="方正书宋_GBK" w:cs="方正书宋_GBK"/>
      <w:kern w:val="0"/>
      <w:sz w:val="21"/>
      <w:szCs w:val="21"/>
      <w:lang w:val="en-US" w:eastAsia="zh-CN" w:bidi="ar"/>
    </w:rPr>
  </w:style>
  <w:style w:type="paragraph" w:customStyle="1" w:styleId="20">
    <w:name w:val="单元格样式3"/>
    <w:basedOn w:val="1"/>
    <w:qFormat/>
    <w:uiPriority w:val="0"/>
    <w:pPr>
      <w:spacing w:before="0" w:beforeAutospacing="0" w:after="0" w:afterAutospacing="0"/>
      <w:ind w:left="0" w:right="0"/>
      <w:jc w:val="center"/>
    </w:pPr>
    <w:rPr>
      <w:rFonts w:hint="default" w:ascii="方正书宋_GBK" w:hAnsi="方正书宋_GBK" w:eastAsia="方正书宋_GBK" w:cs="方正书宋_GBK"/>
      <w:kern w:val="0"/>
      <w:sz w:val="21"/>
      <w:szCs w:val="21"/>
      <w:lang w:val="en-US" w:eastAsia="zh-CN" w:bidi="ar"/>
    </w:rPr>
  </w:style>
  <w:style w:type="paragraph" w:customStyle="1" w:styleId="2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47991-D554-4FA7-9F8F-F27BE821C35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152</Pages>
  <Words>61295</Words>
  <Characters>72012</Characters>
  <Lines>1</Lines>
  <Paragraphs>1</Paragraphs>
  <TotalTime>5</TotalTime>
  <ScaleCrop>false</ScaleCrop>
  <LinksUpToDate>false</LinksUpToDate>
  <CharactersWithSpaces>72651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2017-04-04T02:15:00Z</dcterms:created>
  <dc:creator>User</dc:creator>
  <cp:lastModifiedBy>15511972078</cp:lastModifiedBy>
  <cp:lastPrinted>2020-02-21T03:05:00Z</cp:lastPrinted>
  <dcterms:modified xsi:type="dcterms:W3CDTF">2023-09-05T07:46:57Z</dcterms:modified>
  <cp:revision>1</cp:revision>
  <dc:title>2017年宁晋县公安局预算公开情况说明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32A1AE84255E4185ABC68E84CC9E41D2</vt:lpwstr>
  </property>
</Properties>
</file>