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宁晋县民政局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2022</w:t>
      </w:r>
      <w:r>
        <w:rPr>
          <w:rFonts w:hint="eastAsia" w:ascii="宋体" w:hAnsi="宋体" w:cs="宋体"/>
          <w:sz w:val="44"/>
          <w:szCs w:val="44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度（001</w:t>
      </w:r>
      <w:r>
        <w:rPr>
          <w:rFonts w:hint="eastAsia" w:ascii="仿宋_GB2312" w:hAnsi="仿宋" w:eastAsia="仿宋_GB2312" w:cs="仿宋"/>
          <w:sz w:val="44"/>
          <w:szCs w:val="44"/>
          <w:lang w:val="en-US" w:eastAsia="zh-CN"/>
        </w:rPr>
        <w:t>养老机构</w:t>
      </w:r>
      <w:r>
        <w:rPr>
          <w:rFonts w:hint="eastAsia" w:ascii="宋体" w:hAnsi="宋体" w:cs="宋体"/>
          <w:sz w:val="44"/>
          <w:szCs w:val="44"/>
          <w:lang w:val="en-US" w:eastAsia="zh-CN"/>
        </w:rPr>
        <w:t>）</w:t>
      </w:r>
      <w:r>
        <w:rPr>
          <w:rFonts w:hint="eastAsia" w:ascii="宋体" w:hAnsi="宋体" w:cs="宋体"/>
          <w:sz w:val="44"/>
          <w:szCs w:val="44"/>
        </w:rPr>
        <w:t>“</w:t>
      </w:r>
      <w:bookmarkStart w:id="0" w:name="_GoBack"/>
      <w:r>
        <w:rPr>
          <w:rFonts w:hint="eastAsia" w:ascii="宋体" w:hAnsi="宋体" w:cs="宋体"/>
          <w:sz w:val="44"/>
          <w:szCs w:val="44"/>
        </w:rPr>
        <w:t>双随机</w:t>
      </w:r>
      <w:bookmarkEnd w:id="0"/>
      <w:r>
        <w:rPr>
          <w:rFonts w:hint="eastAsia" w:ascii="宋体" w:hAnsi="宋体" w:cs="宋体"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sz w:val="44"/>
          <w:szCs w:val="44"/>
        </w:rPr>
        <w:t>一公开”监管工作实施方案</w:t>
      </w:r>
    </w:p>
    <w:p>
      <w:pPr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为促进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养老机构</w:t>
      </w:r>
      <w:r>
        <w:rPr>
          <w:rFonts w:hint="default" w:ascii="仿宋_GB2312" w:hAnsi="仿宋" w:eastAsia="仿宋_GB2312" w:cs="仿宋"/>
          <w:sz w:val="32"/>
          <w:szCs w:val="32"/>
        </w:rPr>
        <w:t>健康发展，保障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养老机构老人</w:t>
      </w:r>
      <w:r>
        <w:rPr>
          <w:rFonts w:hint="default" w:ascii="仿宋_GB2312" w:hAnsi="仿宋" w:eastAsia="仿宋_GB2312" w:cs="仿宋"/>
          <w:sz w:val="32"/>
          <w:szCs w:val="32"/>
        </w:rPr>
        <w:t>的合法权益，加强对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其</w:t>
      </w:r>
      <w:r>
        <w:rPr>
          <w:rFonts w:hint="default" w:ascii="仿宋_GB2312" w:hAnsi="仿宋" w:eastAsia="仿宋_GB2312" w:cs="仿宋"/>
          <w:sz w:val="32"/>
          <w:szCs w:val="32"/>
        </w:rPr>
        <w:t>规范管理，根据《民办非企业单位登记管理暂行条例》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按照《宁晋县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年度 “双随机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一公开”监管工作实施方案》要求，为进一步推进我局“双随机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一公开”监管工作持续、广泛、深入开展，</w:t>
      </w:r>
      <w:r>
        <w:rPr>
          <w:rFonts w:hint="eastAsia" w:ascii="仿宋" w:hAnsi="仿宋" w:eastAsia="仿宋" w:cs="仿宋"/>
          <w:sz w:val="32"/>
          <w:szCs w:val="32"/>
        </w:rPr>
        <w:t>并按照公正、透明的原则组织实施的抽查机制，制定本工作方案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一、抽查时间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2022年4月1日至10月31日</w:t>
      </w:r>
    </w:p>
    <w:p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二、抽查对象范围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1.全县2022年3月31日前在宁晋县行政审批局依法登记注册的养老机构。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养老机构抽取比例为10%。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抽查事项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检查下面几项：养老机构服务质量、老人食品安全和消防设施安全问题以及养老院的运营情况。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四、抽查步骤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（一）通过“河北省双随机监管工作平台”抽取检查对象名单分派至执法人员。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（二）执法人员应按照《河北省市场监督管理局随机抽查事项清单》规定的检查事项，对检查对象所涉及的本次抽查确定的事项，实施全覆盖检查。对确定的检查事项及内容，应当一次性完成检查。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（三）参与抽查人员应依据职责分工，做好现场抽查前期准备，做到有针对性的检查，提升监管的靶向性和实效性。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（四）参与执法人员通过“河北省双随机监管工作平台”随机匹配检查人员，生成针对每个检查对象的《市场主体综合检查随机抽查记录表》，结合前期梳理情况，实施一次性全面现场检查。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五、抽查结果公示及后续处理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按照“谁检查、谁录入、谁公开”的原则，自抽查检查结束之日起20个工作日内，按辖区分布由各所负责收集“市场主体综合检查随机抽查记录表”及时到局信用监管股（205室）录入抽查结果，并公示抽查结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（二）按照“谁审批、谁监管，谁主管、谁监管”的原则，根据职责和管辖权限，依法做好“双随机”抽查结果后续处理。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六、工作要求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严格按照县局要求，认真细化工作要求和流程，定人、定岗、定职责、定时限，一次性完成对抽查对象的全面检查，坚决杜绝拖延检查时间、重复多次检查等现象，确保此次抽查工作依法、有序开展。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抽查人员要积极发现抽查工作中的疑点、难点问题，总结经验做法和亮点，为今后全面推行“双随机”抽查工作提供可借鉴、可推广的措施和方法。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宁晋县民政局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2022年7月28日</w:t>
      </w:r>
    </w:p>
    <w:sectPr>
      <w:pgSz w:w="11906" w:h="16838"/>
      <w:pgMar w:top="1553" w:right="1800" w:bottom="18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26796"/>
    <w:multiLevelType w:val="singleLevel"/>
    <w:tmpl w:val="EC7267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TZjZGNiOTBiMzA4YjY4ZGNjMzMwZGFhYWVlZmYifQ=="/>
  </w:docVars>
  <w:rsids>
    <w:rsidRoot w:val="00000000"/>
    <w:rsid w:val="245E4292"/>
    <w:rsid w:val="25AB05F1"/>
    <w:rsid w:val="27B87FF9"/>
    <w:rsid w:val="3278635D"/>
    <w:rsid w:val="502A0E4E"/>
    <w:rsid w:val="624C1DC2"/>
    <w:rsid w:val="66EF44ED"/>
    <w:rsid w:val="6C7538CF"/>
    <w:rsid w:val="6F3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915</Characters>
  <Lines>0</Lines>
  <Paragraphs>0</Paragraphs>
  <TotalTime>13</TotalTime>
  <ScaleCrop>false</ScaleCrop>
  <LinksUpToDate>false</LinksUpToDate>
  <CharactersWithSpaces>970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2021-12-31T01:29:00Z</dcterms:created>
  <dc:creator>民</dc:creator>
  <cp:lastModifiedBy>Hopefully</cp:lastModifiedBy>
  <dcterms:modified xsi:type="dcterms:W3CDTF">2023-09-11T06:27:18Z</dcterms:modified>
  <dc:title>宁晋县民政局2022年度（001养老机构）“双随机一公开”监管工作实施方案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D53EEE21687C48BCAD2CC4E4B1577856</vt:lpwstr>
  </property>
</Properties>
</file>