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obfuscatedFont" PartName="/word/fonts/font7.odttf"/>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方正小标宋简体" w:eastAsia="方正小标宋简体" w:cs="方正小标宋简体"/>
          <w:sz w:val="72"/>
          <w:szCs w:val="72"/>
          <w:lang w:bidi="ar-SA"/>
        </w:rPr>
      </w:pPr>
      <w:bookmarkStart w:id="2" w:name="_GoBack"/>
      <w:bookmarkEnd w:id="2"/>
    </w:p>
    <w:p>
      <w:pPr>
        <w:spacing w:line="560" w:lineRule="exact"/>
        <w:jc w:val="center"/>
        <w:rPr>
          <w:rFonts w:hint="eastAsia" w:ascii="方正小标宋简体" w:eastAsia="方正小标宋简体" w:cs="方正小标宋简体"/>
          <w:sz w:val="56"/>
          <w:szCs w:val="56"/>
          <w:lang w:eastAsia="zh-CN" w:bidi="ar-SA"/>
        </w:rPr>
      </w:pPr>
      <w:r>
        <w:rPr>
          <w:rFonts w:hint="eastAsia" w:ascii="方正小标宋简体" w:eastAsia="方正小标宋简体" w:cs="方正小标宋简体"/>
          <w:sz w:val="56"/>
          <w:szCs w:val="56"/>
          <w:lang w:bidi="ar-SA"/>
        </w:rPr>
        <w:t>宁晋县</w:t>
      </w:r>
      <w:r>
        <w:rPr>
          <w:rFonts w:hint="eastAsia" w:ascii="方正小标宋简体" w:eastAsia="方正小标宋简体" w:cs="方正小标宋简体"/>
          <w:sz w:val="56"/>
          <w:szCs w:val="56"/>
          <w:lang w:eastAsia="zh-CN" w:bidi="ar-SA"/>
        </w:rPr>
        <w:t>供销合作社</w:t>
      </w:r>
    </w:p>
    <w:p>
      <w:pPr>
        <w:jc w:val="center"/>
        <w:rPr>
          <w:rFonts w:hint="eastAsia" w:ascii="方正小标宋简体" w:eastAsia="方正小标宋简体" w:cs="方正小标宋简体"/>
          <w:sz w:val="56"/>
          <w:szCs w:val="56"/>
          <w:lang w:bidi="ar-SA"/>
        </w:rPr>
      </w:pPr>
      <w:r>
        <w:rPr>
          <w:rFonts w:hint="eastAsia" w:ascii="方正小标宋简体" w:eastAsia="方正小标宋简体" w:cs="方正小标宋简体"/>
          <w:sz w:val="56"/>
          <w:szCs w:val="56"/>
          <w:lang w:bidi="ar-SA"/>
        </w:rPr>
        <w:t>20</w:t>
      </w:r>
      <w:r>
        <w:rPr>
          <w:rFonts w:hint="eastAsia" w:ascii="方正小标宋简体" w:eastAsia="方正小标宋简体" w:cs="方正小标宋简体"/>
          <w:sz w:val="56"/>
          <w:szCs w:val="56"/>
          <w:lang w:val="en-US" w:eastAsia="zh-CN" w:bidi="ar-SA"/>
        </w:rPr>
        <w:t>22</w:t>
      </w:r>
      <w:r>
        <w:rPr>
          <w:rFonts w:hint="eastAsia" w:ascii="方正小标宋简体" w:eastAsia="方正小标宋简体" w:cs="方正小标宋简体"/>
          <w:sz w:val="56"/>
          <w:szCs w:val="56"/>
          <w:lang w:bidi="ar-SA"/>
        </w:rPr>
        <w:t>年部门预算信息公开</w:t>
      </w:r>
    </w:p>
    <w:p>
      <w:pPr>
        <w:jc w:val="center"/>
        <w:rPr>
          <w:rFonts w:hint="eastAsia" w:ascii="方正小标宋简体" w:eastAsia="方正小标宋简体" w:cs="方正小标宋简体"/>
          <w:sz w:val="52"/>
          <w:szCs w:val="52"/>
          <w:lang w:bidi="ar-SA"/>
        </w:rPr>
      </w:pPr>
    </w:p>
    <w:p>
      <w:pPr>
        <w:jc w:val="center"/>
        <w:rPr>
          <w:rFonts w:hint="eastAsia" w:ascii="方正小标宋简体" w:eastAsia="方正小标宋简体" w:cs="方正小标宋简体"/>
          <w:sz w:val="36"/>
          <w:szCs w:val="36"/>
          <w:lang w:bidi="ar-SA"/>
        </w:rPr>
      </w:pPr>
    </w:p>
    <w:p>
      <w:pPr>
        <w:jc w:val="both"/>
        <w:rPr>
          <w:rFonts w:hint="eastAsia" w:ascii="方正小标宋简体" w:eastAsia="方正小标宋简体" w:cs="方正小标宋简体"/>
          <w:sz w:val="36"/>
          <w:szCs w:val="36"/>
          <w:lang w:bidi="ar-SA"/>
        </w:rPr>
      </w:pPr>
    </w:p>
    <w:p>
      <w:pPr>
        <w:jc w:val="center"/>
        <w:rPr>
          <w:rFonts w:hint="eastAsia" w:ascii="方正小标宋简体" w:eastAsia="方正小标宋简体" w:cs="方正小标宋简体"/>
          <w:sz w:val="36"/>
          <w:szCs w:val="36"/>
          <w:lang w:bidi="ar-SA"/>
        </w:rPr>
      </w:pPr>
    </w:p>
    <w:p>
      <w:pPr>
        <w:jc w:val="center"/>
        <w:rPr>
          <w:rFonts w:hint="eastAsia" w:ascii="方正小标宋简体" w:eastAsia="方正小标宋简体" w:cs="方正小标宋简体"/>
          <w:sz w:val="36"/>
          <w:szCs w:val="36"/>
          <w:lang w:bidi="ar-SA"/>
        </w:rPr>
      </w:pPr>
    </w:p>
    <w:p>
      <w:pPr>
        <w:jc w:val="center"/>
        <w:rPr>
          <w:rFonts w:hint="eastAsia" w:ascii="方正小标宋简体" w:eastAsia="方正小标宋简体" w:cs="方正小标宋简体"/>
          <w:sz w:val="36"/>
          <w:szCs w:val="36"/>
          <w:lang w:bidi="ar-SA"/>
        </w:rPr>
      </w:pPr>
    </w:p>
    <w:p>
      <w:pPr>
        <w:jc w:val="center"/>
        <w:rPr>
          <w:rFonts w:hint="eastAsia" w:ascii="方正小标宋简体" w:eastAsia="方正小标宋简体" w:cs="方正小标宋简体"/>
          <w:sz w:val="36"/>
          <w:szCs w:val="36"/>
          <w:lang w:bidi="ar-SA"/>
        </w:rPr>
      </w:pPr>
    </w:p>
    <w:p>
      <w:pPr>
        <w:jc w:val="center"/>
        <w:rPr>
          <w:rFonts w:hint="eastAsia" w:ascii="方正小标宋简体" w:eastAsia="方正小标宋简体" w:cs="方正小标宋简体"/>
          <w:sz w:val="36"/>
          <w:szCs w:val="36"/>
          <w:lang w:bidi="ar-SA"/>
        </w:rPr>
      </w:pPr>
    </w:p>
    <w:p>
      <w:pPr>
        <w:jc w:val="center"/>
        <w:rPr>
          <w:rFonts w:hint="eastAsia" w:ascii="方正小标宋简体" w:eastAsia="方正小标宋简体" w:cs="方正小标宋简体"/>
          <w:sz w:val="36"/>
          <w:szCs w:val="36"/>
          <w:lang w:bidi="ar-SA"/>
        </w:rPr>
      </w:pPr>
      <w:r>
        <w:rPr>
          <w:rFonts w:hint="eastAsia" w:ascii="方正小标宋简体" w:eastAsia="方正小标宋简体" w:cs="方正小标宋简体"/>
          <w:sz w:val="36"/>
          <w:szCs w:val="36"/>
          <w:lang w:bidi="ar-SA"/>
        </w:rPr>
        <w:t>宁晋县</w:t>
      </w:r>
      <w:r>
        <w:rPr>
          <w:rFonts w:hint="eastAsia" w:ascii="方正小标宋简体" w:eastAsia="方正小标宋简体" w:cs="方正小标宋简体"/>
          <w:sz w:val="36"/>
          <w:szCs w:val="36"/>
          <w:lang w:eastAsia="zh-CN" w:bidi="ar-SA"/>
        </w:rPr>
        <w:t>供销合作社</w:t>
      </w:r>
      <w:r>
        <w:rPr>
          <w:rFonts w:hint="eastAsia" w:ascii="方正小标宋简体" w:eastAsia="方正小标宋简体" w:cs="方正小标宋简体"/>
          <w:sz w:val="36"/>
          <w:szCs w:val="36"/>
          <w:lang w:bidi="ar-SA"/>
        </w:rPr>
        <w:t>编制</w:t>
      </w:r>
    </w:p>
    <w:p>
      <w:pPr>
        <w:spacing w:line="560" w:lineRule="exact"/>
        <w:rPr>
          <w:rFonts w:hint="eastAsia" w:ascii="宋体-方正超大字符集" w:eastAsia="宋体-方正超大字符集" w:cs="宋体-方正超大字符集"/>
          <w:b/>
          <w:bCs/>
          <w:sz w:val="36"/>
          <w:szCs w:val="36"/>
          <w:lang w:bidi="ar-SA"/>
        </w:rPr>
      </w:pPr>
    </w:p>
    <w:p>
      <w:pPr>
        <w:jc w:val="center"/>
        <w:rPr>
          <w:rFonts w:hint="eastAsia" w:ascii="宋体-方正超大字符集" w:eastAsia="宋体-方正超大字符集" w:cs="宋体-方正超大字符集"/>
          <w:b/>
          <w:bCs/>
          <w:sz w:val="36"/>
          <w:szCs w:val="36"/>
          <w:lang w:eastAsia="zh-CN" w:bidi="ar-SA"/>
        </w:rPr>
      </w:pPr>
      <w:r>
        <w:rPr>
          <w:rFonts w:hint="eastAsia" w:ascii="宋体-方正超大字符集" w:eastAsia="宋体-方正超大字符集" w:cs="宋体-方正超大字符集"/>
          <w:b/>
          <w:bCs/>
          <w:sz w:val="36"/>
          <w:szCs w:val="36"/>
          <w:lang w:bidi="ar-SA"/>
        </w:rPr>
        <w:t>宁晋县</w:t>
      </w:r>
      <w:r>
        <w:rPr>
          <w:rFonts w:hint="eastAsia" w:ascii="宋体-方正超大字符集" w:eastAsia="宋体-方正超大字符集" w:cs="宋体-方正超大字符集"/>
          <w:b/>
          <w:bCs/>
          <w:sz w:val="36"/>
          <w:szCs w:val="36"/>
          <w:lang w:eastAsia="zh-CN" w:bidi="ar-SA"/>
        </w:rPr>
        <w:t>供销合作社</w:t>
      </w:r>
    </w:p>
    <w:p>
      <w:pPr>
        <w:jc w:val="center"/>
        <w:rPr>
          <w:rFonts w:hint="eastAsia" w:ascii="宋体-方正超大字符集" w:eastAsia="宋体-方正超大字符集" w:cs="宋体-方正超大字符集"/>
          <w:b/>
          <w:bCs/>
          <w:sz w:val="36"/>
          <w:szCs w:val="36"/>
          <w:lang w:bidi="ar-SA"/>
        </w:rPr>
      </w:pPr>
      <w:r>
        <w:rPr>
          <w:rFonts w:hint="eastAsia" w:ascii="宋体-方正超大字符集" w:eastAsia="宋体-方正超大字符集" w:cs="宋体-方正超大字符集"/>
          <w:b/>
          <w:bCs/>
          <w:sz w:val="36"/>
          <w:szCs w:val="36"/>
          <w:lang w:bidi="ar-SA"/>
        </w:rPr>
        <w:t>20</w:t>
      </w:r>
      <w:r>
        <w:rPr>
          <w:rFonts w:hint="eastAsia" w:ascii="宋体-方正超大字符集" w:eastAsia="宋体-方正超大字符集" w:cs="宋体-方正超大字符集"/>
          <w:b/>
          <w:bCs/>
          <w:sz w:val="36"/>
          <w:szCs w:val="36"/>
          <w:lang w:val="en-US" w:eastAsia="zh-CN" w:bidi="ar-SA"/>
        </w:rPr>
        <w:t>22</w:t>
      </w:r>
      <w:r>
        <w:rPr>
          <w:rFonts w:hint="eastAsia" w:ascii="宋体-方正超大字符集" w:eastAsia="宋体-方正超大字符集" w:cs="宋体-方正超大字符集"/>
          <w:b/>
          <w:bCs/>
          <w:sz w:val="36"/>
          <w:szCs w:val="36"/>
          <w:lang w:bidi="ar-SA"/>
        </w:rPr>
        <w:t>年部门预算信息公开目录</w:t>
      </w:r>
    </w:p>
    <w:p>
      <w:pPr>
        <w:ind w:firstLine="640" w:firstLineChars="200"/>
        <w:jc w:val="center"/>
        <w:rPr>
          <w:rFonts w:hint="eastAsia" w:ascii="黑体" w:hAnsi="黑体" w:eastAsia="黑体" w:cs="黑体"/>
          <w:sz w:val="32"/>
          <w:szCs w:val="32"/>
          <w:lang w:val="en-US" w:eastAsia="zh-CN"/>
        </w:rPr>
      </w:pPr>
      <w:r>
        <w:rPr>
          <w:rFonts w:hint="eastAsia" w:ascii="黑体" w:hAnsi="黑体" w:eastAsia="黑体" w:cs="黑体"/>
          <w:sz w:val="32"/>
          <w:szCs w:val="32"/>
          <w:lang w:eastAsia="zh-CN"/>
        </w:rPr>
        <w:t>第一部分</w:t>
      </w:r>
      <w:r>
        <w:rPr>
          <w:rFonts w:hint="eastAsia" w:ascii="黑体" w:hAnsi="黑体" w:eastAsia="黑体" w:cs="黑体"/>
          <w:sz w:val="32"/>
          <w:szCs w:val="32"/>
          <w:lang w:val="en-US" w:eastAsia="zh-CN"/>
        </w:rPr>
        <w:t xml:space="preserve"> 部门预算</w:t>
      </w:r>
    </w:p>
    <w:p>
      <w:pPr>
        <w:rPr>
          <w:rFonts w:hint="eastAsia" w:ascii="黑体" w:hAnsi="黑体" w:eastAsia="黑体" w:cs="黑体"/>
          <w:sz w:val="32"/>
          <w:szCs w:val="32"/>
        </w:rPr>
      </w:pPr>
      <w:r>
        <w:rPr>
          <w:rFonts w:hint="eastAsia" w:ascii="黑体" w:hAnsi="黑体" w:eastAsia="黑体" w:cs="黑体"/>
          <w:sz w:val="32"/>
          <w:szCs w:val="32"/>
          <w:lang w:val="en-US" w:eastAsia="zh-CN"/>
        </w:rPr>
        <w:t>一、2022年</w:t>
      </w:r>
      <w:r>
        <w:rPr>
          <w:rFonts w:hint="eastAsia" w:ascii="黑体" w:hAnsi="黑体" w:eastAsia="黑体" w:cs="黑体"/>
          <w:sz w:val="32"/>
          <w:szCs w:val="32"/>
        </w:rPr>
        <w:t>部门预算公开表</w:t>
      </w:r>
    </w:p>
    <w:p>
      <w:pPr>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1、</w:t>
      </w:r>
      <w:r>
        <w:rPr>
          <w:rFonts w:hint="eastAsia" w:ascii="黑体" w:hAnsi="黑体" w:eastAsia="黑体" w:cs="黑体"/>
          <w:sz w:val="32"/>
          <w:szCs w:val="32"/>
        </w:rPr>
        <w:t>部门预算收支总表</w:t>
      </w:r>
    </w:p>
    <w:p>
      <w:pPr>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2、</w:t>
      </w:r>
      <w:r>
        <w:rPr>
          <w:rFonts w:hint="eastAsia" w:ascii="黑体" w:hAnsi="黑体" w:eastAsia="黑体" w:cs="黑体"/>
          <w:sz w:val="32"/>
          <w:szCs w:val="32"/>
        </w:rPr>
        <w:t>部门预算收入总表</w:t>
      </w:r>
    </w:p>
    <w:p>
      <w:pPr>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3、</w:t>
      </w:r>
      <w:r>
        <w:rPr>
          <w:rFonts w:hint="eastAsia" w:ascii="黑体" w:hAnsi="黑体" w:eastAsia="黑体" w:cs="黑体"/>
          <w:sz w:val="32"/>
          <w:szCs w:val="32"/>
        </w:rPr>
        <w:t>部门预算支出总表</w:t>
      </w:r>
    </w:p>
    <w:p>
      <w:pPr>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4、</w:t>
      </w:r>
      <w:r>
        <w:rPr>
          <w:rFonts w:hint="eastAsia" w:ascii="黑体" w:hAnsi="黑体" w:eastAsia="黑体" w:cs="黑体"/>
          <w:sz w:val="32"/>
          <w:szCs w:val="32"/>
        </w:rPr>
        <w:t>部门预算财政拨款收支总表</w:t>
      </w:r>
    </w:p>
    <w:p>
      <w:pPr>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5、</w:t>
      </w:r>
      <w:r>
        <w:rPr>
          <w:rFonts w:hint="eastAsia" w:ascii="黑体" w:hAnsi="黑体" w:eastAsia="黑体" w:cs="黑体"/>
          <w:sz w:val="32"/>
          <w:szCs w:val="32"/>
        </w:rPr>
        <w:t>部门预算一般公共预算财政拨款支出表</w:t>
      </w:r>
    </w:p>
    <w:p>
      <w:pPr>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6、</w:t>
      </w:r>
      <w:r>
        <w:rPr>
          <w:rFonts w:hint="eastAsia" w:ascii="黑体" w:hAnsi="黑体" w:eastAsia="黑体" w:cs="黑体"/>
          <w:sz w:val="32"/>
          <w:szCs w:val="32"/>
        </w:rPr>
        <w:t>部门预算一般公共预算财政拨款基本支出表</w:t>
      </w:r>
    </w:p>
    <w:p>
      <w:pPr>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7、</w:t>
      </w:r>
      <w:r>
        <w:rPr>
          <w:rFonts w:hint="eastAsia" w:ascii="黑体" w:hAnsi="黑体" w:eastAsia="黑体" w:cs="黑体"/>
          <w:sz w:val="32"/>
          <w:szCs w:val="32"/>
        </w:rPr>
        <w:t>部门预算政府基金预算财政拨款支出表</w:t>
      </w:r>
    </w:p>
    <w:p>
      <w:pPr>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8、</w:t>
      </w:r>
      <w:r>
        <w:rPr>
          <w:rFonts w:hint="eastAsia" w:ascii="黑体" w:hAnsi="黑体" w:eastAsia="黑体" w:cs="黑体"/>
          <w:sz w:val="32"/>
          <w:szCs w:val="32"/>
        </w:rPr>
        <w:t>部门预算国有资本经营预算财政拨款支出表</w:t>
      </w:r>
    </w:p>
    <w:p>
      <w:pPr>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9、</w:t>
      </w:r>
      <w:r>
        <w:rPr>
          <w:rFonts w:hint="eastAsia" w:ascii="黑体" w:hAnsi="黑体" w:eastAsia="黑体" w:cs="黑体"/>
          <w:sz w:val="32"/>
          <w:szCs w:val="32"/>
        </w:rPr>
        <w:t>部门预算财政拨款“三公”经费支出表</w:t>
      </w:r>
    </w:p>
    <w:p>
      <w:pPr>
        <w:rPr>
          <w:rFonts w:hint="eastAsia" w:ascii="黑体" w:hAnsi="黑体" w:eastAsia="黑体" w:cs="黑体"/>
          <w:sz w:val="32"/>
          <w:szCs w:val="32"/>
        </w:rPr>
      </w:pPr>
      <w:r>
        <w:rPr>
          <w:rFonts w:hint="eastAsia" w:ascii="黑体" w:hAnsi="黑体" w:eastAsia="黑体" w:cs="黑体"/>
          <w:sz w:val="32"/>
          <w:szCs w:val="32"/>
          <w:lang w:val="en-US" w:eastAsia="zh-CN"/>
        </w:rPr>
        <w:t>二、2022年</w:t>
      </w:r>
      <w:r>
        <w:rPr>
          <w:rFonts w:hint="eastAsia" w:ascii="黑体" w:hAnsi="黑体" w:eastAsia="黑体" w:cs="黑体"/>
          <w:sz w:val="32"/>
          <w:szCs w:val="32"/>
        </w:rPr>
        <w:t>部门预算信息公开情况说明</w:t>
      </w:r>
    </w:p>
    <w:p>
      <w:pPr>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1</w:t>
      </w:r>
      <w:r>
        <w:rPr>
          <w:rFonts w:hint="eastAsia" w:ascii="黑体" w:hAnsi="黑体" w:eastAsia="黑体" w:cs="黑体"/>
          <w:sz w:val="32"/>
          <w:szCs w:val="32"/>
        </w:rPr>
        <w:t>、部门职责及机构设置情况</w:t>
      </w:r>
    </w:p>
    <w:p>
      <w:pPr>
        <w:ind w:firstLine="640"/>
        <w:rPr>
          <w:rFonts w:hint="eastAsia" w:ascii="黑体" w:hAnsi="黑体" w:eastAsia="黑体" w:cs="黑体"/>
          <w:sz w:val="32"/>
          <w:szCs w:val="32"/>
        </w:rPr>
      </w:pPr>
      <w:r>
        <w:rPr>
          <w:rFonts w:hint="eastAsia" w:ascii="黑体" w:hAnsi="黑体" w:eastAsia="黑体" w:cs="黑体"/>
          <w:sz w:val="32"/>
          <w:szCs w:val="32"/>
          <w:lang w:val="en-US" w:eastAsia="zh-CN"/>
        </w:rPr>
        <w:t>2</w:t>
      </w:r>
      <w:r>
        <w:rPr>
          <w:rFonts w:hint="eastAsia" w:ascii="黑体" w:hAnsi="黑体" w:eastAsia="黑体" w:cs="黑体"/>
          <w:sz w:val="32"/>
          <w:szCs w:val="32"/>
        </w:rPr>
        <w:t>、部门预算安排的总体情况</w:t>
      </w:r>
    </w:p>
    <w:p>
      <w:pPr>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3</w:t>
      </w:r>
      <w:r>
        <w:rPr>
          <w:rFonts w:hint="eastAsia" w:ascii="黑体" w:hAnsi="黑体" w:eastAsia="黑体" w:cs="黑体"/>
          <w:sz w:val="32"/>
          <w:szCs w:val="32"/>
        </w:rPr>
        <w:t>、机关运行经费安排情况</w:t>
      </w:r>
    </w:p>
    <w:p>
      <w:pPr>
        <w:autoSpaceDE w:val="0"/>
        <w:autoSpaceDN w:val="0"/>
        <w:adjustRightInd w:val="0"/>
        <w:ind w:firstLine="640" w:firstLineChars="200"/>
        <w:jc w:val="left"/>
        <w:rPr>
          <w:rFonts w:hint="eastAsia" w:ascii="黑体" w:hAnsi="黑体" w:eastAsia="黑体" w:cs="黑体"/>
          <w:sz w:val="32"/>
          <w:szCs w:val="32"/>
        </w:rPr>
      </w:pPr>
      <w:r>
        <w:rPr>
          <w:rFonts w:hint="eastAsia" w:ascii="黑体" w:hAnsi="黑体" w:eastAsia="黑体" w:cs="黑体"/>
          <w:sz w:val="32"/>
          <w:szCs w:val="32"/>
          <w:lang w:val="en-US" w:eastAsia="zh-CN"/>
        </w:rPr>
        <w:t>4</w:t>
      </w:r>
      <w:r>
        <w:rPr>
          <w:rFonts w:hint="eastAsia" w:ascii="黑体" w:hAnsi="黑体" w:eastAsia="黑体" w:cs="黑体"/>
          <w:sz w:val="32"/>
          <w:szCs w:val="32"/>
        </w:rPr>
        <w:t>、财政拨款“三公”经费预算情况及增减变化原因</w:t>
      </w:r>
    </w:p>
    <w:p>
      <w:pPr>
        <w:autoSpaceDE w:val="0"/>
        <w:autoSpaceDN w:val="0"/>
        <w:adjustRightInd w:val="0"/>
        <w:ind w:firstLine="640" w:firstLineChars="200"/>
        <w:jc w:val="left"/>
        <w:rPr>
          <w:rFonts w:hint="eastAsia" w:ascii="黑体" w:hAnsi="黑体" w:eastAsia="黑体" w:cs="黑体"/>
          <w:sz w:val="32"/>
          <w:szCs w:val="32"/>
        </w:rPr>
      </w:pPr>
      <w:r>
        <w:rPr>
          <w:rFonts w:hint="eastAsia" w:ascii="黑体" w:hAnsi="黑体" w:eastAsia="黑体" w:cs="黑体"/>
          <w:sz w:val="32"/>
          <w:szCs w:val="32"/>
          <w:lang w:val="en-US" w:eastAsia="zh-CN"/>
        </w:rPr>
        <w:t>5</w:t>
      </w:r>
      <w:r>
        <w:rPr>
          <w:rFonts w:hint="eastAsia" w:ascii="黑体" w:hAnsi="黑体" w:eastAsia="黑体" w:cs="黑体"/>
          <w:sz w:val="32"/>
          <w:szCs w:val="32"/>
        </w:rPr>
        <w:t>、预算绩效信息</w:t>
      </w:r>
    </w:p>
    <w:p>
      <w:pPr>
        <w:autoSpaceDE w:val="0"/>
        <w:autoSpaceDN w:val="0"/>
        <w:adjustRightInd w:val="0"/>
        <w:ind w:firstLine="640" w:firstLineChars="200"/>
        <w:jc w:val="left"/>
        <w:rPr>
          <w:rFonts w:hint="eastAsia" w:ascii="黑体" w:hAnsi="黑体" w:eastAsia="黑体" w:cs="黑体"/>
          <w:sz w:val="32"/>
          <w:szCs w:val="32"/>
        </w:rPr>
      </w:pPr>
      <w:r>
        <w:rPr>
          <w:rFonts w:hint="eastAsia" w:ascii="黑体" w:hAnsi="黑体" w:eastAsia="黑体" w:cs="黑体"/>
          <w:sz w:val="32"/>
          <w:szCs w:val="32"/>
          <w:lang w:val="en-US" w:eastAsia="zh-CN"/>
        </w:rPr>
        <w:t>6</w:t>
      </w:r>
      <w:r>
        <w:rPr>
          <w:rFonts w:hint="eastAsia" w:ascii="黑体" w:hAnsi="黑体" w:eastAsia="黑体" w:cs="黑体"/>
          <w:sz w:val="32"/>
          <w:szCs w:val="32"/>
        </w:rPr>
        <w:t>、政府采购预算情况</w:t>
      </w:r>
    </w:p>
    <w:p>
      <w:pPr>
        <w:autoSpaceDE w:val="0"/>
        <w:autoSpaceDN w:val="0"/>
        <w:adjustRightInd w:val="0"/>
        <w:ind w:firstLine="640" w:firstLineChars="200"/>
        <w:jc w:val="left"/>
        <w:rPr>
          <w:rFonts w:hint="eastAsia" w:ascii="黑体" w:hAnsi="黑体" w:eastAsia="黑体" w:cs="黑体"/>
          <w:sz w:val="32"/>
          <w:szCs w:val="32"/>
        </w:rPr>
      </w:pPr>
      <w:r>
        <w:rPr>
          <w:rFonts w:hint="eastAsia" w:ascii="黑体" w:hAnsi="黑体" w:eastAsia="黑体" w:cs="黑体"/>
          <w:sz w:val="32"/>
          <w:szCs w:val="32"/>
          <w:lang w:val="en-US" w:eastAsia="zh-CN"/>
        </w:rPr>
        <w:t>7</w:t>
      </w:r>
      <w:r>
        <w:rPr>
          <w:rFonts w:hint="eastAsia" w:ascii="黑体" w:hAnsi="黑体" w:eastAsia="黑体" w:cs="黑体"/>
          <w:sz w:val="32"/>
          <w:szCs w:val="32"/>
        </w:rPr>
        <w:t>、国有资产信息</w:t>
      </w:r>
    </w:p>
    <w:p>
      <w:pPr>
        <w:autoSpaceDE w:val="0"/>
        <w:autoSpaceDN w:val="0"/>
        <w:adjustRightInd w:val="0"/>
        <w:ind w:firstLine="640" w:firstLineChars="200"/>
        <w:jc w:val="left"/>
        <w:rPr>
          <w:rFonts w:hint="eastAsia" w:ascii="黑体" w:hAnsi="黑体" w:eastAsia="黑体" w:cs="黑体"/>
          <w:sz w:val="32"/>
          <w:szCs w:val="32"/>
        </w:rPr>
      </w:pPr>
      <w:r>
        <w:rPr>
          <w:rFonts w:hint="eastAsia" w:ascii="黑体" w:hAnsi="黑体" w:eastAsia="黑体" w:cs="黑体"/>
          <w:sz w:val="32"/>
          <w:szCs w:val="32"/>
          <w:lang w:val="en-US" w:eastAsia="zh-CN"/>
        </w:rPr>
        <w:t>8</w:t>
      </w:r>
      <w:r>
        <w:rPr>
          <w:rFonts w:hint="eastAsia" w:ascii="黑体" w:hAnsi="黑体" w:eastAsia="黑体" w:cs="黑体"/>
          <w:sz w:val="32"/>
          <w:szCs w:val="32"/>
        </w:rPr>
        <w:t>、名词解释</w:t>
      </w:r>
    </w:p>
    <w:p>
      <w:pPr>
        <w:autoSpaceDE w:val="0"/>
        <w:autoSpaceDN w:val="0"/>
        <w:adjustRightInd w:val="0"/>
        <w:ind w:firstLine="640" w:firstLineChars="200"/>
        <w:jc w:val="left"/>
        <w:rPr>
          <w:rFonts w:hint="eastAsia" w:ascii="黑体" w:hAnsi="黑体" w:eastAsia="黑体" w:cs="黑体"/>
          <w:sz w:val="32"/>
          <w:szCs w:val="32"/>
        </w:rPr>
      </w:pPr>
      <w:r>
        <w:rPr>
          <w:rFonts w:hint="eastAsia" w:ascii="黑体" w:hAnsi="黑体" w:eastAsia="黑体" w:cs="黑体"/>
          <w:sz w:val="32"/>
          <w:szCs w:val="32"/>
          <w:lang w:val="en-US" w:eastAsia="zh-CN"/>
        </w:rPr>
        <w:t>9</w:t>
      </w:r>
      <w:r>
        <w:rPr>
          <w:rFonts w:hint="eastAsia" w:ascii="黑体" w:hAnsi="黑体" w:eastAsia="黑体" w:cs="黑体"/>
          <w:sz w:val="32"/>
          <w:szCs w:val="32"/>
        </w:rPr>
        <w:t>、其他需要说明的事项</w:t>
      </w:r>
    </w:p>
    <w:p>
      <w:pPr>
        <w:autoSpaceDE w:val="0"/>
        <w:autoSpaceDN w:val="0"/>
        <w:adjustRightInd w:val="0"/>
        <w:ind w:firstLine="640" w:firstLineChars="200"/>
        <w:jc w:val="center"/>
        <w:rPr>
          <w:rFonts w:hint="eastAsia" w:ascii="黑体" w:hAnsi="黑体" w:eastAsia="黑体" w:cs="黑体"/>
          <w:sz w:val="32"/>
          <w:szCs w:val="32"/>
          <w:lang w:val="en-US" w:eastAsia="zh-CN"/>
        </w:rPr>
      </w:pPr>
      <w:r>
        <w:rPr>
          <w:rFonts w:hint="eastAsia" w:ascii="黑体" w:hAnsi="黑体" w:eastAsia="黑体" w:cs="黑体"/>
          <w:sz w:val="32"/>
          <w:szCs w:val="32"/>
          <w:lang w:eastAsia="zh-CN"/>
        </w:rPr>
        <w:t>第二部分</w:t>
      </w:r>
      <w:r>
        <w:rPr>
          <w:rFonts w:hint="eastAsia" w:ascii="黑体" w:hAnsi="黑体" w:eastAsia="黑体" w:cs="黑体"/>
          <w:sz w:val="32"/>
          <w:szCs w:val="32"/>
          <w:lang w:val="en-US" w:eastAsia="zh-CN"/>
        </w:rPr>
        <w:t xml:space="preserve"> 部门所属单位预算</w:t>
      </w:r>
    </w:p>
    <w:p>
      <w:pPr>
        <w:autoSpaceDE w:val="0"/>
        <w:autoSpaceDN w:val="0"/>
        <w:adjustRightInd w:val="0"/>
        <w:ind w:firstLine="640" w:firstLineChars="200"/>
        <w:jc w:val="left"/>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一、宁晋县供销合作社本级收支预算</w:t>
      </w:r>
    </w:p>
    <w:p>
      <w:pPr>
        <w:autoSpaceDE w:val="0"/>
        <w:autoSpaceDN w:val="0"/>
        <w:adjustRightInd w:val="0"/>
        <w:ind w:firstLine="640" w:firstLineChars="200"/>
        <w:jc w:val="left"/>
        <w:rPr>
          <w:rFonts w:hint="eastAsia" w:ascii="黑体" w:hAnsi="黑体" w:eastAsia="黑体" w:cs="黑体"/>
          <w:sz w:val="32"/>
          <w:szCs w:val="32"/>
        </w:rPr>
      </w:pPr>
    </w:p>
    <w:p>
      <w:pPr>
        <w:autoSpaceDE w:val="0"/>
        <w:autoSpaceDN w:val="0"/>
        <w:adjustRightInd w:val="0"/>
        <w:ind w:firstLine="640" w:firstLineChars="200"/>
        <w:jc w:val="left"/>
        <w:rPr>
          <w:rFonts w:hint="eastAsia" w:ascii="黑体" w:hAnsi="黑体" w:eastAsia="黑体" w:cs="黑体"/>
          <w:sz w:val="32"/>
          <w:szCs w:val="32"/>
        </w:rPr>
      </w:pPr>
    </w:p>
    <w:p>
      <w:pPr>
        <w:autoSpaceDE w:val="0"/>
        <w:autoSpaceDN w:val="0"/>
        <w:adjustRightInd w:val="0"/>
        <w:ind w:firstLine="640" w:firstLineChars="200"/>
        <w:jc w:val="left"/>
        <w:rPr>
          <w:rFonts w:hint="eastAsia" w:ascii="黑体" w:hAnsi="黑体" w:eastAsia="黑体" w:cs="黑体"/>
          <w:sz w:val="32"/>
          <w:szCs w:val="32"/>
        </w:rPr>
      </w:pPr>
    </w:p>
    <w:p>
      <w:pPr>
        <w:ind w:firstLine="640" w:firstLineChars="200"/>
        <w:jc w:val="center"/>
        <w:rPr>
          <w:rFonts w:hint="eastAsia" w:ascii="黑体" w:hAnsi="黑体" w:eastAsia="黑体" w:cs="黑体"/>
          <w:sz w:val="32"/>
          <w:szCs w:val="32"/>
          <w:lang w:val="en-US" w:eastAsia="zh-CN"/>
        </w:rPr>
      </w:pPr>
      <w:r>
        <w:rPr>
          <w:rFonts w:hint="eastAsia" w:ascii="黑体" w:hAnsi="黑体" w:eastAsia="黑体" w:cs="黑体"/>
          <w:sz w:val="32"/>
          <w:szCs w:val="32"/>
          <w:lang w:eastAsia="zh-CN"/>
        </w:rPr>
        <w:t>第一部分</w:t>
      </w:r>
      <w:r>
        <w:rPr>
          <w:rFonts w:hint="eastAsia" w:ascii="黑体" w:hAnsi="黑体" w:eastAsia="黑体" w:cs="黑体"/>
          <w:sz w:val="32"/>
          <w:szCs w:val="32"/>
          <w:lang w:val="en-US" w:eastAsia="zh-CN"/>
        </w:rPr>
        <w:t xml:space="preserve"> 部门预算</w:t>
      </w:r>
    </w:p>
    <w:tbl>
      <w:tblPr>
        <w:tblStyle w:val="5"/>
        <w:tblW w:w="14173" w:type="dxa"/>
        <w:jc w:val="center"/>
        <w:shd w:val="clear" w:color="auto" w:fill="auto"/>
        <w:tblLayout w:type="fixed"/>
        <w:tblCellMar>
          <w:top w:w="0" w:type="dxa"/>
          <w:left w:w="0" w:type="dxa"/>
          <w:bottom w:w="0" w:type="dxa"/>
          <w:right w:w="0" w:type="dxa"/>
        </w:tblCellMar>
      </w:tblPr>
      <w:tblGrid>
        <w:gridCol w:w="559"/>
        <w:gridCol w:w="3695"/>
        <w:gridCol w:w="819"/>
        <w:gridCol w:w="6570"/>
        <w:gridCol w:w="2530"/>
      </w:tblGrid>
      <w:tr>
        <w:tblPrEx>
          <w:shd w:val="clear" w:color="auto" w:fill="auto"/>
          <w:tblCellMar>
            <w:top w:w="0" w:type="dxa"/>
            <w:left w:w="0" w:type="dxa"/>
            <w:bottom w:w="0" w:type="dxa"/>
            <w:right w:w="0" w:type="dxa"/>
          </w:tblCellMar>
        </w:tblPrEx>
        <w:trPr>
          <w:trHeight w:val="360" w:hRule="atLeast"/>
          <w:jc w:val="center"/>
        </w:trPr>
        <w:tc>
          <w:tcPr>
            <w:tcW w:w="14173" w:type="dxa"/>
            <w:gridSpan w:val="5"/>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8"/>
                <w:szCs w:val="28"/>
                <w:u w:val="none"/>
                <w:lang w:val="en-US" w:eastAsia="zh-CN" w:bidi="ar"/>
              </w:rPr>
              <w:t>部门预算收支总表</w:t>
            </w:r>
          </w:p>
        </w:tc>
      </w:tr>
      <w:tr>
        <w:tblPrEx>
          <w:shd w:val="clear" w:color="auto" w:fill="auto"/>
          <w:tblCellMar>
            <w:top w:w="0" w:type="dxa"/>
            <w:left w:w="0" w:type="dxa"/>
            <w:bottom w:w="0" w:type="dxa"/>
            <w:right w:w="0" w:type="dxa"/>
          </w:tblCellMar>
        </w:tblPrEx>
        <w:trPr>
          <w:trHeight w:val="360" w:hRule="atLeast"/>
          <w:jc w:val="center"/>
        </w:trPr>
        <w:tc>
          <w:tcPr>
            <w:tcW w:w="5073" w:type="dxa"/>
            <w:gridSpan w:val="3"/>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预算单位编码及名称：[975]宁晋县供销合作社</w:t>
            </w:r>
          </w:p>
        </w:tc>
        <w:tc>
          <w:tcPr>
            <w:tcW w:w="6570" w:type="dxa"/>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2530" w:type="dxa"/>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tblPrEx>
          <w:shd w:val="clear" w:color="auto" w:fill="auto"/>
          <w:tblCellMar>
            <w:top w:w="0" w:type="dxa"/>
            <w:left w:w="0" w:type="dxa"/>
            <w:bottom w:w="0" w:type="dxa"/>
            <w:right w:w="0" w:type="dxa"/>
          </w:tblCellMar>
        </w:tblPrEx>
        <w:trPr>
          <w:trHeight w:val="360" w:hRule="atLeast"/>
          <w:jc w:val="center"/>
        </w:trPr>
        <w:tc>
          <w:tcPr>
            <w:tcW w:w="559"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451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收入</w:t>
            </w:r>
          </w:p>
        </w:tc>
        <w:tc>
          <w:tcPr>
            <w:tcW w:w="910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w:t>
            </w:r>
          </w:p>
        </w:tc>
      </w:tr>
      <w:tr>
        <w:tblPrEx>
          <w:shd w:val="clear" w:color="auto" w:fill="auto"/>
          <w:tblCellMar>
            <w:top w:w="0" w:type="dxa"/>
            <w:left w:w="0" w:type="dxa"/>
            <w:bottom w:w="0" w:type="dxa"/>
            <w:right w:w="0" w:type="dxa"/>
          </w:tblCellMar>
        </w:tblPrEx>
        <w:trPr>
          <w:trHeight w:val="360" w:hRule="atLeast"/>
          <w:jc w:val="center"/>
        </w:trPr>
        <w:tc>
          <w:tcPr>
            <w:tcW w:w="559"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r>
      <w:tr>
        <w:tblPrEx>
          <w:shd w:val="clear" w:color="auto" w:fill="auto"/>
          <w:tblCellMar>
            <w:top w:w="0" w:type="dxa"/>
            <w:left w:w="0" w:type="dxa"/>
            <w:bottom w:w="0" w:type="dxa"/>
            <w:right w:w="0" w:type="dxa"/>
          </w:tblCellMar>
        </w:tblPrEx>
        <w:trPr>
          <w:trHeight w:val="36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一、一般公共预算拨款收入</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一、一般公共服务支出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二、政府性基金预算拨款收入</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二、外交支出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三、国有资本经营预算拨款收入</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三、国防支出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四、财政专户管理资金收入</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四、公共安全支出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五、事业收入</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五、教育支出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六、事业单位经营收入</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六、科学技术支出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七、上级补助收入</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七、文化旅游体育与传媒支出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八、附属单位上缴收入</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八、社会保障和就业支出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20.24</w:t>
            </w: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九、其他收入</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九、社会保险基金支出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十、卫生健康支出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十一、节能环保支出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十二、城乡社区支出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十三、农林水支出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十四、交通运输支出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十五、资源勘探工业信息等支出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十六、商业服务业等支出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541.97</w:t>
            </w: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十七、金融支出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十八、援助其他地区支出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十九、自然资源海洋气象等支出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二十、住房保障支出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二十一、粮油物资储备支出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二十二、国有资本经营预算支出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二十三、灾害防治及应急管理支出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24</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二十四、预备费</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25</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二十五、其他支出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26</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二十六、转移性支出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27</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二十七、灾害防治及应急管理共同财政事权转移支付支出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28</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二十八、债务还本支出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29</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二十九、债务付息支出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三十、债务发行费用支出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三十一、抗疫特别国债安排的支出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本年收入合计</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本年支出合计</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33</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上年结转结余</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年终结转结余</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34</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收入总计</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c>
          <w:tcPr>
            <w:tcW w:w="6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支出总计</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r>
    </w:tbl>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tbl>
      <w:tblPr>
        <w:tblStyle w:val="5"/>
        <w:tblW w:w="14298" w:type="dxa"/>
        <w:jc w:val="center"/>
        <w:shd w:val="clear" w:color="auto" w:fill="auto"/>
        <w:tblLayout w:type="fixed"/>
        <w:tblCellMar>
          <w:top w:w="0" w:type="dxa"/>
          <w:left w:w="0" w:type="dxa"/>
          <w:bottom w:w="0" w:type="dxa"/>
          <w:right w:w="0" w:type="dxa"/>
        </w:tblCellMar>
      </w:tblPr>
      <w:tblGrid>
        <w:gridCol w:w="424"/>
        <w:gridCol w:w="821"/>
        <w:gridCol w:w="3206"/>
        <w:gridCol w:w="644"/>
        <w:gridCol w:w="644"/>
        <w:gridCol w:w="1219"/>
        <w:gridCol w:w="1218"/>
        <w:gridCol w:w="822"/>
        <w:gridCol w:w="821"/>
        <w:gridCol w:w="1219"/>
        <w:gridCol w:w="1616"/>
        <w:gridCol w:w="820"/>
        <w:gridCol w:w="824"/>
      </w:tblGrid>
      <w:tr>
        <w:tblPrEx>
          <w:shd w:val="clear" w:color="auto" w:fill="auto"/>
          <w:tblCellMar>
            <w:top w:w="0" w:type="dxa"/>
            <w:left w:w="0" w:type="dxa"/>
            <w:bottom w:w="0" w:type="dxa"/>
            <w:right w:w="0" w:type="dxa"/>
          </w:tblCellMar>
        </w:tblPrEx>
        <w:trPr>
          <w:trHeight w:val="360" w:hRule="atLeast"/>
          <w:jc w:val="center"/>
        </w:trPr>
        <w:tc>
          <w:tcPr>
            <w:tcW w:w="14298" w:type="dxa"/>
            <w:gridSpan w:val="1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8"/>
                <w:szCs w:val="28"/>
                <w:u w:val="none"/>
                <w:lang w:val="en-US" w:eastAsia="zh-CN" w:bidi="ar"/>
              </w:rPr>
              <w:t>部门预算收入总表</w:t>
            </w:r>
          </w:p>
        </w:tc>
      </w:tr>
      <w:tr>
        <w:tblPrEx>
          <w:shd w:val="clear" w:color="auto" w:fill="auto"/>
          <w:tblCellMar>
            <w:top w:w="0" w:type="dxa"/>
            <w:left w:w="0" w:type="dxa"/>
            <w:bottom w:w="0" w:type="dxa"/>
            <w:right w:w="0" w:type="dxa"/>
          </w:tblCellMar>
        </w:tblPrEx>
        <w:trPr>
          <w:trHeight w:val="360" w:hRule="atLeast"/>
          <w:jc w:val="center"/>
        </w:trPr>
        <w:tc>
          <w:tcPr>
            <w:tcW w:w="9819" w:type="dxa"/>
            <w:gridSpan w:val="9"/>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预算单位编码及名称：[975]宁晋县供销合作社</w:t>
            </w:r>
          </w:p>
        </w:tc>
        <w:tc>
          <w:tcPr>
            <w:tcW w:w="2835"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1644"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tblPrEx>
          <w:shd w:val="clear" w:color="auto" w:fill="auto"/>
          <w:tblCellMar>
            <w:top w:w="0" w:type="dxa"/>
            <w:left w:w="0" w:type="dxa"/>
            <w:bottom w:w="0" w:type="dxa"/>
            <w:right w:w="0" w:type="dxa"/>
          </w:tblCellMar>
        </w:tblPrEx>
        <w:trPr>
          <w:trHeight w:val="360" w:hRule="atLeast"/>
          <w:jc w:val="center"/>
        </w:trPr>
        <w:tc>
          <w:tcPr>
            <w:tcW w:w="42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4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w:t>
            </w:r>
          </w:p>
        </w:tc>
        <w:tc>
          <w:tcPr>
            <w:tcW w:w="64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8379"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w:t>
            </w:r>
          </w:p>
        </w:tc>
        <w:tc>
          <w:tcPr>
            <w:tcW w:w="82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上年结转</w:t>
            </w:r>
          </w:p>
        </w:tc>
      </w:tr>
      <w:tr>
        <w:tblPrEx>
          <w:shd w:val="clear" w:color="auto" w:fill="auto"/>
          <w:tblCellMar>
            <w:top w:w="0" w:type="dxa"/>
            <w:left w:w="0" w:type="dxa"/>
            <w:bottom w:w="0" w:type="dxa"/>
            <w:right w:w="0" w:type="dxa"/>
          </w:tblCellMar>
        </w:tblPrEx>
        <w:trPr>
          <w:trHeight w:val="360" w:hRule="atLeast"/>
          <w:jc w:val="center"/>
        </w:trPr>
        <w:tc>
          <w:tcPr>
            <w:tcW w:w="42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64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财政拨款收入</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财政专户收入</w:t>
            </w: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事业收入</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经营收入</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上级补助收入</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附属单位上缴收入</w:t>
            </w: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其他收入</w:t>
            </w:r>
          </w:p>
        </w:tc>
        <w:tc>
          <w:tcPr>
            <w:tcW w:w="82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36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r>
      <w:tr>
        <w:tblPrEx>
          <w:shd w:val="clear" w:color="auto" w:fill="auto"/>
          <w:tblCellMar>
            <w:top w:w="0" w:type="dxa"/>
            <w:left w:w="0" w:type="dxa"/>
            <w:bottom w:w="0" w:type="dxa"/>
            <w:right w:w="0" w:type="dxa"/>
          </w:tblCellMar>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合计</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社会保障和就业支出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20.24</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20.24</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20.24</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行政事业单位养老支出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19.76</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19.76</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19.76</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2080502</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事业单位离退休</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4.30</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4.30</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4.30</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2080505</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机关事业单位基本养老保险缴费支出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15.46</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15.46</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15.46</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财政对其他社会保险基金的补助</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2082702</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财政对工伤保险基金的补助</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卫生健康支出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行政事业单位医疗</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2101102</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事业单位医疗</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216</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商业服务业等支出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541.97</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541.97</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541.97</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21602</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商业流通事务</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541.97</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541.97</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541.97</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2160203</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机关服务</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14.00</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14.00</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14.00</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2160250</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事业运行</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527.97</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527.97</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527.97</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住房保障支出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住房改革支出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2210201</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住房公积金</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tbl>
      <w:tblPr>
        <w:tblStyle w:val="5"/>
        <w:tblW w:w="14648" w:type="dxa"/>
        <w:jc w:val="center"/>
        <w:shd w:val="clear" w:color="auto" w:fill="auto"/>
        <w:tblLayout w:type="fixed"/>
        <w:tblCellMar>
          <w:top w:w="0" w:type="dxa"/>
          <w:left w:w="0" w:type="dxa"/>
          <w:bottom w:w="0" w:type="dxa"/>
          <w:right w:w="0" w:type="dxa"/>
        </w:tblCellMar>
      </w:tblPr>
      <w:tblGrid>
        <w:gridCol w:w="493"/>
        <w:gridCol w:w="955"/>
        <w:gridCol w:w="3724"/>
        <w:gridCol w:w="1416"/>
        <w:gridCol w:w="955"/>
        <w:gridCol w:w="955"/>
        <w:gridCol w:w="955"/>
        <w:gridCol w:w="1647"/>
        <w:gridCol w:w="3548"/>
      </w:tblGrid>
      <w:tr>
        <w:tblPrEx>
          <w:shd w:val="clear" w:color="auto" w:fill="auto"/>
          <w:tblCellMar>
            <w:top w:w="0" w:type="dxa"/>
            <w:left w:w="0" w:type="dxa"/>
            <w:bottom w:w="0" w:type="dxa"/>
            <w:right w:w="0" w:type="dxa"/>
          </w:tblCellMar>
        </w:tblPrEx>
        <w:trPr>
          <w:trHeight w:val="360" w:hRule="atLeast"/>
          <w:jc w:val="center"/>
        </w:trPr>
        <w:tc>
          <w:tcPr>
            <w:tcW w:w="14648" w:type="dxa"/>
            <w:gridSpan w:val="9"/>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8"/>
                <w:szCs w:val="28"/>
                <w:u w:val="none"/>
                <w:lang w:val="en-US" w:eastAsia="zh-CN" w:bidi="ar"/>
              </w:rPr>
              <w:t>部门预算支出总表</w:t>
            </w:r>
          </w:p>
        </w:tc>
      </w:tr>
      <w:tr>
        <w:tblPrEx>
          <w:shd w:val="clear" w:color="auto" w:fill="auto"/>
          <w:tblCellMar>
            <w:top w:w="0" w:type="dxa"/>
            <w:left w:w="0" w:type="dxa"/>
            <w:bottom w:w="0" w:type="dxa"/>
            <w:right w:w="0" w:type="dxa"/>
          </w:tblCellMar>
        </w:tblPrEx>
        <w:trPr>
          <w:trHeight w:val="360" w:hRule="atLeast"/>
          <w:jc w:val="center"/>
        </w:trPr>
        <w:tc>
          <w:tcPr>
            <w:tcW w:w="9453" w:type="dxa"/>
            <w:gridSpan w:val="7"/>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预算单位编码及名称：[975]宁晋县供销合作社</w:t>
            </w:r>
          </w:p>
        </w:tc>
        <w:tc>
          <w:tcPr>
            <w:tcW w:w="1647" w:type="dxa"/>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3548" w:type="dxa"/>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tblPrEx>
          <w:shd w:val="clear" w:color="auto" w:fill="auto"/>
          <w:tblCellMar>
            <w:top w:w="0" w:type="dxa"/>
            <w:left w:w="0" w:type="dxa"/>
            <w:bottom w:w="0" w:type="dxa"/>
            <w:right w:w="0" w:type="dxa"/>
          </w:tblCellMar>
        </w:tblPrEx>
        <w:trPr>
          <w:trHeight w:val="360" w:hRule="atLeast"/>
          <w:jc w:val="center"/>
        </w:trPr>
        <w:tc>
          <w:tcPr>
            <w:tcW w:w="493"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467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支出功能分类科目</w:t>
            </w:r>
          </w:p>
        </w:tc>
        <w:tc>
          <w:tcPr>
            <w:tcW w:w="1416"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本年支出合计</w:t>
            </w:r>
          </w:p>
        </w:tc>
        <w:tc>
          <w:tcPr>
            <w:tcW w:w="955"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955"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c>
          <w:tcPr>
            <w:tcW w:w="955"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经营支出</w:t>
            </w:r>
          </w:p>
        </w:tc>
        <w:tc>
          <w:tcPr>
            <w:tcW w:w="1647"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上缴上级支出</w:t>
            </w:r>
          </w:p>
        </w:tc>
        <w:tc>
          <w:tcPr>
            <w:tcW w:w="3548"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对附属单位补助支出</w:t>
            </w:r>
          </w:p>
        </w:tc>
      </w:tr>
      <w:tr>
        <w:tblPrEx>
          <w:shd w:val="clear" w:color="auto" w:fill="auto"/>
          <w:tblCellMar>
            <w:top w:w="0" w:type="dxa"/>
            <w:left w:w="0" w:type="dxa"/>
            <w:bottom w:w="0" w:type="dxa"/>
            <w:right w:w="0" w:type="dxa"/>
          </w:tblCellMar>
        </w:tblPrEx>
        <w:trPr>
          <w:trHeight w:val="360" w:hRule="atLeast"/>
          <w:jc w:val="center"/>
        </w:trPr>
        <w:tc>
          <w:tcPr>
            <w:tcW w:w="493"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416"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55"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55"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55"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47"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548"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PrEx>
        <w:trPr>
          <w:trHeight w:val="36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合计</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180.95</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399.81</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社会保障和就业支出</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20.24</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20.24</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行政事业单位养老支出</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19.76</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19.76</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2080502</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事业单位离退休</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4.30</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4.30</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2080505</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机关事业单位基本养老保险缴费支出</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15.46</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15.46</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财政对其他社会保险基金的补助</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2082702</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财政对工伤保险基金的补助</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卫生健康支出</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行政事业单位医疗</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2101102</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事业单位医疗</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216</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商业服务业等支出</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541.97</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142.16</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399.81</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21602</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商业流通事务</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541.97</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142.16</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399.81</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2160203</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机关服务</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14.00</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14.00</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2160250</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事业运行</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527.97</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142.16</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385.81</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住房保障支出</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住房改革支出</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2210201</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住房公积金</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numPr>
          <w:ilvl w:val="0"/>
          <w:numId w:val="0"/>
        </w:numPr>
        <w:autoSpaceDE w:val="0"/>
        <w:autoSpaceDN w:val="0"/>
        <w:adjustRightInd w:val="0"/>
        <w:jc w:val="both"/>
        <w:rPr>
          <w:rFonts w:hint="eastAsia" w:ascii="黑体" w:hAnsi="黑体" w:eastAsia="黑体" w:cs="黑体"/>
          <w:sz w:val="32"/>
          <w:szCs w:val="32"/>
          <w:lang w:val="en-US" w:eastAsia="zh-CN"/>
        </w:rPr>
      </w:pPr>
    </w:p>
    <w:tbl>
      <w:tblPr>
        <w:tblStyle w:val="5"/>
        <w:tblW w:w="14407" w:type="dxa"/>
        <w:jc w:val="center"/>
        <w:shd w:val="clear" w:color="auto" w:fill="auto"/>
        <w:tblLayout w:type="fixed"/>
        <w:tblCellMar>
          <w:top w:w="0" w:type="dxa"/>
          <w:left w:w="0" w:type="dxa"/>
          <w:bottom w:w="0" w:type="dxa"/>
          <w:right w:w="0" w:type="dxa"/>
        </w:tblCellMar>
      </w:tblPr>
      <w:tblGrid>
        <w:gridCol w:w="385"/>
        <w:gridCol w:w="2186"/>
        <w:gridCol w:w="644"/>
        <w:gridCol w:w="4529"/>
        <w:gridCol w:w="644"/>
        <w:gridCol w:w="1826"/>
        <w:gridCol w:w="2007"/>
        <w:gridCol w:w="2186"/>
      </w:tblGrid>
      <w:tr>
        <w:tblPrEx>
          <w:tblCellMar>
            <w:top w:w="0" w:type="dxa"/>
            <w:left w:w="0" w:type="dxa"/>
            <w:bottom w:w="0" w:type="dxa"/>
            <w:right w:w="0" w:type="dxa"/>
          </w:tblCellMar>
        </w:tblPrEx>
        <w:trPr>
          <w:trHeight w:val="360" w:hRule="atLeast"/>
          <w:jc w:val="center"/>
        </w:trPr>
        <w:tc>
          <w:tcPr>
            <w:tcW w:w="14407"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8"/>
                <w:szCs w:val="28"/>
                <w:u w:val="none"/>
                <w:lang w:val="en-US" w:eastAsia="zh-CN" w:bidi="ar"/>
              </w:rPr>
              <w:t>部门预算财政拨款收支总表</w:t>
            </w:r>
          </w:p>
        </w:tc>
      </w:tr>
      <w:tr>
        <w:tblPrEx>
          <w:shd w:val="clear" w:color="auto" w:fill="auto"/>
          <w:tblCellMar>
            <w:top w:w="0" w:type="dxa"/>
            <w:left w:w="0" w:type="dxa"/>
            <w:bottom w:w="0" w:type="dxa"/>
            <w:right w:w="0" w:type="dxa"/>
          </w:tblCellMar>
        </w:tblPrEx>
        <w:trPr>
          <w:trHeight w:val="360" w:hRule="atLeast"/>
          <w:jc w:val="center"/>
        </w:trPr>
        <w:tc>
          <w:tcPr>
            <w:tcW w:w="10214" w:type="dxa"/>
            <w:gridSpan w:val="6"/>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预算单位编码及名称：[975]宁晋县供销合作社</w:t>
            </w:r>
          </w:p>
        </w:tc>
        <w:tc>
          <w:tcPr>
            <w:tcW w:w="2007" w:type="dxa"/>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2186" w:type="dxa"/>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tblPrEx>
          <w:shd w:val="clear" w:color="auto" w:fill="auto"/>
          <w:tblCellMar>
            <w:top w:w="0" w:type="dxa"/>
            <w:left w:w="0" w:type="dxa"/>
            <w:bottom w:w="0" w:type="dxa"/>
            <w:right w:w="0" w:type="dxa"/>
          </w:tblCellMar>
        </w:tblPrEx>
        <w:trPr>
          <w:trHeight w:val="360" w:hRule="atLeast"/>
          <w:jc w:val="center"/>
        </w:trPr>
        <w:tc>
          <w:tcPr>
            <w:tcW w:w="385"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28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收入</w:t>
            </w:r>
          </w:p>
        </w:tc>
        <w:tc>
          <w:tcPr>
            <w:tcW w:w="11192"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w:t>
            </w:r>
          </w:p>
        </w:tc>
      </w:tr>
      <w:tr>
        <w:tblPrEx>
          <w:shd w:val="clear" w:color="auto" w:fill="auto"/>
          <w:tblCellMar>
            <w:top w:w="0" w:type="dxa"/>
            <w:left w:w="0" w:type="dxa"/>
            <w:bottom w:w="0" w:type="dxa"/>
            <w:right w:w="0" w:type="dxa"/>
          </w:tblCellMar>
        </w:tblPrEx>
        <w:trPr>
          <w:trHeight w:val="360" w:hRule="atLeast"/>
          <w:jc w:val="center"/>
        </w:trPr>
        <w:tc>
          <w:tcPr>
            <w:tcW w:w="385"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一般公共预算财政拨款</w:t>
            </w: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政府性基金预算财政拨款</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国有资本经营预算财政拨款</w:t>
            </w:r>
          </w:p>
        </w:tc>
      </w:tr>
      <w:tr>
        <w:tblPrEx>
          <w:shd w:val="clear" w:color="auto" w:fill="auto"/>
          <w:tblCellMar>
            <w:top w:w="0" w:type="dxa"/>
            <w:left w:w="0" w:type="dxa"/>
            <w:bottom w:w="0" w:type="dxa"/>
            <w:right w:w="0" w:type="dxa"/>
          </w:tblCellMar>
        </w:tblPrEx>
        <w:trPr>
          <w:trHeight w:val="36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一、一般公共预算拨款</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一、一般公共服务支出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二、政府性基金预算拨款</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二、外交支出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三、国有资本经营预算拨款</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三、国防支出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四、公共安全支出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五、教育支出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六、科学技术支出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七、文化旅游体育与传媒支出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八、社会保障和就业支出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20.24</w:t>
            </w: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20.24</w:t>
            </w: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九、社会保险基金支出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十、卫生健康支出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十一、节能环保支出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十二、城乡社区支出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十三、农林水支出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十四、交通运输支出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十五、资源勘探工业信息等支出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十六、商业服务业等支出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541.97</w:t>
            </w: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541.97</w:t>
            </w: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十七、金融支出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十八、援助其他地区支出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十九、自然资源海洋气象等支出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二十、住房保障支出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二十一、粮油物资储备支出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二十二、国有资本经营预算支出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二十三、灾害防治及应急管理支出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24</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二十四、预备费</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25</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二十五、其他支出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26</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二十六、转移性支出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27</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二十七、灾害防治及应急管理共同财政事权转移支付支出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28</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二十八、债务还本支出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29</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二十九、债务付息支出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三十、债务发行费用支出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三十一、抗疫特别国债安排的支出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本年收入合计</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本年支出合计</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33</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年初财政拨款结转和结余</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年末财政拨款结转和结余</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34</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一、一般公共预算拨款</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35</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二、政府性基金预算拨款</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36</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三、国有资本经营预算拨款</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37</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收入总计</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支出总计</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numPr>
          <w:ilvl w:val="0"/>
          <w:numId w:val="0"/>
        </w:numPr>
        <w:autoSpaceDE w:val="0"/>
        <w:autoSpaceDN w:val="0"/>
        <w:adjustRightInd w:val="0"/>
        <w:jc w:val="both"/>
        <w:rPr>
          <w:rFonts w:hint="eastAsia" w:ascii="黑体" w:hAnsi="黑体" w:eastAsia="黑体" w:cs="黑体"/>
          <w:sz w:val="32"/>
          <w:szCs w:val="32"/>
          <w:lang w:val="en-US" w:eastAsia="zh-CN"/>
        </w:rPr>
      </w:pPr>
    </w:p>
    <w:tbl>
      <w:tblPr>
        <w:tblStyle w:val="5"/>
        <w:tblW w:w="14173" w:type="dxa"/>
        <w:jc w:val="center"/>
        <w:shd w:val="clear" w:color="auto" w:fill="auto"/>
        <w:tblLayout w:type="fixed"/>
        <w:tblCellMar>
          <w:top w:w="0" w:type="dxa"/>
          <w:left w:w="0" w:type="dxa"/>
          <w:bottom w:w="0" w:type="dxa"/>
          <w:right w:w="0" w:type="dxa"/>
        </w:tblCellMar>
      </w:tblPr>
      <w:tblGrid>
        <w:gridCol w:w="649"/>
        <w:gridCol w:w="1256"/>
        <w:gridCol w:w="4900"/>
        <w:gridCol w:w="889"/>
        <w:gridCol w:w="889"/>
        <w:gridCol w:w="1256"/>
        <w:gridCol w:w="2167"/>
        <w:gridCol w:w="2167"/>
      </w:tblGrid>
      <w:tr>
        <w:tblPrEx>
          <w:tblCellMar>
            <w:top w:w="0" w:type="dxa"/>
            <w:left w:w="0" w:type="dxa"/>
            <w:bottom w:w="0" w:type="dxa"/>
            <w:right w:w="0" w:type="dxa"/>
          </w:tblCellMar>
        </w:tblPrEx>
        <w:trPr>
          <w:trHeight w:val="360" w:hRule="atLeast"/>
          <w:jc w:val="center"/>
        </w:trPr>
        <w:tc>
          <w:tcPr>
            <w:tcW w:w="14173"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8"/>
                <w:szCs w:val="28"/>
                <w:u w:val="none"/>
                <w:lang w:val="en-US" w:eastAsia="zh-CN" w:bidi="ar"/>
              </w:rPr>
              <w:t>部门预算一般公共预算财政拨款支出表</w:t>
            </w:r>
          </w:p>
        </w:tc>
      </w:tr>
      <w:tr>
        <w:tblPrEx>
          <w:shd w:val="clear" w:color="auto" w:fill="auto"/>
          <w:tblCellMar>
            <w:top w:w="0" w:type="dxa"/>
            <w:left w:w="0" w:type="dxa"/>
            <w:bottom w:w="0" w:type="dxa"/>
            <w:right w:w="0" w:type="dxa"/>
          </w:tblCellMar>
        </w:tblPrEx>
        <w:trPr>
          <w:trHeight w:val="360" w:hRule="atLeast"/>
          <w:jc w:val="center"/>
        </w:trPr>
        <w:tc>
          <w:tcPr>
            <w:tcW w:w="9839" w:type="dxa"/>
            <w:gridSpan w:val="6"/>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预算单位编码及名称：[975]宁晋县供销合作社</w:t>
            </w:r>
          </w:p>
        </w:tc>
        <w:tc>
          <w:tcPr>
            <w:tcW w:w="2167" w:type="dxa"/>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2167" w:type="dxa"/>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tblPrEx>
          <w:shd w:val="clear" w:color="auto" w:fill="auto"/>
          <w:tblCellMar>
            <w:top w:w="0" w:type="dxa"/>
            <w:left w:w="0" w:type="dxa"/>
            <w:bottom w:w="0" w:type="dxa"/>
            <w:right w:w="0" w:type="dxa"/>
          </w:tblCellMar>
        </w:tblPrEx>
        <w:trPr>
          <w:trHeight w:val="360" w:hRule="atLeast"/>
          <w:jc w:val="center"/>
        </w:trPr>
        <w:tc>
          <w:tcPr>
            <w:tcW w:w="649"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6156"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支出功能分类科目</w:t>
            </w:r>
          </w:p>
        </w:tc>
        <w:tc>
          <w:tcPr>
            <w:tcW w:w="889"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431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2167"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tblPrEx>
          <w:shd w:val="clear" w:color="auto" w:fill="auto"/>
          <w:tblCellMar>
            <w:top w:w="0" w:type="dxa"/>
            <w:left w:w="0" w:type="dxa"/>
            <w:bottom w:w="0" w:type="dxa"/>
            <w:right w:w="0" w:type="dxa"/>
          </w:tblCellMar>
        </w:tblPrEx>
        <w:trPr>
          <w:trHeight w:val="360" w:hRule="atLeast"/>
          <w:jc w:val="center"/>
        </w:trPr>
        <w:tc>
          <w:tcPr>
            <w:tcW w:w="649"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889"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w:t>
            </w:r>
          </w:p>
        </w:tc>
        <w:tc>
          <w:tcPr>
            <w:tcW w:w="2167"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36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r>
      <w:tr>
        <w:tblPrEx>
          <w:shd w:val="clear" w:color="auto" w:fill="auto"/>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合计</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180.95</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173.04</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7.91</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399.81</w:t>
            </w:r>
          </w:p>
        </w:tc>
      </w:tr>
      <w:tr>
        <w:tblPrEx>
          <w:shd w:val="clear" w:color="auto" w:fill="auto"/>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社会保障和就业支出</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20.24</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20.24</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20.24</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行政事业单位养老支出</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19.76</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19.76</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19.76</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2080502</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事业单位离退休</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4.30</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4.30</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4.30</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2080505</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机关事业单位基本养老保险缴费支出</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15.46</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15.46</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15.46</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财政对其他社会保险基金的补助</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2082702</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财政对工伤保险基金的补助</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卫生健康支出</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行政事业单位医疗</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2101102</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事业单位医疗</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216</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商业服务业等支出</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541.97</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142.16</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134.25</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7.91</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399.81</w:t>
            </w:r>
          </w:p>
        </w:tc>
      </w:tr>
      <w:tr>
        <w:tblPrEx>
          <w:shd w:val="clear" w:color="auto" w:fill="auto"/>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21602</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商业流通事务</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541.97</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142.16</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134.25</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7.91</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399.81</w:t>
            </w:r>
          </w:p>
        </w:tc>
      </w:tr>
      <w:tr>
        <w:tblPrEx>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2160203</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机关服务</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14.00</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14.00</w:t>
            </w:r>
          </w:p>
        </w:tc>
      </w:tr>
      <w:tr>
        <w:tblPrEx>
          <w:shd w:val="clear" w:color="auto" w:fill="auto"/>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2160250</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事业运行</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527.97</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142.16</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134.25</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7.91</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385.81</w:t>
            </w:r>
          </w:p>
        </w:tc>
      </w:tr>
      <w:tr>
        <w:tblPrEx>
          <w:shd w:val="clear" w:color="auto" w:fill="auto"/>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住房保障支出</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住房改革支出</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2210201</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住房公积金</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numPr>
          <w:ilvl w:val="0"/>
          <w:numId w:val="0"/>
        </w:numPr>
        <w:autoSpaceDE w:val="0"/>
        <w:autoSpaceDN w:val="0"/>
        <w:adjustRightInd w:val="0"/>
        <w:jc w:val="both"/>
        <w:rPr>
          <w:rFonts w:hint="eastAsia" w:ascii="黑体" w:hAnsi="黑体" w:eastAsia="黑体" w:cs="黑体"/>
          <w:sz w:val="32"/>
          <w:szCs w:val="32"/>
          <w:lang w:val="en-US" w:eastAsia="zh-CN"/>
        </w:rPr>
      </w:pPr>
    </w:p>
    <w:tbl>
      <w:tblPr>
        <w:tblStyle w:val="5"/>
        <w:tblW w:w="14174" w:type="dxa"/>
        <w:jc w:val="center"/>
        <w:shd w:val="clear" w:color="auto" w:fill="auto"/>
        <w:tblLayout w:type="fixed"/>
        <w:tblCellMar>
          <w:top w:w="0" w:type="dxa"/>
          <w:left w:w="0" w:type="dxa"/>
          <w:bottom w:w="0" w:type="dxa"/>
          <w:right w:w="0" w:type="dxa"/>
        </w:tblCellMar>
      </w:tblPr>
      <w:tblGrid>
        <w:gridCol w:w="805"/>
        <w:gridCol w:w="1559"/>
        <w:gridCol w:w="5327"/>
        <w:gridCol w:w="1103"/>
        <w:gridCol w:w="2690"/>
        <w:gridCol w:w="2690"/>
      </w:tblGrid>
      <w:tr>
        <w:tblPrEx>
          <w:shd w:val="clear" w:color="auto" w:fill="auto"/>
          <w:tblCellMar>
            <w:top w:w="0" w:type="dxa"/>
            <w:left w:w="0" w:type="dxa"/>
            <w:bottom w:w="0" w:type="dxa"/>
            <w:right w:w="0" w:type="dxa"/>
          </w:tblCellMar>
        </w:tblPrEx>
        <w:trPr>
          <w:trHeight w:val="360" w:hRule="atLeast"/>
          <w:jc w:val="center"/>
        </w:trPr>
        <w:tc>
          <w:tcPr>
            <w:tcW w:w="14174"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8"/>
                <w:szCs w:val="28"/>
                <w:u w:val="none"/>
                <w:lang w:val="en-US" w:eastAsia="zh-CN" w:bidi="ar"/>
              </w:rPr>
              <w:t>部门预算一般公共预算财政拨款基本支出表</w:t>
            </w:r>
          </w:p>
        </w:tc>
      </w:tr>
      <w:tr>
        <w:tblPrEx>
          <w:tblCellMar>
            <w:top w:w="0" w:type="dxa"/>
            <w:left w:w="0" w:type="dxa"/>
            <w:bottom w:w="0" w:type="dxa"/>
            <w:right w:w="0" w:type="dxa"/>
          </w:tblCellMar>
        </w:tblPrEx>
        <w:trPr>
          <w:trHeight w:val="360" w:hRule="atLeast"/>
          <w:jc w:val="center"/>
        </w:trPr>
        <w:tc>
          <w:tcPr>
            <w:tcW w:w="8794" w:type="dxa"/>
            <w:gridSpan w:val="4"/>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预算单位编码及名称：[975]宁晋县供销合作社</w:t>
            </w:r>
          </w:p>
        </w:tc>
        <w:tc>
          <w:tcPr>
            <w:tcW w:w="269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269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tblPrEx>
          <w:shd w:val="clear" w:color="auto" w:fill="auto"/>
          <w:tblCellMar>
            <w:top w:w="0" w:type="dxa"/>
            <w:left w:w="0" w:type="dxa"/>
            <w:bottom w:w="0" w:type="dxa"/>
            <w:right w:w="0" w:type="dxa"/>
          </w:tblCellMar>
        </w:tblPrEx>
        <w:trPr>
          <w:trHeight w:val="360" w:hRule="atLeast"/>
          <w:jc w:val="center"/>
        </w:trPr>
        <w:tc>
          <w:tcPr>
            <w:tcW w:w="80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688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支出部门经济分类科目</w:t>
            </w:r>
          </w:p>
        </w:tc>
        <w:tc>
          <w:tcPr>
            <w:tcW w:w="648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一般公共预算基本支出</w:t>
            </w:r>
          </w:p>
        </w:tc>
      </w:tr>
      <w:tr>
        <w:tblPrEx>
          <w:tblCellMar>
            <w:top w:w="0" w:type="dxa"/>
            <w:left w:w="0" w:type="dxa"/>
            <w:bottom w:w="0" w:type="dxa"/>
            <w:right w:w="0" w:type="dxa"/>
          </w:tblCellMar>
        </w:tblPrEx>
        <w:trPr>
          <w:trHeight w:val="360" w:hRule="atLeast"/>
          <w:jc w:val="center"/>
        </w:trPr>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w:t>
            </w:r>
          </w:p>
        </w:tc>
      </w:tr>
      <w:tr>
        <w:tblPrEx>
          <w:tblCellMar>
            <w:top w:w="0" w:type="dxa"/>
            <w:left w:w="0" w:type="dxa"/>
            <w:bottom w:w="0" w:type="dxa"/>
            <w:right w:w="0" w:type="dxa"/>
          </w:tblCellMar>
        </w:tblPrEx>
        <w:trPr>
          <w:trHeight w:val="36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合计</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180.95</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173.04</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7.91</w:t>
            </w: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工资福利支出</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139.34</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139.34</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30101</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基本工资</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63.00</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63.00</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30102</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津贴补贴</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31.85</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31.85</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30107</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绩效工资</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39.4</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39.4</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30108</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机关事业单位基本养老保险缴费</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15.46</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15.46</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30110</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城镇职工基本医疗保险缴费</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30112</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其他社会保障缴费</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30113</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住房公积金</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商品和服务支出</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7.91</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7.91</w:t>
            </w: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30201</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办公费</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3.04</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3.04</w:t>
            </w: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30205</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水费</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0.05</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0.05</w:t>
            </w: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30206</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电费</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0.09</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0.09</w:t>
            </w: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30207</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邮电费</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1.50</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1.50</w:t>
            </w: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30213</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维修(护)费</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0.06</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0.06</w:t>
            </w: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30228</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工会经费</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1.16</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1.16</w:t>
            </w: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30229</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福利费</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2.01</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2.01</w:t>
            </w: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303</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对个人和家庭的补助</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4.30</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4.30</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30302</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退休费</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4.30</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4.30</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tbl>
      <w:tblPr>
        <w:tblStyle w:val="5"/>
        <w:tblW w:w="14173" w:type="dxa"/>
        <w:jc w:val="center"/>
        <w:shd w:val="clear" w:color="auto" w:fill="auto"/>
        <w:tblLayout w:type="fixed"/>
        <w:tblCellMar>
          <w:top w:w="0" w:type="dxa"/>
          <w:left w:w="0" w:type="dxa"/>
          <w:bottom w:w="0" w:type="dxa"/>
          <w:right w:w="0" w:type="dxa"/>
        </w:tblCellMar>
      </w:tblPr>
      <w:tblGrid>
        <w:gridCol w:w="724"/>
        <w:gridCol w:w="6486"/>
        <w:gridCol w:w="1402"/>
        <w:gridCol w:w="723"/>
        <w:gridCol w:w="2419"/>
        <w:gridCol w:w="2419"/>
      </w:tblGrid>
      <w:tr>
        <w:tblPrEx>
          <w:shd w:val="clear" w:color="auto" w:fill="auto"/>
          <w:tblCellMar>
            <w:top w:w="0" w:type="dxa"/>
            <w:left w:w="0" w:type="dxa"/>
            <w:bottom w:w="0" w:type="dxa"/>
            <w:right w:w="0" w:type="dxa"/>
          </w:tblCellMar>
        </w:tblPrEx>
        <w:trPr>
          <w:trHeight w:val="360" w:hRule="atLeast"/>
          <w:jc w:val="center"/>
        </w:trPr>
        <w:tc>
          <w:tcPr>
            <w:tcW w:w="14173"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8"/>
                <w:szCs w:val="28"/>
                <w:u w:val="none"/>
                <w:lang w:val="en-US" w:eastAsia="zh-CN" w:bidi="ar"/>
              </w:rPr>
              <w:t>部门预算政府基金预算财政拨款支出表</w:t>
            </w:r>
          </w:p>
        </w:tc>
      </w:tr>
      <w:tr>
        <w:tblPrEx>
          <w:shd w:val="clear" w:color="auto" w:fill="auto"/>
          <w:tblCellMar>
            <w:top w:w="0" w:type="dxa"/>
            <w:left w:w="0" w:type="dxa"/>
            <w:bottom w:w="0" w:type="dxa"/>
            <w:right w:w="0" w:type="dxa"/>
          </w:tblCellMar>
        </w:tblPrEx>
        <w:trPr>
          <w:trHeight w:val="360" w:hRule="atLeast"/>
          <w:jc w:val="center"/>
        </w:trPr>
        <w:tc>
          <w:tcPr>
            <w:tcW w:w="9335" w:type="dxa"/>
            <w:gridSpan w:val="4"/>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预算单位编码及名称：[975]宁晋县供销合作社</w:t>
            </w:r>
          </w:p>
        </w:tc>
        <w:tc>
          <w:tcPr>
            <w:tcW w:w="2419"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2419"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tblPrEx>
          <w:shd w:val="clear" w:color="auto" w:fill="auto"/>
          <w:tblCellMar>
            <w:top w:w="0" w:type="dxa"/>
            <w:left w:w="0" w:type="dxa"/>
            <w:bottom w:w="0" w:type="dxa"/>
            <w:right w:w="0" w:type="dxa"/>
          </w:tblCellMar>
        </w:tblPrEx>
        <w:trPr>
          <w:trHeight w:val="360" w:hRule="atLeast"/>
          <w:jc w:val="center"/>
        </w:trPr>
        <w:tc>
          <w:tcPr>
            <w:tcW w:w="72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78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支出功能分类科目</w:t>
            </w:r>
          </w:p>
        </w:tc>
        <w:tc>
          <w:tcPr>
            <w:tcW w:w="72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2419"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2419"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tblPrEx>
          <w:shd w:val="clear" w:color="auto" w:fill="auto"/>
          <w:tblCellMar>
            <w:top w:w="0" w:type="dxa"/>
            <w:left w:w="0" w:type="dxa"/>
            <w:bottom w:w="0" w:type="dxa"/>
            <w:right w:w="0" w:type="dxa"/>
          </w:tblCellMar>
        </w:tblPrEx>
        <w:trPr>
          <w:trHeight w:val="360" w:hRule="atLeast"/>
          <w:jc w:val="center"/>
        </w:trPr>
        <w:tc>
          <w:tcPr>
            <w:tcW w:w="72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4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1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72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360" w:hRule="atLeast"/>
          <w:jc w:val="center"/>
        </w:trPr>
        <w:tc>
          <w:tcPr>
            <w:tcW w:w="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64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24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24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tblPrEx>
          <w:shd w:val="clear" w:color="auto" w:fill="auto"/>
          <w:tblCellMar>
            <w:top w:w="0" w:type="dxa"/>
            <w:left w:w="0" w:type="dxa"/>
            <w:bottom w:w="0" w:type="dxa"/>
            <w:right w:w="0" w:type="dxa"/>
          </w:tblCellMar>
        </w:tblPrEx>
        <w:trPr>
          <w:trHeight w:val="300" w:hRule="atLeast"/>
          <w:jc w:val="center"/>
        </w:trPr>
        <w:tc>
          <w:tcPr>
            <w:tcW w:w="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eastAsia" w:ascii="Calibri" w:hAnsi="Calibri" w:eastAsia="宋体" w:cs="Calibri"/>
                <w:i w:val="0"/>
                <w:color w:val="000000"/>
                <w:sz w:val="22"/>
                <w:szCs w:val="22"/>
                <w:u w:val="none"/>
              </w:rPr>
            </w:pPr>
          </w:p>
        </w:tc>
        <w:tc>
          <w:tcPr>
            <w:tcW w:w="64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无政府基金预算财政拨款预算，空表列示。</w:t>
            </w:r>
          </w:p>
        </w:tc>
        <w:tc>
          <w:tcPr>
            <w:tcW w:w="1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tbl>
      <w:tblPr>
        <w:tblStyle w:val="5"/>
        <w:tblW w:w="14173" w:type="dxa"/>
        <w:jc w:val="center"/>
        <w:shd w:val="clear" w:color="auto" w:fill="auto"/>
        <w:tblLayout w:type="fixed"/>
        <w:tblCellMar>
          <w:top w:w="0" w:type="dxa"/>
          <w:left w:w="0" w:type="dxa"/>
          <w:bottom w:w="0" w:type="dxa"/>
          <w:right w:w="0" w:type="dxa"/>
        </w:tblCellMar>
      </w:tblPr>
      <w:tblGrid>
        <w:gridCol w:w="691"/>
        <w:gridCol w:w="6836"/>
        <w:gridCol w:w="1338"/>
        <w:gridCol w:w="692"/>
        <w:gridCol w:w="2308"/>
        <w:gridCol w:w="2308"/>
      </w:tblGrid>
      <w:tr>
        <w:tblPrEx>
          <w:shd w:val="clear" w:color="auto" w:fill="auto"/>
        </w:tblPrEx>
        <w:trPr>
          <w:trHeight w:val="360" w:hRule="atLeast"/>
          <w:jc w:val="center"/>
        </w:trPr>
        <w:tc>
          <w:tcPr>
            <w:tcW w:w="14173"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8"/>
                <w:szCs w:val="28"/>
                <w:u w:val="none"/>
                <w:lang w:val="en-US" w:eastAsia="zh-CN" w:bidi="ar"/>
              </w:rPr>
              <w:t>部门预算国有资本经营预算财政拨款支出表</w:t>
            </w:r>
          </w:p>
        </w:tc>
      </w:tr>
      <w:tr>
        <w:tblPrEx>
          <w:shd w:val="clear" w:color="auto" w:fill="auto"/>
          <w:tblCellMar>
            <w:top w:w="0" w:type="dxa"/>
            <w:left w:w="0" w:type="dxa"/>
            <w:bottom w:w="0" w:type="dxa"/>
            <w:right w:w="0" w:type="dxa"/>
          </w:tblCellMar>
        </w:tblPrEx>
        <w:trPr>
          <w:trHeight w:val="360" w:hRule="atLeast"/>
          <w:jc w:val="center"/>
        </w:trPr>
        <w:tc>
          <w:tcPr>
            <w:tcW w:w="9557" w:type="dxa"/>
            <w:gridSpan w:val="4"/>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预算单位编码及名称：[975]宁晋县供销合作社</w:t>
            </w:r>
          </w:p>
        </w:tc>
        <w:tc>
          <w:tcPr>
            <w:tcW w:w="2308"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2308"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tblPrEx>
          <w:shd w:val="clear" w:color="auto" w:fill="auto"/>
          <w:tblCellMar>
            <w:top w:w="0" w:type="dxa"/>
            <w:left w:w="0" w:type="dxa"/>
            <w:bottom w:w="0" w:type="dxa"/>
            <w:right w:w="0" w:type="dxa"/>
          </w:tblCellMar>
        </w:tblPrEx>
        <w:trPr>
          <w:trHeight w:val="360" w:hRule="atLeast"/>
          <w:jc w:val="center"/>
        </w:trPr>
        <w:tc>
          <w:tcPr>
            <w:tcW w:w="69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817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支出功能分类科目</w:t>
            </w:r>
          </w:p>
        </w:tc>
        <w:tc>
          <w:tcPr>
            <w:tcW w:w="69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230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230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tblPrEx>
          <w:shd w:val="clear" w:color="auto" w:fill="auto"/>
          <w:tblCellMar>
            <w:top w:w="0" w:type="dxa"/>
            <w:left w:w="0" w:type="dxa"/>
            <w:bottom w:w="0" w:type="dxa"/>
            <w:right w:w="0" w:type="dxa"/>
          </w:tblCellMar>
        </w:tblPrEx>
        <w:trPr>
          <w:trHeight w:val="360" w:hRule="atLeast"/>
          <w:jc w:val="center"/>
        </w:trPr>
        <w:tc>
          <w:tcPr>
            <w:tcW w:w="69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8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6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0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0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360" w:hRule="atLeast"/>
          <w:jc w:val="center"/>
        </w:trPr>
        <w:tc>
          <w:tcPr>
            <w:tcW w:w="6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68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23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23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tblPrEx>
          <w:shd w:val="clear" w:color="auto" w:fill="auto"/>
          <w:tblCellMar>
            <w:top w:w="0" w:type="dxa"/>
            <w:left w:w="0" w:type="dxa"/>
            <w:bottom w:w="0" w:type="dxa"/>
            <w:right w:w="0" w:type="dxa"/>
          </w:tblCellMar>
        </w:tblPrEx>
        <w:trPr>
          <w:trHeight w:val="300" w:hRule="atLeast"/>
          <w:jc w:val="center"/>
        </w:trPr>
        <w:tc>
          <w:tcPr>
            <w:tcW w:w="6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eastAsia" w:ascii="Calibri" w:hAnsi="Calibri" w:eastAsia="宋体" w:cs="Calibri"/>
                <w:i w:val="0"/>
                <w:color w:val="000000"/>
                <w:sz w:val="22"/>
                <w:szCs w:val="22"/>
                <w:u w:val="none"/>
              </w:rPr>
            </w:pPr>
          </w:p>
        </w:tc>
        <w:tc>
          <w:tcPr>
            <w:tcW w:w="68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无国有资本经营预算财政拨款预算，空表列示。</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3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3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tbl>
      <w:tblPr>
        <w:tblStyle w:val="5"/>
        <w:tblW w:w="14173" w:type="dxa"/>
        <w:jc w:val="center"/>
        <w:shd w:val="clear" w:color="auto" w:fill="auto"/>
        <w:tblLayout w:type="fixed"/>
        <w:tblCellMar>
          <w:top w:w="0" w:type="dxa"/>
          <w:left w:w="0" w:type="dxa"/>
          <w:bottom w:w="0" w:type="dxa"/>
          <w:right w:w="0" w:type="dxa"/>
        </w:tblCellMar>
      </w:tblPr>
      <w:tblGrid>
        <w:gridCol w:w="552"/>
        <w:gridCol w:w="4948"/>
        <w:gridCol w:w="552"/>
        <w:gridCol w:w="2621"/>
        <w:gridCol w:w="2362"/>
        <w:gridCol w:w="3138"/>
      </w:tblGrid>
      <w:tr>
        <w:tblPrEx>
          <w:shd w:val="clear" w:color="auto" w:fill="auto"/>
        </w:tblPrEx>
        <w:trPr>
          <w:trHeight w:val="360" w:hRule="atLeast"/>
          <w:jc w:val="center"/>
        </w:trPr>
        <w:tc>
          <w:tcPr>
            <w:tcW w:w="14173"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8"/>
                <w:szCs w:val="28"/>
                <w:u w:val="none"/>
                <w:lang w:val="en-US" w:eastAsia="zh-CN" w:bidi="ar"/>
              </w:rPr>
              <w:t>部门预算财政拨款“三公”经费支出表</w:t>
            </w:r>
          </w:p>
        </w:tc>
      </w:tr>
      <w:tr>
        <w:tblPrEx>
          <w:shd w:val="clear" w:color="auto" w:fill="auto"/>
          <w:tblCellMar>
            <w:top w:w="0" w:type="dxa"/>
            <w:left w:w="0" w:type="dxa"/>
            <w:bottom w:w="0" w:type="dxa"/>
            <w:right w:w="0" w:type="dxa"/>
          </w:tblCellMar>
        </w:tblPrEx>
        <w:trPr>
          <w:trHeight w:val="360" w:hRule="atLeast"/>
          <w:jc w:val="center"/>
        </w:trPr>
        <w:tc>
          <w:tcPr>
            <w:tcW w:w="8673" w:type="dxa"/>
            <w:gridSpan w:val="4"/>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预算单位编码及名称：[975]宁晋县供销合作社</w:t>
            </w:r>
          </w:p>
        </w:tc>
        <w:tc>
          <w:tcPr>
            <w:tcW w:w="2362"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3138"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tblPrEx>
          <w:shd w:val="clear" w:color="auto" w:fill="auto"/>
          <w:tblCellMar>
            <w:top w:w="0" w:type="dxa"/>
            <w:left w:w="0" w:type="dxa"/>
            <w:bottom w:w="0" w:type="dxa"/>
            <w:right w:w="0" w:type="dxa"/>
          </w:tblCellMar>
        </w:tblPrEx>
        <w:trPr>
          <w:trHeight w:val="360" w:hRule="atLeast"/>
          <w:jc w:val="center"/>
        </w:trPr>
        <w:tc>
          <w:tcPr>
            <w:tcW w:w="55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494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867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资金性质</w:t>
            </w:r>
          </w:p>
        </w:tc>
      </w:tr>
      <w:tr>
        <w:tblPrEx>
          <w:shd w:val="clear" w:color="auto" w:fill="auto"/>
          <w:tblCellMar>
            <w:top w:w="0" w:type="dxa"/>
            <w:left w:w="0" w:type="dxa"/>
            <w:bottom w:w="0" w:type="dxa"/>
            <w:right w:w="0" w:type="dxa"/>
          </w:tblCellMar>
        </w:tblPrEx>
        <w:trPr>
          <w:trHeight w:val="360" w:hRule="atLeast"/>
          <w:jc w:val="center"/>
        </w:trPr>
        <w:tc>
          <w:tcPr>
            <w:tcW w:w="55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94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26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一般公共预算财政拨款</w:t>
            </w:r>
          </w:p>
        </w:tc>
        <w:tc>
          <w:tcPr>
            <w:tcW w:w="23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政府性基金财政拨款</w:t>
            </w:r>
          </w:p>
        </w:tc>
        <w:tc>
          <w:tcPr>
            <w:tcW w:w="31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国有资本经营预算财政拨款</w:t>
            </w:r>
          </w:p>
        </w:tc>
      </w:tr>
      <w:tr>
        <w:tblPrEx>
          <w:tblCellMar>
            <w:top w:w="0" w:type="dxa"/>
            <w:left w:w="0" w:type="dxa"/>
            <w:bottom w:w="0" w:type="dxa"/>
            <w:right w:w="0" w:type="dxa"/>
          </w:tblCellMar>
        </w:tblPrEx>
        <w:trPr>
          <w:trHeight w:val="360" w:hRule="atLeast"/>
          <w:jc w:val="center"/>
        </w:trPr>
        <w:tc>
          <w:tcPr>
            <w:tcW w:w="5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49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5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26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23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31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tblPrEx>
          <w:shd w:val="clear" w:color="auto" w:fill="auto"/>
          <w:tblCellMar>
            <w:top w:w="0" w:type="dxa"/>
            <w:left w:w="0" w:type="dxa"/>
            <w:bottom w:w="0" w:type="dxa"/>
            <w:right w:w="0" w:type="dxa"/>
          </w:tblCellMar>
        </w:tblPrEx>
        <w:trPr>
          <w:trHeight w:val="300" w:hRule="atLeast"/>
          <w:jc w:val="center"/>
        </w:trPr>
        <w:tc>
          <w:tcPr>
            <w:tcW w:w="5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eastAsia" w:ascii="Calibri" w:hAnsi="Calibri" w:eastAsia="宋体" w:cs="Calibri"/>
                <w:i w:val="0"/>
                <w:color w:val="000000"/>
                <w:sz w:val="22"/>
                <w:szCs w:val="22"/>
                <w:u w:val="none"/>
              </w:rPr>
            </w:pPr>
          </w:p>
        </w:tc>
        <w:tc>
          <w:tcPr>
            <w:tcW w:w="49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无财政拨款“三公”经费预算，空表列示。</w:t>
            </w:r>
          </w:p>
        </w:tc>
        <w:tc>
          <w:tcPr>
            <w:tcW w:w="5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6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3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1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jc w:val="center"/>
        <w:rPr>
          <w:rFonts w:hint="eastAsia"/>
          <w:b/>
          <w:bCs/>
          <w:sz w:val="44"/>
          <w:szCs w:val="44"/>
        </w:rPr>
      </w:pPr>
      <w:r>
        <w:rPr>
          <w:rFonts w:hint="eastAsia"/>
          <w:b/>
          <w:bCs/>
          <w:sz w:val="44"/>
          <w:szCs w:val="44"/>
        </w:rPr>
        <w:t>宁晋县供销合作社</w:t>
      </w:r>
      <w:r>
        <w:rPr>
          <w:rFonts w:hint="eastAsia"/>
          <w:b/>
          <w:bCs/>
          <w:sz w:val="44"/>
          <w:szCs w:val="44"/>
          <w:lang w:val="en-US" w:eastAsia="zh-CN"/>
        </w:rPr>
        <w:t>2022</w:t>
      </w:r>
      <w:r>
        <w:rPr>
          <w:rFonts w:hint="eastAsia"/>
          <w:b/>
          <w:bCs/>
          <w:sz w:val="44"/>
          <w:szCs w:val="44"/>
        </w:rPr>
        <w:t>年部门预算说明</w:t>
      </w:r>
    </w:p>
    <w:p>
      <w:pPr>
        <w:numPr>
          <w:ilvl w:val="0"/>
          <w:numId w:val="0"/>
        </w:numPr>
        <w:ind w:firstLine="643" w:firstLineChars="200"/>
        <w:rPr>
          <w:rFonts w:hint="eastAsia" w:ascii="宋体" w:hAnsi="宋体" w:eastAsia="宋体" w:cs="宋体"/>
          <w:b/>
          <w:bCs/>
          <w:sz w:val="32"/>
          <w:szCs w:val="32"/>
        </w:rPr>
      </w:pPr>
      <w:r>
        <w:rPr>
          <w:rFonts w:hint="eastAsia" w:ascii="宋体" w:hAnsi="宋体" w:eastAsia="宋体" w:cs="宋体"/>
          <w:b/>
          <w:bCs/>
          <w:sz w:val="32"/>
          <w:szCs w:val="32"/>
          <w:lang w:eastAsia="zh-CN"/>
        </w:rPr>
        <w:t>一、</w:t>
      </w:r>
      <w:r>
        <w:rPr>
          <w:rFonts w:hint="eastAsia" w:ascii="宋体" w:hAnsi="宋体" w:eastAsia="宋体" w:cs="宋体"/>
          <w:b/>
          <w:bCs/>
          <w:sz w:val="32"/>
          <w:szCs w:val="32"/>
        </w:rPr>
        <w:t>部门</w:t>
      </w:r>
      <w:r>
        <w:rPr>
          <w:rFonts w:hint="eastAsia" w:ascii="宋体" w:hAnsi="宋体" w:eastAsia="宋体" w:cs="宋体"/>
          <w:b/>
          <w:bCs/>
          <w:sz w:val="32"/>
          <w:szCs w:val="32"/>
          <w:lang w:eastAsia="zh-CN"/>
        </w:rPr>
        <w:t>职责</w:t>
      </w:r>
      <w:r>
        <w:rPr>
          <w:rFonts w:hint="eastAsia" w:ascii="宋体" w:hAnsi="宋体" w:eastAsia="宋体" w:cs="宋体"/>
          <w:b/>
          <w:bCs/>
          <w:sz w:val="32"/>
          <w:szCs w:val="32"/>
        </w:rPr>
        <w:t>及机构设置情况</w:t>
      </w:r>
    </w:p>
    <w:p>
      <w:pPr>
        <w:numPr>
          <w:ilvl w:val="0"/>
          <w:numId w:val="0"/>
        </w:numPr>
        <w:ind w:firstLine="640" w:firstLineChars="200"/>
        <w:rPr>
          <w:rFonts w:hint="eastAsia" w:ascii="宋体" w:hAnsi="宋体" w:eastAsia="宋体" w:cs="宋体"/>
          <w:sz w:val="32"/>
          <w:szCs w:val="32"/>
        </w:rPr>
      </w:pPr>
      <w:r>
        <w:rPr>
          <w:rFonts w:hint="eastAsia" w:ascii="宋体" w:hAnsi="宋体" w:eastAsia="宋体" w:cs="宋体"/>
          <w:sz w:val="32"/>
          <w:szCs w:val="32"/>
          <w:lang w:val="en-US" w:eastAsia="zh-CN"/>
        </w:rPr>
        <w:t>1、</w:t>
      </w:r>
      <w:r>
        <w:rPr>
          <w:rFonts w:hint="eastAsia" w:ascii="宋体" w:hAnsi="宋体" w:eastAsia="宋体" w:cs="宋体"/>
          <w:sz w:val="32"/>
          <w:szCs w:val="32"/>
        </w:rPr>
        <w:t>制定宁晋县深化供销合作社综合改革实施方案，指导推进全县供销社综合改革工作。到202</w:t>
      </w:r>
      <w:r>
        <w:rPr>
          <w:rFonts w:hint="eastAsia" w:ascii="宋体" w:hAnsi="宋体" w:eastAsia="宋体" w:cs="宋体"/>
          <w:sz w:val="32"/>
          <w:szCs w:val="32"/>
          <w:lang w:val="en-US" w:eastAsia="zh-CN"/>
        </w:rPr>
        <w:t>2</w:t>
      </w:r>
      <w:r>
        <w:rPr>
          <w:rFonts w:hint="eastAsia" w:ascii="宋体" w:hAnsi="宋体" w:eastAsia="宋体" w:cs="宋体"/>
          <w:sz w:val="32"/>
          <w:szCs w:val="32"/>
        </w:rPr>
        <w:t>年全部完成综合改革任务，按照县政府授权，对重要农业生产资料、烟花爆竹、和再生资源经营进行组织协调管理，负责管理食盐、防汛、救灾物资等重要物资储备工作。按照有关规定，负责全县流通领域盐业行政管理及食盐批发、零售的监督管理和许可管理，负责市场工业用盐管理。组建供销集团（资产运营管理中心）指导全县供销社社属企业改革、建立现代企业制度、管理运营本机社社有资产，积极指导全县供销社的业务活动，参与和推进农业产业化经营，开拓市场。</w:t>
      </w:r>
    </w:p>
    <w:p>
      <w:pPr>
        <w:numPr>
          <w:ilvl w:val="0"/>
          <w:numId w:val="0"/>
        </w:numPr>
        <w:ind w:firstLine="640" w:firstLineChars="200"/>
        <w:rPr>
          <w:rFonts w:hint="eastAsia" w:ascii="宋体" w:hAnsi="宋体" w:eastAsia="宋体" w:cs="宋体"/>
          <w:sz w:val="32"/>
          <w:szCs w:val="32"/>
        </w:rPr>
      </w:pPr>
      <w:r>
        <w:rPr>
          <w:rFonts w:hint="eastAsia" w:ascii="宋体" w:hAnsi="宋体" w:eastAsia="宋体" w:cs="宋体"/>
          <w:sz w:val="32"/>
          <w:szCs w:val="32"/>
          <w:lang w:val="en-US" w:eastAsia="zh-CN"/>
        </w:rPr>
        <w:t>2、</w:t>
      </w:r>
      <w:r>
        <w:rPr>
          <w:rFonts w:hint="eastAsia" w:ascii="宋体" w:hAnsi="宋体" w:eastAsia="宋体" w:cs="宋体"/>
          <w:sz w:val="32"/>
          <w:szCs w:val="32"/>
        </w:rPr>
        <w:t>承办县政府交办的其他事项。</w:t>
      </w:r>
    </w:p>
    <w:p>
      <w:pPr>
        <w:ind w:firstLine="640" w:firstLineChars="200"/>
        <w:rPr>
          <w:rFonts w:hint="eastAsia" w:ascii="宋体" w:hAnsi="宋体" w:eastAsia="宋体" w:cs="宋体"/>
          <w:sz w:val="32"/>
          <w:szCs w:val="32"/>
        </w:rPr>
      </w:pPr>
      <w:r>
        <w:rPr>
          <w:rFonts w:hint="eastAsia" w:ascii="宋体" w:hAnsi="宋体" w:eastAsia="宋体" w:cs="宋体"/>
          <w:sz w:val="32"/>
          <w:szCs w:val="32"/>
          <w:lang w:val="en-US" w:eastAsia="zh-CN"/>
        </w:rPr>
        <w:t>3、</w:t>
      </w:r>
      <w:r>
        <w:rPr>
          <w:rFonts w:hint="eastAsia" w:ascii="宋体" w:hAnsi="宋体" w:eastAsia="宋体" w:cs="宋体"/>
          <w:sz w:val="32"/>
          <w:szCs w:val="32"/>
        </w:rPr>
        <w:t>纳入宁晋县供销合作社20</w:t>
      </w:r>
      <w:r>
        <w:rPr>
          <w:rFonts w:hint="eastAsia" w:ascii="宋体" w:hAnsi="宋体" w:eastAsia="宋体" w:cs="宋体"/>
          <w:sz w:val="32"/>
          <w:szCs w:val="32"/>
          <w:lang w:val="en-US" w:eastAsia="zh-CN"/>
        </w:rPr>
        <w:t>22</w:t>
      </w:r>
      <w:r>
        <w:rPr>
          <w:rFonts w:hint="eastAsia" w:ascii="宋体" w:hAnsi="宋体" w:eastAsia="宋体" w:cs="宋体"/>
          <w:sz w:val="32"/>
          <w:szCs w:val="32"/>
        </w:rPr>
        <w:t>年部门预算编制范围的单位共1个，详细情况见下表：</w:t>
      </w:r>
    </w:p>
    <w:tbl>
      <w:tblPr>
        <w:tblStyle w:val="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57"/>
        <w:gridCol w:w="67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57" w:type="dxa"/>
            <w:noWrap w:val="0"/>
            <w:vAlign w:val="top"/>
          </w:tcPr>
          <w:p>
            <w:pPr>
              <w:rPr>
                <w:rFonts w:hint="eastAsia" w:ascii="宋体" w:hAnsi="宋体" w:eastAsia="宋体" w:cs="宋体"/>
                <w:sz w:val="32"/>
                <w:szCs w:val="32"/>
              </w:rPr>
            </w:pPr>
            <w:r>
              <w:rPr>
                <w:rFonts w:hint="eastAsia" w:ascii="宋体" w:hAnsi="宋体" w:eastAsia="宋体" w:cs="宋体"/>
                <w:sz w:val="32"/>
                <w:szCs w:val="32"/>
              </w:rPr>
              <w:t>序号</w:t>
            </w:r>
          </w:p>
        </w:tc>
        <w:tc>
          <w:tcPr>
            <w:tcW w:w="6765" w:type="dxa"/>
            <w:noWrap w:val="0"/>
            <w:vAlign w:val="top"/>
          </w:tcPr>
          <w:p>
            <w:pPr>
              <w:rPr>
                <w:rFonts w:hint="eastAsia" w:ascii="宋体" w:hAnsi="宋体" w:eastAsia="宋体" w:cs="宋体"/>
                <w:sz w:val="32"/>
                <w:szCs w:val="32"/>
              </w:rPr>
            </w:pPr>
            <w:r>
              <w:rPr>
                <w:rFonts w:hint="eastAsia" w:ascii="宋体" w:hAnsi="宋体" w:eastAsia="宋体" w:cs="宋体"/>
                <w:sz w:val="32"/>
                <w:szCs w:val="32"/>
              </w:rPr>
              <w:t>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57" w:type="dxa"/>
            <w:noWrap w:val="0"/>
            <w:vAlign w:val="top"/>
          </w:tcPr>
          <w:p>
            <w:pPr>
              <w:rPr>
                <w:rFonts w:hint="eastAsia" w:ascii="宋体" w:hAnsi="宋体" w:eastAsia="宋体" w:cs="宋体"/>
                <w:sz w:val="32"/>
                <w:szCs w:val="32"/>
              </w:rPr>
            </w:pPr>
            <w:r>
              <w:rPr>
                <w:rFonts w:hint="eastAsia" w:ascii="宋体" w:hAnsi="宋体" w:eastAsia="宋体" w:cs="宋体"/>
                <w:sz w:val="32"/>
                <w:szCs w:val="32"/>
              </w:rPr>
              <w:t>1</w:t>
            </w:r>
          </w:p>
        </w:tc>
        <w:tc>
          <w:tcPr>
            <w:tcW w:w="6765" w:type="dxa"/>
            <w:noWrap w:val="0"/>
            <w:vAlign w:val="top"/>
          </w:tcPr>
          <w:p>
            <w:pPr>
              <w:rPr>
                <w:rFonts w:hint="eastAsia" w:ascii="宋体" w:hAnsi="宋体" w:eastAsia="宋体" w:cs="宋体"/>
                <w:sz w:val="32"/>
                <w:szCs w:val="32"/>
              </w:rPr>
            </w:pPr>
            <w:r>
              <w:rPr>
                <w:rFonts w:hint="eastAsia" w:ascii="宋体" w:hAnsi="宋体" w:eastAsia="宋体" w:cs="宋体"/>
                <w:sz w:val="32"/>
                <w:szCs w:val="32"/>
              </w:rPr>
              <w:t>宁晋县供销合作社</w:t>
            </w:r>
          </w:p>
        </w:tc>
      </w:tr>
    </w:tbl>
    <w:p>
      <w:pPr>
        <w:pStyle w:val="4"/>
        <w:ind w:firstLine="643" w:firstLineChars="200"/>
        <w:rPr>
          <w:rFonts w:hint="eastAsia" w:ascii="宋体" w:hAnsi="宋体" w:eastAsia="宋体" w:cs="宋体"/>
          <w:b/>
          <w:sz w:val="32"/>
          <w:szCs w:val="32"/>
        </w:rPr>
      </w:pPr>
      <w:r>
        <w:rPr>
          <w:rFonts w:hint="eastAsia" w:ascii="宋体" w:hAnsi="宋体" w:eastAsia="宋体" w:cs="宋体"/>
          <w:b/>
          <w:bCs/>
          <w:sz w:val="32"/>
          <w:szCs w:val="32"/>
        </w:rPr>
        <w:t>二、</w:t>
      </w:r>
      <w:r>
        <w:rPr>
          <w:rFonts w:hint="eastAsia" w:ascii="宋体" w:hAnsi="宋体" w:eastAsia="宋体" w:cs="宋体"/>
          <w:b/>
          <w:sz w:val="32"/>
          <w:szCs w:val="32"/>
        </w:rPr>
        <w:t>部门预算安排总体情况</w:t>
      </w:r>
    </w:p>
    <w:p>
      <w:pPr>
        <w:ind w:firstLine="640" w:firstLineChars="200"/>
        <w:rPr>
          <w:rFonts w:hint="eastAsia" w:ascii="宋体" w:hAnsi="宋体" w:eastAsia="宋体" w:cs="宋体"/>
          <w:sz w:val="32"/>
          <w:szCs w:val="32"/>
          <w:lang w:eastAsia="zh-CN"/>
        </w:rPr>
      </w:pPr>
      <w:r>
        <w:rPr>
          <w:rFonts w:hint="eastAsia" w:ascii="宋体" w:hAnsi="宋体" w:eastAsia="宋体" w:cs="宋体"/>
          <w:sz w:val="32"/>
          <w:szCs w:val="32"/>
        </w:rPr>
        <w:t>根据县财政局（关于202</w:t>
      </w:r>
      <w:r>
        <w:rPr>
          <w:rFonts w:hint="eastAsia" w:ascii="宋体" w:hAnsi="宋体" w:eastAsia="宋体" w:cs="宋体"/>
          <w:sz w:val="32"/>
          <w:szCs w:val="32"/>
          <w:lang w:val="en-US" w:eastAsia="zh-CN"/>
        </w:rPr>
        <w:t>2</w:t>
      </w:r>
      <w:r>
        <w:rPr>
          <w:rFonts w:hint="eastAsia" w:ascii="宋体" w:hAnsi="宋体" w:eastAsia="宋体" w:cs="宋体"/>
          <w:sz w:val="32"/>
          <w:szCs w:val="32"/>
        </w:rPr>
        <w:t>年县级部门预算的批复）的文件要求，202</w:t>
      </w:r>
      <w:r>
        <w:rPr>
          <w:rFonts w:hint="eastAsia" w:ascii="宋体" w:hAnsi="宋体" w:eastAsia="宋体" w:cs="宋体"/>
          <w:sz w:val="32"/>
          <w:szCs w:val="32"/>
          <w:lang w:val="en-US" w:eastAsia="zh-CN"/>
        </w:rPr>
        <w:t>2</w:t>
      </w:r>
      <w:r>
        <w:rPr>
          <w:rFonts w:hint="eastAsia" w:ascii="宋体" w:hAnsi="宋体" w:eastAsia="宋体" w:cs="宋体"/>
          <w:sz w:val="32"/>
          <w:szCs w:val="32"/>
        </w:rPr>
        <w:t>年</w:t>
      </w:r>
      <w:r>
        <w:rPr>
          <w:rFonts w:hint="eastAsia" w:ascii="宋体" w:hAnsi="宋体" w:eastAsia="宋体" w:cs="宋体"/>
          <w:sz w:val="32"/>
          <w:szCs w:val="32"/>
          <w:lang w:eastAsia="zh-CN"/>
        </w:rPr>
        <w:t>部门</w:t>
      </w:r>
      <w:r>
        <w:rPr>
          <w:rFonts w:hint="eastAsia" w:ascii="宋体" w:hAnsi="宋体" w:eastAsia="宋体" w:cs="宋体"/>
          <w:sz w:val="32"/>
          <w:szCs w:val="32"/>
        </w:rPr>
        <w:t>预算总收入为</w:t>
      </w:r>
      <w:r>
        <w:rPr>
          <w:rFonts w:hint="eastAsia" w:ascii="宋体" w:hAnsi="宋体" w:eastAsia="宋体" w:cs="宋体"/>
          <w:sz w:val="32"/>
          <w:szCs w:val="32"/>
          <w:lang w:val="en-US" w:eastAsia="zh-CN"/>
        </w:rPr>
        <w:t>580.76</w:t>
      </w:r>
      <w:r>
        <w:rPr>
          <w:rFonts w:hint="eastAsia" w:ascii="宋体" w:hAnsi="宋体" w:eastAsia="宋体" w:cs="宋体"/>
          <w:sz w:val="32"/>
          <w:szCs w:val="32"/>
        </w:rPr>
        <w:t>万元，较202</w:t>
      </w:r>
      <w:r>
        <w:rPr>
          <w:rFonts w:hint="eastAsia" w:ascii="宋体" w:hAnsi="宋体" w:eastAsia="宋体" w:cs="宋体"/>
          <w:sz w:val="32"/>
          <w:szCs w:val="32"/>
          <w:lang w:val="en-US" w:eastAsia="zh-CN"/>
        </w:rPr>
        <w:t>1</w:t>
      </w:r>
      <w:r>
        <w:rPr>
          <w:rFonts w:hint="eastAsia" w:ascii="宋体" w:hAnsi="宋体" w:eastAsia="宋体" w:cs="宋体"/>
          <w:sz w:val="32"/>
          <w:szCs w:val="32"/>
        </w:rPr>
        <w:t>年预算总收入（</w:t>
      </w:r>
      <w:r>
        <w:rPr>
          <w:rFonts w:hint="eastAsia" w:ascii="宋体" w:hAnsi="宋体" w:eastAsia="宋体" w:cs="宋体"/>
          <w:sz w:val="32"/>
          <w:szCs w:val="32"/>
          <w:lang w:val="en-US" w:eastAsia="zh-CN"/>
        </w:rPr>
        <w:t>143.35</w:t>
      </w:r>
      <w:r>
        <w:rPr>
          <w:rFonts w:hint="eastAsia" w:ascii="宋体" w:hAnsi="宋体" w:eastAsia="宋体" w:cs="宋体"/>
          <w:sz w:val="32"/>
          <w:szCs w:val="32"/>
        </w:rPr>
        <w:t>万元）</w:t>
      </w:r>
      <w:r>
        <w:rPr>
          <w:rFonts w:hint="eastAsia" w:ascii="宋体" w:hAnsi="宋体" w:eastAsia="宋体" w:cs="宋体"/>
          <w:sz w:val="32"/>
          <w:szCs w:val="32"/>
          <w:lang w:eastAsia="zh-CN"/>
        </w:rPr>
        <w:t>增加</w:t>
      </w:r>
      <w:r>
        <w:rPr>
          <w:rFonts w:hint="eastAsia" w:ascii="宋体" w:hAnsi="宋体" w:eastAsia="宋体" w:cs="宋体"/>
          <w:sz w:val="32"/>
          <w:szCs w:val="32"/>
          <w:lang w:val="en-US" w:eastAsia="zh-CN"/>
        </w:rPr>
        <w:t>437.41</w:t>
      </w:r>
      <w:r>
        <w:rPr>
          <w:rFonts w:hint="eastAsia" w:ascii="宋体" w:hAnsi="宋体" w:eastAsia="宋体" w:cs="宋体"/>
          <w:sz w:val="32"/>
          <w:szCs w:val="32"/>
        </w:rPr>
        <w:t>万元，主要原因是</w:t>
      </w:r>
      <w:r>
        <w:rPr>
          <w:rFonts w:hint="eastAsia" w:ascii="宋体" w:hAnsi="宋体" w:eastAsia="宋体" w:cs="宋体"/>
          <w:sz w:val="32"/>
          <w:szCs w:val="32"/>
          <w:lang w:eastAsia="zh-CN"/>
        </w:rPr>
        <w:t>人员和特殊项目增加</w:t>
      </w:r>
      <w:r>
        <w:rPr>
          <w:rFonts w:hint="eastAsia" w:ascii="宋体" w:hAnsi="宋体" w:eastAsia="宋体" w:cs="宋体"/>
          <w:sz w:val="32"/>
          <w:szCs w:val="32"/>
        </w:rPr>
        <w:t>。</w:t>
      </w:r>
    </w:p>
    <w:p>
      <w:pPr>
        <w:ind w:firstLine="640" w:firstLineChars="200"/>
        <w:rPr>
          <w:rFonts w:hint="eastAsia" w:ascii="宋体" w:hAnsi="宋体" w:eastAsia="宋体" w:cs="宋体"/>
          <w:sz w:val="32"/>
          <w:szCs w:val="32"/>
          <w:lang w:eastAsia="zh-CN"/>
        </w:rPr>
      </w:pPr>
      <w:r>
        <w:rPr>
          <w:rFonts w:hint="eastAsia" w:ascii="宋体" w:hAnsi="宋体" w:eastAsia="宋体" w:cs="宋体"/>
          <w:sz w:val="32"/>
          <w:szCs w:val="32"/>
        </w:rPr>
        <w:t>202</w:t>
      </w:r>
      <w:r>
        <w:rPr>
          <w:rFonts w:hint="eastAsia" w:ascii="宋体" w:hAnsi="宋体" w:eastAsia="宋体" w:cs="宋体"/>
          <w:sz w:val="32"/>
          <w:szCs w:val="32"/>
          <w:lang w:val="en-US" w:eastAsia="zh-CN"/>
        </w:rPr>
        <w:t>2</w:t>
      </w:r>
      <w:r>
        <w:rPr>
          <w:rFonts w:hint="eastAsia" w:ascii="宋体" w:hAnsi="宋体" w:eastAsia="宋体" w:cs="宋体"/>
          <w:sz w:val="32"/>
          <w:szCs w:val="32"/>
        </w:rPr>
        <w:t>年部门预算总支出</w:t>
      </w:r>
      <w:r>
        <w:rPr>
          <w:rFonts w:hint="eastAsia" w:ascii="宋体" w:hAnsi="宋体" w:eastAsia="宋体" w:cs="宋体"/>
          <w:sz w:val="32"/>
          <w:szCs w:val="32"/>
          <w:lang w:val="en-US" w:eastAsia="zh-CN"/>
        </w:rPr>
        <w:t>580.76</w:t>
      </w:r>
      <w:r>
        <w:rPr>
          <w:rFonts w:hint="eastAsia" w:ascii="宋体" w:hAnsi="宋体" w:eastAsia="宋体" w:cs="宋体"/>
          <w:sz w:val="32"/>
          <w:szCs w:val="32"/>
        </w:rPr>
        <w:t>万元，较</w:t>
      </w:r>
      <w:r>
        <w:rPr>
          <w:rFonts w:hint="eastAsia" w:ascii="宋体" w:hAnsi="宋体" w:eastAsia="宋体" w:cs="宋体"/>
          <w:sz w:val="32"/>
          <w:szCs w:val="32"/>
          <w:lang w:val="en-US" w:eastAsia="zh-CN"/>
        </w:rPr>
        <w:t>2021</w:t>
      </w:r>
      <w:r>
        <w:rPr>
          <w:rFonts w:hint="eastAsia" w:ascii="宋体" w:hAnsi="宋体" w:eastAsia="宋体" w:cs="宋体"/>
          <w:sz w:val="32"/>
          <w:szCs w:val="32"/>
        </w:rPr>
        <w:t>年预算总支出（</w:t>
      </w:r>
      <w:r>
        <w:rPr>
          <w:rFonts w:hint="eastAsia" w:ascii="宋体" w:hAnsi="宋体" w:eastAsia="宋体" w:cs="宋体"/>
          <w:sz w:val="32"/>
          <w:szCs w:val="32"/>
          <w:lang w:val="en-US" w:eastAsia="zh-CN"/>
        </w:rPr>
        <w:t>143.35</w:t>
      </w:r>
      <w:r>
        <w:rPr>
          <w:rFonts w:hint="eastAsia" w:ascii="宋体" w:hAnsi="宋体" w:eastAsia="宋体" w:cs="宋体"/>
          <w:sz w:val="32"/>
          <w:szCs w:val="32"/>
        </w:rPr>
        <w:t>万元）</w:t>
      </w:r>
      <w:r>
        <w:rPr>
          <w:rFonts w:hint="eastAsia" w:ascii="宋体" w:hAnsi="宋体" w:eastAsia="宋体" w:cs="宋体"/>
          <w:sz w:val="32"/>
          <w:szCs w:val="32"/>
          <w:lang w:eastAsia="zh-CN"/>
        </w:rPr>
        <w:t>增加</w:t>
      </w:r>
      <w:r>
        <w:rPr>
          <w:rFonts w:hint="eastAsia" w:ascii="宋体" w:hAnsi="宋体" w:eastAsia="宋体" w:cs="宋体"/>
          <w:sz w:val="32"/>
          <w:szCs w:val="32"/>
          <w:lang w:val="en-US" w:eastAsia="zh-CN"/>
        </w:rPr>
        <w:t>437.41</w:t>
      </w:r>
      <w:r>
        <w:rPr>
          <w:rFonts w:hint="eastAsia" w:ascii="宋体" w:hAnsi="宋体" w:eastAsia="宋体" w:cs="宋体"/>
          <w:sz w:val="32"/>
          <w:szCs w:val="32"/>
        </w:rPr>
        <w:t>万元，主要原因是202</w:t>
      </w:r>
      <w:r>
        <w:rPr>
          <w:rFonts w:hint="eastAsia" w:ascii="宋体" w:hAnsi="宋体" w:eastAsia="宋体" w:cs="宋体"/>
          <w:sz w:val="32"/>
          <w:szCs w:val="32"/>
          <w:lang w:val="en-US" w:eastAsia="zh-CN"/>
        </w:rPr>
        <w:t>2</w:t>
      </w:r>
      <w:r>
        <w:rPr>
          <w:rFonts w:hint="eastAsia" w:ascii="宋体" w:hAnsi="宋体" w:eastAsia="宋体" w:cs="宋体"/>
          <w:sz w:val="32"/>
          <w:szCs w:val="32"/>
        </w:rPr>
        <w:t>年</w:t>
      </w:r>
      <w:r>
        <w:rPr>
          <w:rFonts w:hint="eastAsia" w:ascii="宋体" w:hAnsi="宋体" w:eastAsia="宋体" w:cs="宋体"/>
          <w:sz w:val="32"/>
          <w:szCs w:val="32"/>
          <w:lang w:eastAsia="zh-CN"/>
        </w:rPr>
        <w:t>人员和特殊项目增加</w:t>
      </w:r>
      <w:r>
        <w:rPr>
          <w:rFonts w:hint="eastAsia" w:ascii="宋体" w:hAnsi="宋体" w:eastAsia="宋体" w:cs="宋体"/>
          <w:sz w:val="32"/>
          <w:szCs w:val="32"/>
        </w:rPr>
        <w:t>，其中，202</w:t>
      </w:r>
      <w:r>
        <w:rPr>
          <w:rFonts w:hint="eastAsia" w:ascii="宋体" w:hAnsi="宋体" w:eastAsia="宋体" w:cs="宋体"/>
          <w:sz w:val="32"/>
          <w:szCs w:val="32"/>
          <w:lang w:val="en-US" w:eastAsia="zh-CN"/>
        </w:rPr>
        <w:t>2</w:t>
      </w:r>
      <w:r>
        <w:rPr>
          <w:rFonts w:hint="eastAsia" w:ascii="宋体" w:hAnsi="宋体" w:eastAsia="宋体" w:cs="宋体"/>
          <w:sz w:val="32"/>
          <w:szCs w:val="32"/>
        </w:rPr>
        <w:t>年部门预算基本支出是</w:t>
      </w:r>
      <w:r>
        <w:rPr>
          <w:rFonts w:hint="eastAsia" w:ascii="宋体" w:hAnsi="宋体" w:eastAsia="宋体" w:cs="宋体"/>
          <w:sz w:val="32"/>
          <w:szCs w:val="32"/>
          <w:lang w:val="en-US" w:eastAsia="zh-CN"/>
        </w:rPr>
        <w:t>180.95</w:t>
      </w:r>
      <w:r>
        <w:rPr>
          <w:rFonts w:hint="eastAsia" w:ascii="宋体" w:hAnsi="宋体" w:eastAsia="宋体" w:cs="宋体"/>
          <w:sz w:val="32"/>
          <w:szCs w:val="32"/>
        </w:rPr>
        <w:t>万元，</w:t>
      </w:r>
      <w:r>
        <w:rPr>
          <w:rFonts w:hint="eastAsia" w:ascii="宋体" w:hAnsi="宋体" w:eastAsia="宋体" w:cs="宋体"/>
          <w:sz w:val="32"/>
          <w:szCs w:val="32"/>
          <w:lang w:eastAsia="zh-CN"/>
        </w:rPr>
        <w:t>其中，人员经费</w:t>
      </w:r>
      <w:r>
        <w:rPr>
          <w:rFonts w:hint="eastAsia" w:ascii="宋体" w:hAnsi="宋体" w:eastAsia="宋体" w:cs="宋体"/>
          <w:sz w:val="32"/>
          <w:szCs w:val="32"/>
          <w:lang w:val="en-US" w:eastAsia="zh-CN"/>
        </w:rPr>
        <w:t>173.04万元，日常公用经费7.91万元；</w:t>
      </w:r>
      <w:r>
        <w:rPr>
          <w:rFonts w:hint="eastAsia" w:ascii="宋体" w:hAnsi="宋体" w:eastAsia="宋体" w:cs="宋体"/>
          <w:sz w:val="32"/>
          <w:szCs w:val="32"/>
        </w:rPr>
        <w:t>202</w:t>
      </w:r>
      <w:r>
        <w:rPr>
          <w:rFonts w:hint="eastAsia" w:ascii="宋体" w:hAnsi="宋体" w:eastAsia="宋体" w:cs="宋体"/>
          <w:sz w:val="32"/>
          <w:szCs w:val="32"/>
          <w:lang w:val="en-US" w:eastAsia="zh-CN"/>
        </w:rPr>
        <w:t>2</w:t>
      </w:r>
      <w:r>
        <w:rPr>
          <w:rFonts w:hint="eastAsia" w:ascii="宋体" w:hAnsi="宋体" w:eastAsia="宋体" w:cs="宋体"/>
          <w:sz w:val="32"/>
          <w:szCs w:val="32"/>
        </w:rPr>
        <w:t>年部门预算项目支出</w:t>
      </w:r>
      <w:r>
        <w:rPr>
          <w:rFonts w:hint="eastAsia" w:ascii="宋体" w:hAnsi="宋体" w:eastAsia="宋体" w:cs="宋体"/>
          <w:sz w:val="32"/>
          <w:szCs w:val="32"/>
          <w:lang w:val="en-US" w:eastAsia="zh-CN"/>
        </w:rPr>
        <w:t>399.81</w:t>
      </w:r>
      <w:r>
        <w:rPr>
          <w:rFonts w:hint="eastAsia" w:ascii="宋体" w:hAnsi="宋体" w:eastAsia="宋体" w:cs="宋体"/>
          <w:sz w:val="32"/>
          <w:szCs w:val="32"/>
        </w:rPr>
        <w:t>万元</w:t>
      </w:r>
      <w:r>
        <w:rPr>
          <w:rFonts w:hint="eastAsia" w:ascii="宋体" w:hAnsi="宋体" w:eastAsia="宋体" w:cs="宋体"/>
          <w:sz w:val="32"/>
          <w:szCs w:val="32"/>
          <w:lang w:eastAsia="zh-CN"/>
        </w:rPr>
        <w:t>。</w:t>
      </w:r>
    </w:p>
    <w:p>
      <w:pPr>
        <w:pStyle w:val="4"/>
        <w:ind w:firstLine="643" w:firstLineChars="200"/>
        <w:rPr>
          <w:rFonts w:hint="eastAsia" w:hAnsi="宋体" w:cs="宋体"/>
          <w:b/>
          <w:sz w:val="32"/>
          <w:szCs w:val="32"/>
        </w:rPr>
      </w:pPr>
      <w:r>
        <w:rPr>
          <w:rFonts w:hint="eastAsia" w:hAnsi="宋体" w:cs="宋体"/>
          <w:b/>
          <w:sz w:val="32"/>
          <w:szCs w:val="32"/>
        </w:rPr>
        <w:t>三、机关运行经费预算安排情况</w:t>
      </w:r>
    </w:p>
    <w:p>
      <w:pPr>
        <w:ind w:firstLine="640" w:firstLineChars="200"/>
        <w:rPr>
          <w:rFonts w:hint="eastAsia" w:ascii="仿宋_GB2312" w:hAnsi="仿宋" w:eastAsia="仿宋_GB2312" w:cs="仿宋_GB2312"/>
          <w:sz w:val="32"/>
          <w:szCs w:val="32"/>
        </w:rPr>
      </w:pPr>
      <w:r>
        <w:rPr>
          <w:rFonts w:hint="eastAsia" w:ascii="宋体" w:hAnsi="宋体" w:cs="宋体"/>
          <w:kern w:val="0"/>
          <w:sz w:val="32"/>
          <w:szCs w:val="32"/>
          <w:lang w:bidi="ar"/>
        </w:rPr>
        <w:t>我单位202</w:t>
      </w:r>
      <w:r>
        <w:rPr>
          <w:rFonts w:hint="eastAsia" w:ascii="宋体" w:hAnsi="宋体" w:cs="宋体"/>
          <w:kern w:val="0"/>
          <w:sz w:val="32"/>
          <w:szCs w:val="32"/>
          <w:lang w:val="en-US" w:eastAsia="zh-CN" w:bidi="ar"/>
        </w:rPr>
        <w:t>2</w:t>
      </w:r>
      <w:r>
        <w:rPr>
          <w:rFonts w:hint="eastAsia" w:ascii="宋体" w:hAnsi="宋体" w:cs="宋体"/>
          <w:kern w:val="0"/>
          <w:sz w:val="32"/>
          <w:szCs w:val="32"/>
          <w:lang w:bidi="ar"/>
        </w:rPr>
        <w:t>年日常公用经费共计安排</w:t>
      </w:r>
      <w:r>
        <w:rPr>
          <w:rFonts w:hint="eastAsia" w:ascii="宋体" w:hAnsi="宋体" w:cs="宋体"/>
          <w:kern w:val="0"/>
          <w:sz w:val="32"/>
          <w:szCs w:val="32"/>
          <w:lang w:val="en-US" w:eastAsia="zh-CN" w:bidi="ar"/>
        </w:rPr>
        <w:t>7.91</w:t>
      </w:r>
      <w:r>
        <w:rPr>
          <w:rFonts w:hint="eastAsia" w:ascii="宋体" w:hAnsi="宋体" w:cs="宋体"/>
          <w:kern w:val="0"/>
          <w:sz w:val="32"/>
          <w:szCs w:val="32"/>
          <w:lang w:bidi="ar"/>
        </w:rPr>
        <w:t>万元</w:t>
      </w:r>
      <w:r>
        <w:rPr>
          <w:rFonts w:hint="eastAsia" w:ascii="宋体" w:hAnsi="宋体" w:cs="宋体"/>
          <w:kern w:val="0"/>
          <w:sz w:val="32"/>
          <w:szCs w:val="32"/>
          <w:lang w:eastAsia="zh-CN" w:bidi="ar"/>
        </w:rPr>
        <w:t>。</w:t>
      </w:r>
      <w:r>
        <w:rPr>
          <w:rFonts w:hint="eastAsia" w:hAnsi="宋体" w:cs="宋体"/>
          <w:sz w:val="32"/>
          <w:szCs w:val="32"/>
        </w:rPr>
        <w:t>具体安排：办公费</w:t>
      </w:r>
      <w:r>
        <w:rPr>
          <w:rFonts w:hint="eastAsia" w:hAnsi="宋体" w:cs="宋体"/>
          <w:sz w:val="32"/>
          <w:szCs w:val="32"/>
          <w:lang w:val="en-US" w:eastAsia="zh-CN"/>
        </w:rPr>
        <w:t>3.04</w:t>
      </w:r>
      <w:r>
        <w:rPr>
          <w:rFonts w:hint="eastAsia" w:hAnsi="宋体" w:cs="宋体"/>
          <w:sz w:val="32"/>
          <w:szCs w:val="32"/>
        </w:rPr>
        <w:t>万元，水费0.</w:t>
      </w:r>
      <w:r>
        <w:rPr>
          <w:rFonts w:hint="eastAsia" w:hAnsi="宋体" w:cs="宋体"/>
          <w:sz w:val="32"/>
          <w:szCs w:val="32"/>
          <w:lang w:val="en-US" w:eastAsia="zh-CN"/>
        </w:rPr>
        <w:t>05</w:t>
      </w:r>
      <w:r>
        <w:rPr>
          <w:rFonts w:hint="eastAsia" w:hAnsi="宋体" w:cs="宋体"/>
          <w:sz w:val="32"/>
          <w:szCs w:val="32"/>
        </w:rPr>
        <w:t>万元，电费</w:t>
      </w:r>
      <w:r>
        <w:rPr>
          <w:rFonts w:hint="eastAsia" w:hAnsi="宋体" w:cs="宋体"/>
          <w:sz w:val="32"/>
          <w:szCs w:val="32"/>
          <w:lang w:val="en-US" w:eastAsia="zh-CN"/>
        </w:rPr>
        <w:t>0.09</w:t>
      </w:r>
      <w:r>
        <w:rPr>
          <w:rFonts w:hint="eastAsia" w:hAnsi="宋体" w:cs="宋体"/>
          <w:sz w:val="32"/>
          <w:szCs w:val="32"/>
        </w:rPr>
        <w:t>万元，</w:t>
      </w:r>
      <w:r>
        <w:rPr>
          <w:rFonts w:hint="eastAsia" w:hAnsi="宋体" w:cs="宋体"/>
          <w:sz w:val="32"/>
          <w:szCs w:val="32"/>
          <w:lang w:eastAsia="zh-CN"/>
        </w:rPr>
        <w:t>公务移动通讯费用补贴</w:t>
      </w:r>
      <w:r>
        <w:rPr>
          <w:rFonts w:hint="eastAsia" w:hAnsi="宋体" w:cs="宋体"/>
          <w:sz w:val="32"/>
          <w:szCs w:val="32"/>
          <w:lang w:val="en-US" w:eastAsia="zh-CN"/>
        </w:rPr>
        <w:t>1.50</w:t>
      </w:r>
      <w:r>
        <w:rPr>
          <w:rFonts w:hint="eastAsia" w:hAnsi="宋体" w:cs="宋体"/>
          <w:sz w:val="32"/>
          <w:szCs w:val="32"/>
        </w:rPr>
        <w:t>万元</w:t>
      </w:r>
      <w:r>
        <w:rPr>
          <w:rFonts w:hint="eastAsia" w:hAnsi="宋体" w:cs="宋体"/>
          <w:sz w:val="32"/>
          <w:szCs w:val="32"/>
          <w:lang w:eastAsia="zh-CN"/>
        </w:rPr>
        <w:t>，维修（护）费</w:t>
      </w:r>
      <w:r>
        <w:rPr>
          <w:rFonts w:hint="eastAsia" w:hAnsi="宋体" w:cs="宋体"/>
          <w:sz w:val="32"/>
          <w:szCs w:val="32"/>
          <w:lang w:val="en-US" w:eastAsia="zh-CN"/>
        </w:rPr>
        <w:t>0.06万元，工会经费1.16万元，福利费2.01万元</w:t>
      </w:r>
      <w:r>
        <w:rPr>
          <w:rFonts w:hint="eastAsia" w:hAnsi="宋体" w:cs="宋体"/>
          <w:sz w:val="32"/>
          <w:szCs w:val="32"/>
        </w:rPr>
        <w:t>。</w:t>
      </w:r>
    </w:p>
    <w:p>
      <w:pPr>
        <w:numPr>
          <w:ilvl w:val="0"/>
          <w:numId w:val="0"/>
        </w:numPr>
        <w:ind w:firstLine="643" w:firstLineChars="200"/>
        <w:rPr>
          <w:rFonts w:hint="eastAsia" w:ascii="宋体" w:hAnsi="宋体" w:eastAsia="宋体" w:cs="宋体"/>
          <w:b/>
          <w:bCs/>
          <w:sz w:val="32"/>
          <w:szCs w:val="32"/>
        </w:rPr>
      </w:pPr>
      <w:r>
        <w:rPr>
          <w:rFonts w:hint="eastAsia" w:ascii="宋体" w:hAnsi="宋体" w:eastAsia="宋体" w:cs="宋体"/>
          <w:b/>
          <w:bCs/>
          <w:kern w:val="0"/>
          <w:sz w:val="32"/>
          <w:szCs w:val="32"/>
          <w:lang w:eastAsia="zh-CN" w:bidi="ar"/>
        </w:rPr>
        <w:t>四、</w:t>
      </w:r>
      <w:r>
        <w:rPr>
          <w:rFonts w:hint="eastAsia" w:ascii="宋体" w:hAnsi="宋体" w:eastAsia="宋体" w:cs="宋体"/>
          <w:b/>
          <w:bCs/>
          <w:kern w:val="0"/>
          <w:sz w:val="32"/>
          <w:szCs w:val="32"/>
          <w:lang w:bidi="ar"/>
        </w:rPr>
        <w:t>财政拨款“三公”经费预算安排情况：</w:t>
      </w:r>
    </w:p>
    <w:p>
      <w:pPr>
        <w:ind w:firstLine="640"/>
        <w:rPr>
          <w:rFonts w:hint="eastAsia" w:ascii="宋体" w:hAnsi="宋体" w:eastAsia="宋体" w:cs="宋体"/>
          <w:sz w:val="32"/>
          <w:szCs w:val="32"/>
        </w:rPr>
      </w:pPr>
      <w:r>
        <w:rPr>
          <w:rFonts w:hint="eastAsia" w:ascii="宋体" w:hAnsi="宋体" w:eastAsia="宋体" w:cs="宋体"/>
          <w:sz w:val="32"/>
          <w:szCs w:val="32"/>
        </w:rPr>
        <w:t>我单位</w:t>
      </w:r>
      <w:r>
        <w:rPr>
          <w:rFonts w:hint="eastAsia" w:ascii="宋体" w:hAnsi="宋体" w:eastAsia="宋体" w:cs="宋体"/>
          <w:sz w:val="32"/>
          <w:szCs w:val="32"/>
          <w:lang w:val="en-US" w:eastAsia="zh-CN"/>
        </w:rPr>
        <w:t>2022</w:t>
      </w:r>
      <w:r>
        <w:rPr>
          <w:rFonts w:hint="eastAsia" w:ascii="宋体" w:hAnsi="宋体" w:eastAsia="宋体" w:cs="宋体"/>
          <w:sz w:val="32"/>
          <w:szCs w:val="32"/>
        </w:rPr>
        <w:t>年预算为贯彻落实中央八项规定，坚持勤俭节约，采取有效措施，严控“三公”经费预算规模，</w:t>
      </w:r>
      <w:r>
        <w:rPr>
          <w:rFonts w:hint="eastAsia" w:ascii="宋体" w:hAnsi="宋体" w:eastAsia="宋体" w:cs="宋体"/>
          <w:sz w:val="32"/>
          <w:szCs w:val="32"/>
          <w:lang w:val="en-US" w:eastAsia="zh-CN"/>
        </w:rPr>
        <w:t>2022</w:t>
      </w:r>
      <w:r>
        <w:rPr>
          <w:rFonts w:hint="eastAsia" w:ascii="宋体" w:hAnsi="宋体" w:eastAsia="宋体" w:cs="宋体"/>
          <w:sz w:val="32"/>
          <w:szCs w:val="32"/>
        </w:rPr>
        <w:t>年“三公”经费预算为</w:t>
      </w:r>
      <w:r>
        <w:rPr>
          <w:rFonts w:hint="eastAsia" w:ascii="宋体" w:hAnsi="宋体" w:eastAsia="宋体" w:cs="宋体"/>
          <w:sz w:val="32"/>
          <w:szCs w:val="32"/>
          <w:lang w:val="en-US" w:eastAsia="zh-CN"/>
        </w:rPr>
        <w:t>0</w:t>
      </w:r>
      <w:r>
        <w:rPr>
          <w:rFonts w:hint="eastAsia" w:ascii="宋体" w:hAnsi="宋体" w:eastAsia="宋体" w:cs="宋体"/>
          <w:sz w:val="32"/>
          <w:szCs w:val="32"/>
        </w:rPr>
        <w:t>万元</w:t>
      </w:r>
      <w:r>
        <w:rPr>
          <w:rFonts w:hint="eastAsia" w:ascii="宋体" w:hAnsi="宋体" w:eastAsia="宋体" w:cs="宋体"/>
          <w:sz w:val="32"/>
          <w:szCs w:val="32"/>
          <w:lang w:val="en-US" w:eastAsia="zh-CN"/>
        </w:rPr>
        <w:t>,与上年无变化</w:t>
      </w:r>
      <w:r>
        <w:rPr>
          <w:rFonts w:hint="eastAsia" w:ascii="宋体" w:hAnsi="宋体" w:eastAsia="宋体" w:cs="宋体"/>
          <w:sz w:val="32"/>
          <w:szCs w:val="32"/>
        </w:rPr>
        <w:t>。</w:t>
      </w:r>
    </w:p>
    <w:p>
      <w:pPr>
        <w:numPr>
          <w:ilvl w:val="0"/>
          <w:numId w:val="1"/>
        </w:numPr>
        <w:ind w:firstLine="640"/>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预算绩效信息</w:t>
      </w:r>
    </w:p>
    <w:p>
      <w:pPr>
        <w:spacing w:before="10" w:after="10" w:line="240" w:lineRule="auto"/>
        <w:ind w:firstLine="560"/>
        <w:jc w:val="left"/>
        <w:outlineLvl w:val="1"/>
        <w:rPr>
          <w:rFonts w:hint="eastAsia" w:ascii="宋体" w:hAnsi="宋体" w:eastAsia="宋体" w:cs="宋体"/>
          <w:sz w:val="32"/>
          <w:szCs w:val="32"/>
        </w:rPr>
      </w:pPr>
      <w:bookmarkStart w:id="0" w:name="_Toc_2_2_0000000001"/>
      <w:r>
        <w:rPr>
          <w:rFonts w:hint="eastAsia" w:ascii="宋体" w:hAnsi="宋体" w:eastAsia="宋体" w:cs="宋体"/>
          <w:color w:val="000000"/>
          <w:sz w:val="32"/>
          <w:szCs w:val="32"/>
          <w:lang w:val="en-US" w:eastAsia="zh-CN"/>
        </w:rPr>
        <w:t>1</w:t>
      </w:r>
      <w:r>
        <w:rPr>
          <w:rFonts w:hint="eastAsia" w:ascii="宋体" w:hAnsi="宋体" w:eastAsia="宋体" w:cs="宋体"/>
          <w:color w:val="000000"/>
          <w:sz w:val="32"/>
          <w:szCs w:val="32"/>
        </w:rPr>
        <w:t>、总体绩效目标</w:t>
      </w:r>
      <w:bookmarkEnd w:id="0"/>
    </w:p>
    <w:p>
      <w:pPr>
        <w:pStyle w:val="7"/>
        <w:spacing w:line="240" w:lineRule="auto"/>
        <w:rPr>
          <w:rFonts w:hint="eastAsia" w:ascii="宋体" w:hAnsi="宋体" w:eastAsia="宋体" w:cs="宋体"/>
          <w:b/>
          <w:bCs/>
          <w:sz w:val="32"/>
          <w:szCs w:val="32"/>
          <w:lang w:eastAsia="zh-CN"/>
        </w:rPr>
      </w:pPr>
      <w:r>
        <w:rPr>
          <w:rFonts w:hint="eastAsia" w:ascii="宋体" w:hAnsi="宋体" w:eastAsia="宋体" w:cs="宋体"/>
          <w:sz w:val="32"/>
          <w:szCs w:val="32"/>
        </w:rPr>
        <w:t>按照县委、县政府工作部署，深入学习贯彻党的十九大</w:t>
      </w:r>
      <w:r>
        <w:rPr>
          <w:rFonts w:hint="eastAsia" w:ascii="宋体" w:hAnsi="宋体" w:eastAsia="宋体" w:cs="宋体"/>
          <w:sz w:val="32"/>
          <w:szCs w:val="32"/>
          <w:lang w:eastAsia="zh-CN"/>
        </w:rPr>
        <w:t>精神</w:t>
      </w:r>
      <w:r>
        <w:rPr>
          <w:rFonts w:hint="eastAsia" w:ascii="宋体" w:hAnsi="宋体" w:eastAsia="宋体" w:cs="宋体"/>
          <w:sz w:val="32"/>
          <w:szCs w:val="32"/>
        </w:rPr>
        <w:t>，到2022年全部完成综合改革任务，按照县政府授权，对重要农业生产资料、烟花爆竹、和再生资源经营进行组织协调管理，负责管理食盐、防汛、救灾物资等重要物资储备工作。按照有关规定，负责全县流通领域盐业行政管理及食盐批发、零售的监督管理和许可管理，负责市场工业用盐管理。组建宁晋县农村产权流转交易中心，开展农村产权流转交易信息平台发布。</w:t>
      </w:r>
    </w:p>
    <w:p>
      <w:pPr>
        <w:widowControl/>
        <w:ind w:firstLine="640" w:firstLineChars="200"/>
        <w:jc w:val="left"/>
        <w:rPr>
          <w:rFonts w:ascii="宋体" w:hAnsi="宋体" w:cs="宋体"/>
          <w:b/>
          <w:kern w:val="0"/>
          <w:sz w:val="32"/>
          <w:szCs w:val="32"/>
          <w:lang w:bidi="ar"/>
        </w:rPr>
      </w:pPr>
      <w:r>
        <w:rPr>
          <w:rFonts w:hint="eastAsia" w:ascii="宋体" w:hAnsi="宋体" w:eastAsia="宋体" w:cs="宋体"/>
          <w:b w:val="0"/>
          <w:bCs/>
          <w:kern w:val="0"/>
          <w:sz w:val="32"/>
          <w:szCs w:val="32"/>
          <w:lang w:val="en-US" w:eastAsia="zh-CN" w:bidi="ar"/>
        </w:rPr>
        <w:t>2、</w:t>
      </w:r>
      <w:r>
        <w:rPr>
          <w:rFonts w:hint="eastAsia" w:ascii="宋体" w:hAnsi="宋体" w:eastAsia="宋体" w:cs="宋体"/>
          <w:b w:val="0"/>
          <w:bCs/>
          <w:kern w:val="0"/>
          <w:sz w:val="32"/>
          <w:szCs w:val="32"/>
          <w:lang w:bidi="ar"/>
        </w:rPr>
        <w:t>“部门职责-工作活动”绩效目标指标明细表详见下表</w:t>
      </w:r>
      <w:r>
        <w:rPr>
          <w:rFonts w:hint="eastAsia" w:ascii="仿宋_GB2312" w:hAnsi="宋体" w:eastAsia="仿宋_GB2312" w:cs="宋体"/>
          <w:b w:val="0"/>
          <w:bCs/>
          <w:kern w:val="0"/>
          <w:sz w:val="32"/>
          <w:szCs w:val="32"/>
          <w:lang w:bidi="ar"/>
        </w:rPr>
        <w:t>。</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64"/>
        <w:gridCol w:w="1235"/>
        <w:gridCol w:w="2878"/>
        <w:gridCol w:w="2877"/>
        <w:gridCol w:w="1371"/>
        <w:gridCol w:w="712"/>
        <w:gridCol w:w="713"/>
        <w:gridCol w:w="712"/>
        <w:gridCol w:w="714"/>
        <w:gridCol w:w="6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625" w:type="dxa"/>
            <w:gridSpan w:val="5"/>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975</w:t>
            </w:r>
            <w:r>
              <w:rPr>
                <w:rFonts w:hint="eastAsia" w:ascii="方正小标宋_GBK" w:eastAsia="方正小标宋_GBK"/>
                <w:sz w:val="24"/>
              </w:rPr>
              <w:t>宁晋县供销合作社</w:t>
            </w:r>
          </w:p>
        </w:tc>
        <w:tc>
          <w:tcPr>
            <w:tcW w:w="2851" w:type="dxa"/>
            <w:gridSpan w:val="4"/>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c>
          <w:tcPr>
            <w:tcW w:w="697" w:type="dxa"/>
            <w:tcBorders>
              <w:top w:val="single" w:color="FFFFFF" w:sz="6" w:space="0"/>
              <w:left w:val="single" w:color="FFFFFF" w:sz="6" w:space="0"/>
              <w:right w:val="single" w:color="FFFFFF" w:sz="6" w:space="0"/>
            </w:tcBorders>
            <w:noWrap w:val="0"/>
            <w:vAlign w:val="center"/>
          </w:tcPr>
          <w:p>
            <w:pPr>
              <w:spacing w:line="300" w:lineRule="exact"/>
              <w:jc w:val="right"/>
              <w:rPr>
                <w:rFonts w:hint="eastAsia" w:ascii="方正书宋_GBK" w:eastAsia="方正书宋_GBK"/>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26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35"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878"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87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37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851" w:type="dxa"/>
            <w:gridSpan w:val="4"/>
            <w:noWrap w:val="0"/>
            <w:vAlign w:val="center"/>
          </w:tcPr>
          <w:p>
            <w:pPr>
              <w:spacing w:line="300" w:lineRule="exact"/>
              <w:jc w:val="center"/>
              <w:rPr>
                <w:rFonts w:ascii="方正书宋_GBK" w:eastAsia="方正书宋_GBK"/>
                <w:b/>
              </w:rPr>
            </w:pPr>
            <w:r>
              <w:rPr>
                <w:rFonts w:hint="eastAsia" w:ascii="方正书宋_GBK" w:eastAsia="方正书宋_GBK"/>
                <w:b/>
              </w:rPr>
              <w:t>评价标准</w:t>
            </w:r>
          </w:p>
        </w:tc>
        <w:tc>
          <w:tcPr>
            <w:tcW w:w="697" w:type="dxa"/>
            <w:noWrap w:val="0"/>
            <w:vAlign w:val="center"/>
          </w:tcPr>
          <w:p>
            <w:pPr>
              <w:spacing w:line="300" w:lineRule="exact"/>
              <w:jc w:val="center"/>
              <w:rPr>
                <w:rFonts w:hint="eastAsia"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264" w:type="dxa"/>
            <w:vMerge w:val="continue"/>
            <w:noWrap w:val="0"/>
            <w:vAlign w:val="center"/>
          </w:tcPr>
          <w:p>
            <w:pPr>
              <w:spacing w:line="300" w:lineRule="exact"/>
              <w:jc w:val="left"/>
              <w:outlineLvl w:val="0"/>
            </w:pPr>
          </w:p>
        </w:tc>
        <w:tc>
          <w:tcPr>
            <w:tcW w:w="1235" w:type="dxa"/>
            <w:vMerge w:val="continue"/>
            <w:noWrap w:val="0"/>
            <w:vAlign w:val="center"/>
          </w:tcPr>
          <w:p>
            <w:pPr>
              <w:spacing w:line="300" w:lineRule="exact"/>
              <w:jc w:val="left"/>
              <w:outlineLvl w:val="0"/>
            </w:pPr>
          </w:p>
        </w:tc>
        <w:tc>
          <w:tcPr>
            <w:tcW w:w="2878" w:type="dxa"/>
            <w:vMerge w:val="continue"/>
            <w:noWrap w:val="0"/>
            <w:vAlign w:val="center"/>
          </w:tcPr>
          <w:p>
            <w:pPr>
              <w:spacing w:line="300" w:lineRule="exact"/>
              <w:jc w:val="left"/>
              <w:outlineLvl w:val="0"/>
            </w:pPr>
          </w:p>
        </w:tc>
        <w:tc>
          <w:tcPr>
            <w:tcW w:w="2877" w:type="dxa"/>
            <w:vMerge w:val="continue"/>
            <w:noWrap w:val="0"/>
            <w:vAlign w:val="center"/>
          </w:tcPr>
          <w:p>
            <w:pPr>
              <w:spacing w:line="300" w:lineRule="exact"/>
              <w:jc w:val="left"/>
              <w:outlineLvl w:val="0"/>
            </w:pPr>
          </w:p>
        </w:tc>
        <w:tc>
          <w:tcPr>
            <w:tcW w:w="1371" w:type="dxa"/>
            <w:vMerge w:val="continue"/>
            <w:noWrap w:val="0"/>
            <w:vAlign w:val="center"/>
          </w:tcPr>
          <w:p>
            <w:pPr>
              <w:spacing w:line="300" w:lineRule="exact"/>
              <w:jc w:val="left"/>
              <w:outlineLvl w:val="0"/>
            </w:pPr>
          </w:p>
        </w:tc>
        <w:tc>
          <w:tcPr>
            <w:tcW w:w="712" w:type="dxa"/>
            <w:noWrap w:val="0"/>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13" w:type="dxa"/>
            <w:noWrap w:val="0"/>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12" w:type="dxa"/>
            <w:noWrap w:val="0"/>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14" w:type="dxa"/>
            <w:noWrap w:val="0"/>
            <w:vAlign w:val="center"/>
          </w:tcPr>
          <w:p>
            <w:pPr>
              <w:spacing w:line="300" w:lineRule="exact"/>
              <w:jc w:val="center"/>
              <w:rPr>
                <w:rFonts w:ascii="方正书宋_GBK" w:eastAsia="方正书宋_GBK"/>
                <w:b/>
              </w:rPr>
            </w:pPr>
            <w:r>
              <w:rPr>
                <w:rFonts w:hint="eastAsia" w:ascii="方正书宋_GBK" w:eastAsia="方正书宋_GBK"/>
                <w:b/>
              </w:rPr>
              <w:t>差</w:t>
            </w:r>
          </w:p>
        </w:tc>
        <w:tc>
          <w:tcPr>
            <w:tcW w:w="697" w:type="dxa"/>
            <w:noWrap w:val="0"/>
            <w:vAlign w:val="center"/>
          </w:tcPr>
          <w:p>
            <w:pPr>
              <w:spacing w:line="300" w:lineRule="exact"/>
              <w:jc w:val="center"/>
              <w:rPr>
                <w:rFonts w:hint="eastAsia"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noWrap w:val="0"/>
            <w:vAlign w:val="center"/>
          </w:tcPr>
          <w:p>
            <w:pPr>
              <w:spacing w:line="300" w:lineRule="exact"/>
              <w:jc w:val="left"/>
              <w:rPr>
                <w:rFonts w:ascii="方正书宋_GBK" w:eastAsia="方正书宋_GBK"/>
                <w:b/>
              </w:rPr>
            </w:pPr>
            <w:r>
              <w:rPr>
                <w:rFonts w:hint="eastAsia" w:ascii="方正书宋_GBK" w:eastAsia="方正书宋_GBK"/>
                <w:b/>
              </w:rPr>
              <w:t>供销流通管理</w:t>
            </w:r>
          </w:p>
        </w:tc>
        <w:tc>
          <w:tcPr>
            <w:tcW w:w="1235" w:type="dxa"/>
            <w:noWrap w:val="0"/>
            <w:vAlign w:val="center"/>
          </w:tcPr>
          <w:p>
            <w:pPr>
              <w:spacing w:line="300" w:lineRule="exact"/>
              <w:jc w:val="left"/>
              <w:rPr>
                <w:rFonts w:ascii="方正书宋_GBK" w:eastAsia="方正书宋_GBK"/>
              </w:rPr>
            </w:pPr>
          </w:p>
        </w:tc>
        <w:tc>
          <w:tcPr>
            <w:tcW w:w="2878" w:type="dxa"/>
            <w:noWrap w:val="0"/>
            <w:vAlign w:val="center"/>
          </w:tcPr>
          <w:p>
            <w:pPr>
              <w:spacing w:line="300" w:lineRule="exact"/>
              <w:jc w:val="left"/>
              <w:rPr>
                <w:rFonts w:ascii="方正书宋_GBK" w:eastAsia="方正书宋_GBK"/>
              </w:rPr>
            </w:pPr>
            <w:r>
              <w:rPr>
                <w:rFonts w:hint="eastAsia" w:ascii="方正书宋_GBK" w:eastAsia="方正书宋_GBK"/>
              </w:rPr>
              <w:t>贯彻落实党和政府商业流通有关方针政策，研究制定行业发展战略和规划，组织指导行业改革发展，负责行业管理，开展教育培训，维护合法权益</w:t>
            </w:r>
          </w:p>
        </w:tc>
        <w:tc>
          <w:tcPr>
            <w:tcW w:w="2877" w:type="dxa"/>
            <w:noWrap w:val="0"/>
            <w:vAlign w:val="center"/>
          </w:tcPr>
          <w:p>
            <w:pPr>
              <w:spacing w:line="300" w:lineRule="exact"/>
              <w:jc w:val="left"/>
              <w:rPr>
                <w:rFonts w:ascii="方正书宋_GBK" w:eastAsia="方正书宋_GBK"/>
              </w:rPr>
            </w:pPr>
            <w:r>
              <w:rPr>
                <w:rFonts w:hint="eastAsia" w:ascii="方正书宋_GBK" w:eastAsia="方正书宋_GBK"/>
              </w:rPr>
              <w:t>确保供销社事业改革、发展和壮大、发挥供销社在商业流通服务的作用</w:t>
            </w:r>
          </w:p>
        </w:tc>
        <w:tc>
          <w:tcPr>
            <w:tcW w:w="1371" w:type="dxa"/>
            <w:noWrap w:val="0"/>
            <w:vAlign w:val="center"/>
          </w:tcPr>
          <w:p>
            <w:pPr>
              <w:spacing w:line="300" w:lineRule="exact"/>
              <w:jc w:val="left"/>
              <w:rPr>
                <w:rFonts w:ascii="方正书宋_GBK" w:eastAsia="方正书宋_GBK"/>
              </w:rPr>
            </w:pPr>
          </w:p>
        </w:tc>
        <w:tc>
          <w:tcPr>
            <w:tcW w:w="712" w:type="dxa"/>
            <w:noWrap w:val="0"/>
            <w:vAlign w:val="center"/>
          </w:tcPr>
          <w:p>
            <w:pPr>
              <w:spacing w:line="300" w:lineRule="exact"/>
              <w:jc w:val="center"/>
              <w:rPr>
                <w:rFonts w:ascii="方正书宋_GBK" w:eastAsia="方正书宋_GBK"/>
              </w:rPr>
            </w:pPr>
          </w:p>
        </w:tc>
        <w:tc>
          <w:tcPr>
            <w:tcW w:w="713" w:type="dxa"/>
            <w:noWrap w:val="0"/>
            <w:vAlign w:val="center"/>
          </w:tcPr>
          <w:p>
            <w:pPr>
              <w:spacing w:line="300" w:lineRule="exact"/>
              <w:jc w:val="center"/>
              <w:rPr>
                <w:rFonts w:ascii="方正书宋_GBK" w:eastAsia="方正书宋_GBK"/>
              </w:rPr>
            </w:pPr>
          </w:p>
        </w:tc>
        <w:tc>
          <w:tcPr>
            <w:tcW w:w="712" w:type="dxa"/>
            <w:noWrap w:val="0"/>
            <w:vAlign w:val="center"/>
          </w:tcPr>
          <w:p>
            <w:pPr>
              <w:spacing w:line="300" w:lineRule="exact"/>
              <w:jc w:val="center"/>
              <w:rPr>
                <w:rFonts w:ascii="方正书宋_GBK" w:eastAsia="方正书宋_GBK"/>
              </w:rPr>
            </w:pPr>
          </w:p>
        </w:tc>
        <w:tc>
          <w:tcPr>
            <w:tcW w:w="714" w:type="dxa"/>
            <w:noWrap w:val="0"/>
            <w:vAlign w:val="center"/>
          </w:tcPr>
          <w:p>
            <w:pPr>
              <w:spacing w:line="300" w:lineRule="exact"/>
              <w:jc w:val="center"/>
              <w:rPr>
                <w:rFonts w:ascii="方正书宋_GBK" w:eastAsia="方正书宋_GBK"/>
              </w:rPr>
            </w:pPr>
          </w:p>
        </w:tc>
        <w:tc>
          <w:tcPr>
            <w:tcW w:w="69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发展现代流通网络建设及管理</w:t>
            </w:r>
          </w:p>
        </w:tc>
        <w:tc>
          <w:tcPr>
            <w:tcW w:w="1235" w:type="dxa"/>
            <w:vMerge w:val="restart"/>
            <w:noWrap w:val="0"/>
            <w:vAlign w:val="center"/>
          </w:tcPr>
          <w:p>
            <w:pPr>
              <w:spacing w:line="300" w:lineRule="exact"/>
              <w:jc w:val="left"/>
              <w:rPr>
                <w:rFonts w:ascii="方正书宋_GBK" w:eastAsia="方正书宋_GBK"/>
              </w:rPr>
            </w:pPr>
          </w:p>
        </w:tc>
        <w:tc>
          <w:tcPr>
            <w:tcW w:w="2878"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落实供销社系统现代流通网络建设，加快服务创新、经营创新和业态创新，优化网络布局，完善网络体系，发挥一网多用、双向流通的作用，在农资供应、农产品流通、农村服务等重点领域和环节为农民提供便利实惠、安全优质的服务。</w:t>
            </w:r>
          </w:p>
        </w:tc>
        <w:tc>
          <w:tcPr>
            <w:tcW w:w="2877"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健全农资、农副产品、日用消费品、再生资源回收利用四大网络，加快形成连锁化、规模化、品牌化经营服务新格局；发展农村电子务，形成网上交易、仓储物流、终端配送一体化经营，推动线上线下融合发展。</w:t>
            </w:r>
          </w:p>
        </w:tc>
        <w:tc>
          <w:tcPr>
            <w:tcW w:w="1371" w:type="dxa"/>
            <w:noWrap w:val="0"/>
            <w:vAlign w:val="center"/>
          </w:tcPr>
          <w:p>
            <w:pPr>
              <w:spacing w:line="300" w:lineRule="exact"/>
              <w:jc w:val="left"/>
              <w:rPr>
                <w:rFonts w:ascii="方正书宋_GBK" w:eastAsia="方正书宋_GBK"/>
              </w:rPr>
            </w:pPr>
            <w:r>
              <w:rPr>
                <w:rFonts w:hint="eastAsia" w:ascii="方正书宋_GBK" w:eastAsia="方正书宋_GBK"/>
              </w:rPr>
              <w:t>农产品批发市场市场交易额增长率</w:t>
            </w:r>
          </w:p>
        </w:tc>
        <w:tc>
          <w:tcPr>
            <w:tcW w:w="712"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15%</w:t>
            </w:r>
          </w:p>
        </w:tc>
        <w:tc>
          <w:tcPr>
            <w:tcW w:w="713"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12%</w:t>
            </w:r>
          </w:p>
        </w:tc>
        <w:tc>
          <w:tcPr>
            <w:tcW w:w="712"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14"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continue"/>
            <w:noWrap w:val="0"/>
            <w:vAlign w:val="center"/>
          </w:tcPr>
          <w:p>
            <w:pPr>
              <w:spacing w:line="300" w:lineRule="exact"/>
              <w:jc w:val="left"/>
              <w:rPr>
                <w:rFonts w:hint="eastAsia" w:ascii="方正书宋_GBK" w:eastAsia="方正书宋_GBK"/>
                <w:b/>
              </w:rPr>
            </w:pPr>
          </w:p>
        </w:tc>
        <w:tc>
          <w:tcPr>
            <w:tcW w:w="1235" w:type="dxa"/>
            <w:vMerge w:val="continue"/>
            <w:noWrap w:val="0"/>
            <w:vAlign w:val="center"/>
          </w:tcPr>
          <w:p>
            <w:pPr>
              <w:spacing w:line="300" w:lineRule="exact"/>
              <w:jc w:val="left"/>
              <w:rPr>
                <w:rFonts w:ascii="方正书宋_GBK" w:eastAsia="方正书宋_GBK"/>
              </w:rPr>
            </w:pPr>
          </w:p>
        </w:tc>
        <w:tc>
          <w:tcPr>
            <w:tcW w:w="2878" w:type="dxa"/>
            <w:vMerge w:val="continue"/>
            <w:noWrap w:val="0"/>
            <w:vAlign w:val="center"/>
          </w:tcPr>
          <w:p>
            <w:pPr>
              <w:spacing w:line="300" w:lineRule="exact"/>
              <w:jc w:val="left"/>
              <w:rPr>
                <w:rFonts w:hint="eastAsia" w:ascii="方正书宋_GBK" w:eastAsia="方正书宋_GBK"/>
              </w:rPr>
            </w:pPr>
          </w:p>
        </w:tc>
        <w:tc>
          <w:tcPr>
            <w:tcW w:w="2877" w:type="dxa"/>
            <w:vMerge w:val="continue"/>
            <w:noWrap w:val="0"/>
            <w:vAlign w:val="center"/>
          </w:tcPr>
          <w:p>
            <w:pPr>
              <w:spacing w:line="300" w:lineRule="exact"/>
              <w:jc w:val="left"/>
              <w:rPr>
                <w:rFonts w:hint="eastAsia" w:ascii="方正书宋_GBK" w:eastAsia="方正书宋_GBK"/>
              </w:rPr>
            </w:pP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供销社企业电子商务销售额增长倍数</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200%</w:t>
            </w:r>
          </w:p>
        </w:tc>
        <w:tc>
          <w:tcPr>
            <w:tcW w:w="713"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150%</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714"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continue"/>
            <w:noWrap w:val="0"/>
            <w:vAlign w:val="center"/>
          </w:tcPr>
          <w:p>
            <w:pPr>
              <w:spacing w:line="300" w:lineRule="exact"/>
              <w:jc w:val="left"/>
              <w:rPr>
                <w:rFonts w:hint="eastAsia" w:ascii="方正书宋_GBK" w:eastAsia="方正书宋_GBK"/>
                <w:b/>
              </w:rPr>
            </w:pPr>
          </w:p>
        </w:tc>
        <w:tc>
          <w:tcPr>
            <w:tcW w:w="1235" w:type="dxa"/>
            <w:vMerge w:val="continue"/>
            <w:noWrap w:val="0"/>
            <w:vAlign w:val="center"/>
          </w:tcPr>
          <w:p>
            <w:pPr>
              <w:spacing w:line="300" w:lineRule="exact"/>
              <w:jc w:val="left"/>
              <w:rPr>
                <w:rFonts w:ascii="方正书宋_GBK" w:eastAsia="方正书宋_GBK"/>
              </w:rPr>
            </w:pPr>
          </w:p>
        </w:tc>
        <w:tc>
          <w:tcPr>
            <w:tcW w:w="2878" w:type="dxa"/>
            <w:vMerge w:val="continue"/>
            <w:noWrap w:val="0"/>
            <w:vAlign w:val="center"/>
          </w:tcPr>
          <w:p>
            <w:pPr>
              <w:spacing w:line="300" w:lineRule="exact"/>
              <w:jc w:val="left"/>
              <w:rPr>
                <w:rFonts w:hint="eastAsia" w:ascii="方正书宋_GBK" w:eastAsia="方正书宋_GBK"/>
              </w:rPr>
            </w:pPr>
          </w:p>
        </w:tc>
        <w:tc>
          <w:tcPr>
            <w:tcW w:w="2877" w:type="dxa"/>
            <w:vMerge w:val="continue"/>
            <w:noWrap w:val="0"/>
            <w:vAlign w:val="center"/>
          </w:tcPr>
          <w:p>
            <w:pPr>
              <w:spacing w:line="300" w:lineRule="exact"/>
              <w:jc w:val="left"/>
              <w:rPr>
                <w:rFonts w:hint="eastAsia" w:ascii="方正书宋_GBK" w:eastAsia="方正书宋_GBK"/>
              </w:rPr>
            </w:pP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全县供销社流通网络购销总额增长率</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13"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714"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5" w:hRule="atLeast"/>
          <w:jc w:val="center"/>
        </w:trPr>
        <w:tc>
          <w:tcPr>
            <w:tcW w:w="2264" w:type="dxa"/>
            <w:vMerge w:val="continue"/>
            <w:noWrap w:val="0"/>
            <w:vAlign w:val="center"/>
          </w:tcPr>
          <w:p>
            <w:pPr>
              <w:spacing w:line="300" w:lineRule="exact"/>
              <w:jc w:val="left"/>
              <w:rPr>
                <w:rFonts w:hint="eastAsia" w:ascii="方正书宋_GBK" w:eastAsia="方正书宋_GBK"/>
                <w:b/>
              </w:rPr>
            </w:pPr>
          </w:p>
        </w:tc>
        <w:tc>
          <w:tcPr>
            <w:tcW w:w="1235" w:type="dxa"/>
            <w:vMerge w:val="continue"/>
            <w:noWrap w:val="0"/>
            <w:vAlign w:val="center"/>
          </w:tcPr>
          <w:p>
            <w:pPr>
              <w:spacing w:line="300" w:lineRule="exact"/>
              <w:jc w:val="left"/>
              <w:rPr>
                <w:rFonts w:ascii="方正书宋_GBK" w:eastAsia="方正书宋_GBK"/>
              </w:rPr>
            </w:pPr>
          </w:p>
        </w:tc>
        <w:tc>
          <w:tcPr>
            <w:tcW w:w="2878" w:type="dxa"/>
            <w:vMerge w:val="continue"/>
            <w:noWrap w:val="0"/>
            <w:vAlign w:val="center"/>
          </w:tcPr>
          <w:p>
            <w:pPr>
              <w:spacing w:line="300" w:lineRule="exact"/>
              <w:jc w:val="left"/>
              <w:rPr>
                <w:rFonts w:hint="eastAsia" w:ascii="方正书宋_GBK" w:eastAsia="方正书宋_GBK"/>
              </w:rPr>
            </w:pPr>
          </w:p>
        </w:tc>
        <w:tc>
          <w:tcPr>
            <w:tcW w:w="2877" w:type="dxa"/>
            <w:vMerge w:val="continue"/>
            <w:noWrap w:val="0"/>
            <w:vAlign w:val="center"/>
          </w:tcPr>
          <w:p>
            <w:pPr>
              <w:spacing w:line="300" w:lineRule="exact"/>
              <w:jc w:val="left"/>
              <w:rPr>
                <w:rFonts w:hint="eastAsia" w:ascii="方正书宋_GBK" w:eastAsia="方正书宋_GBK"/>
              </w:rPr>
            </w:pP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连锁经营销售额占全县供销社销售额比重</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p>
        </w:tc>
        <w:tc>
          <w:tcPr>
            <w:tcW w:w="713"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12%</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714"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0%</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社属企业运营管理及建设</w:t>
            </w:r>
          </w:p>
        </w:tc>
        <w:tc>
          <w:tcPr>
            <w:tcW w:w="1235" w:type="dxa"/>
            <w:vMerge w:val="restart"/>
            <w:noWrap w:val="0"/>
            <w:vAlign w:val="center"/>
          </w:tcPr>
          <w:p>
            <w:pPr>
              <w:spacing w:line="300" w:lineRule="exact"/>
              <w:jc w:val="left"/>
              <w:rPr>
                <w:rFonts w:ascii="方正书宋_GBK" w:eastAsia="方正书宋_GBK"/>
              </w:rPr>
            </w:pPr>
          </w:p>
        </w:tc>
        <w:tc>
          <w:tcPr>
            <w:tcW w:w="2878"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指导社属企业经营管理，对社属企业进行监督检查，完善企业运营管理制度并监督执行，行使出资人职能、确保社有资产的安全和增值</w:t>
            </w:r>
          </w:p>
        </w:tc>
        <w:tc>
          <w:tcPr>
            <w:tcW w:w="2877"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社有企业实现跨越式发展，供销社体制机制明显优化，营业收入、利润总额和净资产均有不同程度增长。</w:t>
            </w: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社有资产增值比率</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13"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4.5%</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714"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continue"/>
            <w:noWrap w:val="0"/>
            <w:vAlign w:val="center"/>
          </w:tcPr>
          <w:p>
            <w:pPr>
              <w:spacing w:line="300" w:lineRule="exact"/>
              <w:jc w:val="left"/>
              <w:rPr>
                <w:rFonts w:hint="eastAsia" w:ascii="方正书宋_GBK" w:eastAsia="方正书宋_GBK"/>
                <w:b/>
              </w:rPr>
            </w:pPr>
          </w:p>
        </w:tc>
        <w:tc>
          <w:tcPr>
            <w:tcW w:w="1235" w:type="dxa"/>
            <w:vMerge w:val="continue"/>
            <w:noWrap w:val="0"/>
            <w:vAlign w:val="center"/>
          </w:tcPr>
          <w:p>
            <w:pPr>
              <w:spacing w:line="300" w:lineRule="exact"/>
              <w:jc w:val="left"/>
              <w:rPr>
                <w:rFonts w:ascii="方正书宋_GBK" w:eastAsia="方正书宋_GBK"/>
              </w:rPr>
            </w:pPr>
          </w:p>
        </w:tc>
        <w:tc>
          <w:tcPr>
            <w:tcW w:w="2878" w:type="dxa"/>
            <w:vMerge w:val="continue"/>
            <w:noWrap w:val="0"/>
            <w:vAlign w:val="center"/>
          </w:tcPr>
          <w:p>
            <w:pPr>
              <w:spacing w:line="300" w:lineRule="exact"/>
              <w:jc w:val="left"/>
              <w:rPr>
                <w:rFonts w:hint="eastAsia" w:ascii="方正书宋_GBK" w:eastAsia="方正书宋_GBK"/>
              </w:rPr>
            </w:pPr>
          </w:p>
        </w:tc>
        <w:tc>
          <w:tcPr>
            <w:tcW w:w="2877" w:type="dxa"/>
            <w:vMerge w:val="continue"/>
            <w:noWrap w:val="0"/>
            <w:vAlign w:val="center"/>
          </w:tcPr>
          <w:p>
            <w:pPr>
              <w:spacing w:line="300" w:lineRule="exact"/>
              <w:jc w:val="left"/>
              <w:rPr>
                <w:rFonts w:hint="eastAsia" w:ascii="方正书宋_GBK" w:eastAsia="方正书宋_GBK"/>
              </w:rPr>
            </w:pP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利润总额增长率</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13"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4.5%</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714"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continue"/>
            <w:noWrap w:val="0"/>
            <w:vAlign w:val="center"/>
          </w:tcPr>
          <w:p>
            <w:pPr>
              <w:spacing w:line="300" w:lineRule="exact"/>
              <w:jc w:val="left"/>
              <w:rPr>
                <w:rFonts w:hint="eastAsia" w:ascii="方正书宋_GBK" w:eastAsia="方正书宋_GBK"/>
                <w:b/>
              </w:rPr>
            </w:pPr>
          </w:p>
        </w:tc>
        <w:tc>
          <w:tcPr>
            <w:tcW w:w="1235" w:type="dxa"/>
            <w:vMerge w:val="continue"/>
            <w:noWrap w:val="0"/>
            <w:vAlign w:val="center"/>
          </w:tcPr>
          <w:p>
            <w:pPr>
              <w:spacing w:line="300" w:lineRule="exact"/>
              <w:jc w:val="left"/>
              <w:rPr>
                <w:rFonts w:ascii="方正书宋_GBK" w:eastAsia="方正书宋_GBK"/>
              </w:rPr>
            </w:pPr>
          </w:p>
        </w:tc>
        <w:tc>
          <w:tcPr>
            <w:tcW w:w="2878" w:type="dxa"/>
            <w:vMerge w:val="continue"/>
            <w:noWrap w:val="0"/>
            <w:vAlign w:val="center"/>
          </w:tcPr>
          <w:p>
            <w:pPr>
              <w:spacing w:line="300" w:lineRule="exact"/>
              <w:jc w:val="left"/>
              <w:rPr>
                <w:rFonts w:hint="eastAsia" w:ascii="方正书宋_GBK" w:eastAsia="方正书宋_GBK"/>
              </w:rPr>
            </w:pPr>
          </w:p>
        </w:tc>
        <w:tc>
          <w:tcPr>
            <w:tcW w:w="2877" w:type="dxa"/>
            <w:vMerge w:val="continue"/>
            <w:noWrap w:val="0"/>
            <w:vAlign w:val="center"/>
          </w:tcPr>
          <w:p>
            <w:pPr>
              <w:spacing w:line="300" w:lineRule="exact"/>
              <w:jc w:val="left"/>
              <w:rPr>
                <w:rFonts w:hint="eastAsia" w:ascii="方正书宋_GBK" w:eastAsia="方正书宋_GBK"/>
              </w:rPr>
            </w:pP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营业收入增长率</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13"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4.5%</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714"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服务三农事务管理</w:t>
            </w:r>
          </w:p>
        </w:tc>
        <w:tc>
          <w:tcPr>
            <w:tcW w:w="1235" w:type="dxa"/>
            <w:noWrap w:val="0"/>
            <w:vAlign w:val="center"/>
          </w:tcPr>
          <w:p>
            <w:pPr>
              <w:spacing w:line="300" w:lineRule="exact"/>
              <w:jc w:val="left"/>
              <w:rPr>
                <w:rFonts w:ascii="方正书宋_GBK" w:eastAsia="方正书宋_GBK"/>
              </w:rPr>
            </w:pPr>
          </w:p>
        </w:tc>
        <w:tc>
          <w:tcPr>
            <w:tcW w:w="2878" w:type="dxa"/>
            <w:noWrap w:val="0"/>
            <w:vAlign w:val="center"/>
          </w:tcPr>
          <w:p>
            <w:pPr>
              <w:spacing w:line="300" w:lineRule="exact"/>
              <w:jc w:val="left"/>
              <w:rPr>
                <w:rFonts w:hint="eastAsia" w:ascii="方正书宋_GBK" w:eastAsia="方正书宋_GBK"/>
              </w:rPr>
            </w:pPr>
            <w:r>
              <w:rPr>
                <w:rFonts w:hint="eastAsia" w:ascii="方正书宋_GBK" w:eastAsia="方正书宋_GBK"/>
              </w:rPr>
              <w:t>贯彻落实党和政府有关</w:t>
            </w:r>
            <w:r>
              <w:rPr>
                <w:rFonts w:ascii="方正书宋_GBK" w:eastAsia="方正书宋_GBK"/>
              </w:rPr>
              <w:t xml:space="preserve"> </w:t>
            </w:r>
            <w:r>
              <w:rPr>
                <w:rFonts w:hint="eastAsia" w:ascii="方正书宋_GBK" w:eastAsia="方正书宋_GBK"/>
              </w:rPr>
              <w:t>服务</w:t>
            </w:r>
            <w:r>
              <w:rPr>
                <w:rFonts w:hint="cs" w:ascii="方正书宋_GBK" w:eastAsia="方正书宋_GBK"/>
                <w:cs/>
              </w:rPr>
              <w:t>“</w:t>
            </w:r>
            <w:r>
              <w:rPr>
                <w:rFonts w:hint="eastAsia" w:ascii="方正书宋_GBK" w:eastAsia="方正书宋_GBK"/>
              </w:rPr>
              <w:t>三农</w:t>
            </w:r>
            <w:r>
              <w:rPr>
                <w:rFonts w:hint="cs" w:ascii="方正书宋_GBK" w:eastAsia="方正书宋_GBK"/>
                <w:cs/>
              </w:rPr>
              <w:t>”</w:t>
            </w:r>
            <w:r>
              <w:rPr>
                <w:rFonts w:hint="eastAsia" w:ascii="方正书宋_GBK" w:eastAsia="方正书宋_GBK"/>
              </w:rPr>
              <w:t>方针政策，以供销合作社体系为依托，自下而上组建农民合作社联合社、创新组织体系、服务体系和农村金融体系</w:t>
            </w:r>
          </w:p>
        </w:tc>
        <w:tc>
          <w:tcPr>
            <w:tcW w:w="2877" w:type="dxa"/>
            <w:noWrap w:val="0"/>
            <w:vAlign w:val="center"/>
          </w:tcPr>
          <w:p>
            <w:pPr>
              <w:spacing w:line="300" w:lineRule="exact"/>
              <w:jc w:val="left"/>
              <w:rPr>
                <w:rFonts w:hint="eastAsia" w:ascii="方正书宋_GBK" w:eastAsia="方正书宋_GBK"/>
              </w:rPr>
            </w:pPr>
            <w:r>
              <w:rPr>
                <w:rFonts w:hint="eastAsia" w:ascii="方正书宋_GBK" w:eastAsia="方正书宋_GBK"/>
              </w:rPr>
              <w:t>紧紧围绕</w:t>
            </w:r>
            <w:r>
              <w:rPr>
                <w:rFonts w:hint="cs" w:ascii="方正书宋_GBK" w:eastAsia="方正书宋_GBK"/>
                <w:cs/>
              </w:rPr>
              <w:t>“</w:t>
            </w:r>
            <w:r>
              <w:rPr>
                <w:rFonts w:hint="eastAsia" w:ascii="方正书宋_GBK" w:eastAsia="方正书宋_GBK"/>
              </w:rPr>
              <w:t>三农</w:t>
            </w:r>
            <w:r>
              <w:rPr>
                <w:rFonts w:hint="cs" w:ascii="方正书宋_GBK" w:eastAsia="方正书宋_GBK"/>
                <w:cs/>
              </w:rPr>
              <w:t>”</w:t>
            </w:r>
            <w:r>
              <w:rPr>
                <w:rFonts w:hint="eastAsia" w:ascii="方正书宋_GBK" w:eastAsia="方正书宋_GBK"/>
              </w:rPr>
              <w:t>工作大局，以密切与农民利益联结为核心，以提升为农服务能力为根本，以强化基</w:t>
            </w:r>
            <w:r>
              <w:rPr>
                <w:rFonts w:ascii="方正书宋_GBK" w:eastAsia="方正书宋_GBK"/>
              </w:rPr>
              <w:t xml:space="preserve"> </w:t>
            </w:r>
            <w:r>
              <w:rPr>
                <w:rFonts w:hint="eastAsia" w:ascii="方正书宋_GBK" w:eastAsia="方正书宋_GBK"/>
              </w:rPr>
              <w:t>层社和创新联合社治理机制为重点，按照政事分开、社企分开的方向，推进体制改革和机制创新，加快建成适应社会主义市场经济需要、适应城乡发展一体化需要、适应中国特色农业现代化需要的组织体系和服务机制。</w:t>
            </w:r>
          </w:p>
        </w:tc>
        <w:tc>
          <w:tcPr>
            <w:tcW w:w="1371" w:type="dxa"/>
            <w:noWrap w:val="0"/>
            <w:vAlign w:val="center"/>
          </w:tcPr>
          <w:p>
            <w:pPr>
              <w:spacing w:line="300" w:lineRule="exact"/>
              <w:jc w:val="left"/>
              <w:rPr>
                <w:rFonts w:hint="eastAsia" w:ascii="方正书宋_GBK" w:eastAsia="方正书宋_GBK"/>
              </w:rPr>
            </w:pPr>
          </w:p>
        </w:tc>
        <w:tc>
          <w:tcPr>
            <w:tcW w:w="712" w:type="dxa"/>
            <w:noWrap w:val="0"/>
            <w:vAlign w:val="center"/>
          </w:tcPr>
          <w:p>
            <w:pPr>
              <w:spacing w:line="300" w:lineRule="exact"/>
              <w:jc w:val="center"/>
              <w:rPr>
                <w:rFonts w:hint="eastAsia" w:ascii="方正书宋_GBK" w:eastAsia="方正书宋_GBK"/>
              </w:rPr>
            </w:pPr>
          </w:p>
        </w:tc>
        <w:tc>
          <w:tcPr>
            <w:tcW w:w="713" w:type="dxa"/>
            <w:noWrap w:val="0"/>
            <w:vAlign w:val="center"/>
          </w:tcPr>
          <w:p>
            <w:pPr>
              <w:spacing w:line="300" w:lineRule="exact"/>
              <w:jc w:val="center"/>
              <w:rPr>
                <w:rFonts w:hint="eastAsia" w:ascii="方正书宋_GBK" w:eastAsia="方正书宋_GBK"/>
              </w:rPr>
            </w:pPr>
          </w:p>
        </w:tc>
        <w:tc>
          <w:tcPr>
            <w:tcW w:w="712" w:type="dxa"/>
            <w:noWrap w:val="0"/>
            <w:vAlign w:val="center"/>
          </w:tcPr>
          <w:p>
            <w:pPr>
              <w:spacing w:line="300" w:lineRule="exact"/>
              <w:jc w:val="center"/>
              <w:rPr>
                <w:rFonts w:hint="eastAsia" w:ascii="方正书宋_GBK" w:eastAsia="方正书宋_GBK"/>
              </w:rPr>
            </w:pPr>
          </w:p>
        </w:tc>
        <w:tc>
          <w:tcPr>
            <w:tcW w:w="714" w:type="dxa"/>
            <w:noWrap w:val="0"/>
            <w:vAlign w:val="center"/>
          </w:tcPr>
          <w:p>
            <w:pPr>
              <w:spacing w:line="300" w:lineRule="exact"/>
              <w:jc w:val="center"/>
              <w:rPr>
                <w:rFonts w:hint="eastAsia" w:ascii="方正书宋_GBK" w:eastAsia="方正书宋_GBK"/>
              </w:rPr>
            </w:pP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组织体系建设</w:t>
            </w:r>
          </w:p>
        </w:tc>
        <w:tc>
          <w:tcPr>
            <w:tcW w:w="1235" w:type="dxa"/>
            <w:vMerge w:val="restart"/>
            <w:noWrap w:val="0"/>
            <w:vAlign w:val="center"/>
          </w:tcPr>
          <w:p>
            <w:pPr>
              <w:spacing w:line="300" w:lineRule="exact"/>
              <w:jc w:val="left"/>
              <w:rPr>
                <w:rFonts w:ascii="方正书宋_GBK" w:eastAsia="方正书宋_GBK"/>
              </w:rPr>
            </w:pPr>
          </w:p>
        </w:tc>
        <w:tc>
          <w:tcPr>
            <w:tcW w:w="2878"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以供销合作社体系为依托，自下而上组建农民合作社联合社</w:t>
            </w:r>
          </w:p>
        </w:tc>
        <w:tc>
          <w:tcPr>
            <w:tcW w:w="2877"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组建农民合作社联合社</w:t>
            </w: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联合农民专业合作社个数</w:t>
            </w:r>
          </w:p>
        </w:tc>
        <w:tc>
          <w:tcPr>
            <w:tcW w:w="712" w:type="dxa"/>
            <w:noWrap w:val="0"/>
            <w:vAlign w:val="center"/>
          </w:tcPr>
          <w:p>
            <w:pPr>
              <w:spacing w:line="300" w:lineRule="exact"/>
              <w:jc w:val="center"/>
              <w:rPr>
                <w:rFonts w:hint="eastAsia" w:ascii="方正书宋_GBK" w:eastAsia="方正书宋_GBK"/>
              </w:rPr>
            </w:pPr>
            <w:r>
              <w:rPr>
                <w:rFonts w:ascii="方正书宋_GBK" w:eastAsia="方正书宋_GBK"/>
              </w:rPr>
              <w:t>10</w:t>
            </w:r>
          </w:p>
        </w:tc>
        <w:tc>
          <w:tcPr>
            <w:tcW w:w="713" w:type="dxa"/>
            <w:noWrap w:val="0"/>
            <w:vAlign w:val="center"/>
          </w:tcPr>
          <w:p>
            <w:pPr>
              <w:spacing w:line="300" w:lineRule="exact"/>
              <w:jc w:val="center"/>
              <w:rPr>
                <w:rFonts w:hint="eastAsia" w:ascii="方正书宋_GBK" w:eastAsia="方正书宋_GBK"/>
              </w:rPr>
            </w:pPr>
            <w:r>
              <w:rPr>
                <w:rFonts w:ascii="方正书宋_GBK" w:eastAsia="方正书宋_GBK"/>
              </w:rPr>
              <w:t>7</w:t>
            </w:r>
          </w:p>
        </w:tc>
        <w:tc>
          <w:tcPr>
            <w:tcW w:w="712" w:type="dxa"/>
            <w:noWrap w:val="0"/>
            <w:vAlign w:val="center"/>
          </w:tcPr>
          <w:p>
            <w:pPr>
              <w:spacing w:line="300" w:lineRule="exact"/>
              <w:jc w:val="center"/>
              <w:rPr>
                <w:rFonts w:hint="eastAsia" w:ascii="方正书宋_GBK" w:eastAsia="方正书宋_GBK"/>
              </w:rPr>
            </w:pPr>
            <w:r>
              <w:rPr>
                <w:rFonts w:ascii="方正书宋_GBK" w:eastAsia="方正书宋_GBK"/>
              </w:rPr>
              <w:t>5</w:t>
            </w:r>
          </w:p>
        </w:tc>
        <w:tc>
          <w:tcPr>
            <w:tcW w:w="714" w:type="dxa"/>
            <w:noWrap w:val="0"/>
            <w:vAlign w:val="center"/>
          </w:tcPr>
          <w:p>
            <w:pPr>
              <w:spacing w:line="300" w:lineRule="exact"/>
              <w:jc w:val="center"/>
              <w:rPr>
                <w:rFonts w:hint="eastAsia" w:ascii="方正书宋_GBK" w:eastAsia="方正书宋_GBK"/>
              </w:rPr>
            </w:pPr>
            <w:r>
              <w:rPr>
                <w:rFonts w:ascii="方正书宋_GBK" w:eastAsia="方正书宋_GBK"/>
              </w:rPr>
              <w:t>3</w:t>
            </w:r>
          </w:p>
        </w:tc>
        <w:tc>
          <w:tcPr>
            <w:tcW w:w="69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continue"/>
            <w:noWrap w:val="0"/>
            <w:vAlign w:val="center"/>
          </w:tcPr>
          <w:p>
            <w:pPr>
              <w:spacing w:line="300" w:lineRule="exact"/>
              <w:jc w:val="left"/>
              <w:rPr>
                <w:rFonts w:hint="eastAsia" w:ascii="方正书宋_GBK" w:eastAsia="方正书宋_GBK"/>
                <w:b/>
              </w:rPr>
            </w:pPr>
          </w:p>
        </w:tc>
        <w:tc>
          <w:tcPr>
            <w:tcW w:w="1235" w:type="dxa"/>
            <w:vMerge w:val="continue"/>
            <w:noWrap w:val="0"/>
            <w:vAlign w:val="center"/>
          </w:tcPr>
          <w:p>
            <w:pPr>
              <w:spacing w:line="300" w:lineRule="exact"/>
              <w:jc w:val="left"/>
              <w:rPr>
                <w:rFonts w:ascii="方正书宋_GBK" w:eastAsia="方正书宋_GBK"/>
              </w:rPr>
            </w:pPr>
          </w:p>
        </w:tc>
        <w:tc>
          <w:tcPr>
            <w:tcW w:w="2878" w:type="dxa"/>
            <w:vMerge w:val="continue"/>
            <w:noWrap w:val="0"/>
            <w:vAlign w:val="center"/>
          </w:tcPr>
          <w:p>
            <w:pPr>
              <w:spacing w:line="300" w:lineRule="exact"/>
              <w:jc w:val="left"/>
              <w:rPr>
                <w:rFonts w:hint="eastAsia" w:ascii="方正书宋_GBK" w:eastAsia="方正书宋_GBK"/>
              </w:rPr>
            </w:pPr>
          </w:p>
        </w:tc>
        <w:tc>
          <w:tcPr>
            <w:tcW w:w="2877" w:type="dxa"/>
            <w:vMerge w:val="continue"/>
            <w:noWrap w:val="0"/>
            <w:vAlign w:val="center"/>
          </w:tcPr>
          <w:p>
            <w:pPr>
              <w:spacing w:line="300" w:lineRule="exact"/>
              <w:jc w:val="left"/>
              <w:rPr>
                <w:rFonts w:hint="eastAsia" w:ascii="方正书宋_GBK" w:eastAsia="方正书宋_GBK"/>
              </w:rPr>
            </w:pP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带动区域内产业发展个数</w:t>
            </w:r>
          </w:p>
        </w:tc>
        <w:tc>
          <w:tcPr>
            <w:tcW w:w="712" w:type="dxa"/>
            <w:noWrap w:val="0"/>
            <w:vAlign w:val="center"/>
          </w:tcPr>
          <w:p>
            <w:pPr>
              <w:spacing w:line="300" w:lineRule="exact"/>
              <w:jc w:val="center"/>
              <w:rPr>
                <w:rFonts w:ascii="方正书宋_GBK" w:eastAsia="方正书宋_GBK"/>
              </w:rPr>
            </w:pPr>
            <w:r>
              <w:rPr>
                <w:rFonts w:ascii="方正书宋_GBK" w:eastAsia="方正书宋_GBK"/>
              </w:rPr>
              <w:t>2</w:t>
            </w:r>
          </w:p>
        </w:tc>
        <w:tc>
          <w:tcPr>
            <w:tcW w:w="713" w:type="dxa"/>
            <w:noWrap w:val="0"/>
            <w:vAlign w:val="center"/>
          </w:tcPr>
          <w:p>
            <w:pPr>
              <w:spacing w:line="300" w:lineRule="exact"/>
              <w:jc w:val="center"/>
              <w:rPr>
                <w:rFonts w:ascii="方正书宋_GBK" w:eastAsia="方正书宋_GBK"/>
              </w:rPr>
            </w:pPr>
            <w:r>
              <w:rPr>
                <w:rFonts w:ascii="方正书宋_GBK" w:eastAsia="方正书宋_GBK"/>
              </w:rPr>
              <w:t>1</w:t>
            </w:r>
          </w:p>
        </w:tc>
        <w:tc>
          <w:tcPr>
            <w:tcW w:w="712" w:type="dxa"/>
            <w:noWrap w:val="0"/>
            <w:vAlign w:val="center"/>
          </w:tcPr>
          <w:p>
            <w:pPr>
              <w:spacing w:line="300" w:lineRule="exact"/>
              <w:jc w:val="center"/>
              <w:rPr>
                <w:rFonts w:ascii="方正书宋_GBK" w:eastAsia="方正书宋_GBK"/>
              </w:rPr>
            </w:pPr>
          </w:p>
        </w:tc>
        <w:tc>
          <w:tcPr>
            <w:tcW w:w="714" w:type="dxa"/>
            <w:noWrap w:val="0"/>
            <w:vAlign w:val="center"/>
          </w:tcPr>
          <w:p>
            <w:pPr>
              <w:spacing w:line="300" w:lineRule="exact"/>
              <w:jc w:val="center"/>
              <w:rPr>
                <w:rFonts w:ascii="方正书宋_GBK" w:eastAsia="方正书宋_GBK"/>
              </w:rPr>
            </w:pPr>
            <w:r>
              <w:rPr>
                <w:rFonts w:ascii="方正书宋_GBK" w:eastAsia="方正书宋_GBK"/>
              </w:rPr>
              <w:t>0</w:t>
            </w:r>
          </w:p>
        </w:tc>
        <w:tc>
          <w:tcPr>
            <w:tcW w:w="69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服务体系建设</w:t>
            </w:r>
          </w:p>
        </w:tc>
        <w:tc>
          <w:tcPr>
            <w:tcW w:w="1235" w:type="dxa"/>
            <w:vMerge w:val="restart"/>
            <w:noWrap w:val="0"/>
            <w:vAlign w:val="center"/>
          </w:tcPr>
          <w:p>
            <w:pPr>
              <w:spacing w:line="300" w:lineRule="exact"/>
              <w:jc w:val="left"/>
              <w:rPr>
                <w:rFonts w:ascii="方正书宋_GBK" w:eastAsia="方正书宋_GBK"/>
              </w:rPr>
            </w:pPr>
          </w:p>
        </w:tc>
        <w:tc>
          <w:tcPr>
            <w:tcW w:w="2878"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供销合作社要把为农服务放在首位。面向农业现代化、面向农民生产生活，推动供销合作社由流通服务向全程农业社会化服务延伸、向全方位城乡社区服务拓展，</w:t>
            </w:r>
            <w:r>
              <w:rPr>
                <w:rFonts w:ascii="方正书宋_GBK" w:eastAsia="方正书宋_GBK"/>
              </w:rPr>
              <w:t xml:space="preserve"> </w:t>
            </w:r>
            <w:r>
              <w:rPr>
                <w:rFonts w:hint="eastAsia" w:ascii="方正书宋_GBK" w:eastAsia="方正书宋_GBK"/>
              </w:rPr>
              <w:t>加快形成综合性、规模化、可持续的为农服务体系，在农资供应、农产品流通、农民技能培训等重点领域和环节为农民提供便利实惠、安全优质的服务</w:t>
            </w:r>
          </w:p>
        </w:tc>
        <w:tc>
          <w:tcPr>
            <w:tcW w:w="2877"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把供销合作社系统打造成为与农民联结更紧密、为农服务功能更完备、市场化运行更高效的合作经济组织体系，成为服务农民生产生活的生力军和综合平台，成为党和政府密切联系农民群众的桥梁纽带，切实在农业现代化建设中更好地发挥作用。</w:t>
            </w: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示范性培训新型农民和农村实用技能人才人次</w:t>
            </w:r>
          </w:p>
        </w:tc>
        <w:tc>
          <w:tcPr>
            <w:tcW w:w="712" w:type="dxa"/>
            <w:noWrap w:val="0"/>
            <w:vAlign w:val="center"/>
          </w:tcPr>
          <w:p>
            <w:pPr>
              <w:spacing w:line="300" w:lineRule="exact"/>
              <w:jc w:val="center"/>
              <w:rPr>
                <w:rFonts w:ascii="方正书宋_GBK" w:eastAsia="方正书宋_GBK"/>
              </w:rPr>
            </w:pPr>
            <w:r>
              <w:rPr>
                <w:rFonts w:ascii="方正书宋_GBK" w:eastAsia="方正书宋_GBK"/>
              </w:rPr>
              <w:t>200</w:t>
            </w:r>
            <w:r>
              <w:rPr>
                <w:rFonts w:hint="eastAsia" w:ascii="方正书宋_GBK" w:eastAsia="方正书宋_GBK"/>
              </w:rPr>
              <w:t>以上</w:t>
            </w:r>
          </w:p>
        </w:tc>
        <w:tc>
          <w:tcPr>
            <w:tcW w:w="713" w:type="dxa"/>
            <w:noWrap w:val="0"/>
            <w:vAlign w:val="center"/>
          </w:tcPr>
          <w:p>
            <w:pPr>
              <w:spacing w:line="300" w:lineRule="exact"/>
              <w:jc w:val="center"/>
              <w:rPr>
                <w:rFonts w:ascii="方正书宋_GBK" w:eastAsia="方正书宋_GBK"/>
              </w:rPr>
            </w:pPr>
          </w:p>
        </w:tc>
        <w:tc>
          <w:tcPr>
            <w:tcW w:w="712" w:type="dxa"/>
            <w:noWrap w:val="0"/>
            <w:vAlign w:val="center"/>
          </w:tcPr>
          <w:p>
            <w:pPr>
              <w:spacing w:line="300" w:lineRule="exact"/>
              <w:jc w:val="center"/>
              <w:rPr>
                <w:rFonts w:ascii="方正书宋_GBK" w:eastAsia="方正书宋_GBK"/>
              </w:rPr>
            </w:pPr>
          </w:p>
        </w:tc>
        <w:tc>
          <w:tcPr>
            <w:tcW w:w="714" w:type="dxa"/>
            <w:noWrap w:val="0"/>
            <w:vAlign w:val="center"/>
          </w:tcPr>
          <w:p>
            <w:pPr>
              <w:spacing w:line="300" w:lineRule="exact"/>
              <w:jc w:val="center"/>
              <w:rPr>
                <w:rFonts w:ascii="方正书宋_GBK" w:eastAsia="方正书宋_GBK"/>
              </w:rPr>
            </w:pPr>
            <w:r>
              <w:rPr>
                <w:rFonts w:ascii="方正书宋_GBK" w:eastAsia="方正书宋_GBK"/>
              </w:rPr>
              <w:t>200</w:t>
            </w:r>
            <w:r>
              <w:rPr>
                <w:rFonts w:hint="eastAsia" w:ascii="方正书宋_GBK" w:eastAsia="方正书宋_GBK"/>
              </w:rPr>
              <w:t>以下</w:t>
            </w:r>
          </w:p>
        </w:tc>
        <w:tc>
          <w:tcPr>
            <w:tcW w:w="69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continue"/>
            <w:noWrap w:val="0"/>
            <w:vAlign w:val="center"/>
          </w:tcPr>
          <w:p>
            <w:pPr>
              <w:spacing w:line="300" w:lineRule="exact"/>
              <w:jc w:val="left"/>
              <w:rPr>
                <w:rFonts w:hint="eastAsia" w:ascii="方正书宋_GBK" w:eastAsia="方正书宋_GBK"/>
                <w:b/>
              </w:rPr>
            </w:pPr>
          </w:p>
        </w:tc>
        <w:tc>
          <w:tcPr>
            <w:tcW w:w="1235" w:type="dxa"/>
            <w:vMerge w:val="continue"/>
            <w:noWrap w:val="0"/>
            <w:vAlign w:val="center"/>
          </w:tcPr>
          <w:p>
            <w:pPr>
              <w:spacing w:line="300" w:lineRule="exact"/>
              <w:jc w:val="left"/>
              <w:rPr>
                <w:rFonts w:ascii="方正书宋_GBK" w:eastAsia="方正书宋_GBK"/>
              </w:rPr>
            </w:pPr>
          </w:p>
        </w:tc>
        <w:tc>
          <w:tcPr>
            <w:tcW w:w="2878" w:type="dxa"/>
            <w:vMerge w:val="continue"/>
            <w:noWrap w:val="0"/>
            <w:vAlign w:val="center"/>
          </w:tcPr>
          <w:p>
            <w:pPr>
              <w:spacing w:line="300" w:lineRule="exact"/>
              <w:jc w:val="left"/>
              <w:rPr>
                <w:rFonts w:hint="eastAsia" w:ascii="方正书宋_GBK" w:eastAsia="方正书宋_GBK"/>
              </w:rPr>
            </w:pPr>
          </w:p>
        </w:tc>
        <w:tc>
          <w:tcPr>
            <w:tcW w:w="2877" w:type="dxa"/>
            <w:vMerge w:val="continue"/>
            <w:noWrap w:val="0"/>
            <w:vAlign w:val="center"/>
          </w:tcPr>
          <w:p>
            <w:pPr>
              <w:spacing w:line="300" w:lineRule="exact"/>
              <w:jc w:val="left"/>
              <w:rPr>
                <w:rFonts w:hint="eastAsia" w:ascii="方正书宋_GBK" w:eastAsia="方正书宋_GBK"/>
              </w:rPr>
            </w:pP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服务体系覆盖率</w:t>
            </w:r>
          </w:p>
        </w:tc>
        <w:tc>
          <w:tcPr>
            <w:tcW w:w="712"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13"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12"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14"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continue"/>
            <w:noWrap w:val="0"/>
            <w:vAlign w:val="center"/>
          </w:tcPr>
          <w:p>
            <w:pPr>
              <w:spacing w:line="300" w:lineRule="exact"/>
              <w:jc w:val="left"/>
              <w:rPr>
                <w:rFonts w:hint="eastAsia" w:ascii="方正书宋_GBK" w:eastAsia="方正书宋_GBK"/>
                <w:b/>
              </w:rPr>
            </w:pPr>
          </w:p>
        </w:tc>
        <w:tc>
          <w:tcPr>
            <w:tcW w:w="1235" w:type="dxa"/>
            <w:vMerge w:val="continue"/>
            <w:noWrap w:val="0"/>
            <w:vAlign w:val="center"/>
          </w:tcPr>
          <w:p>
            <w:pPr>
              <w:spacing w:line="300" w:lineRule="exact"/>
              <w:jc w:val="left"/>
              <w:rPr>
                <w:rFonts w:ascii="方正书宋_GBK" w:eastAsia="方正书宋_GBK"/>
              </w:rPr>
            </w:pPr>
          </w:p>
        </w:tc>
        <w:tc>
          <w:tcPr>
            <w:tcW w:w="2878" w:type="dxa"/>
            <w:vMerge w:val="continue"/>
            <w:noWrap w:val="0"/>
            <w:vAlign w:val="center"/>
          </w:tcPr>
          <w:p>
            <w:pPr>
              <w:spacing w:line="300" w:lineRule="exact"/>
              <w:jc w:val="left"/>
              <w:rPr>
                <w:rFonts w:hint="eastAsia" w:ascii="方正书宋_GBK" w:eastAsia="方正书宋_GBK"/>
              </w:rPr>
            </w:pPr>
          </w:p>
        </w:tc>
        <w:tc>
          <w:tcPr>
            <w:tcW w:w="2877" w:type="dxa"/>
            <w:vMerge w:val="continue"/>
            <w:noWrap w:val="0"/>
            <w:vAlign w:val="center"/>
          </w:tcPr>
          <w:p>
            <w:pPr>
              <w:spacing w:line="300" w:lineRule="exact"/>
              <w:jc w:val="left"/>
              <w:rPr>
                <w:rFonts w:hint="eastAsia" w:ascii="方正书宋_GBK" w:eastAsia="方正书宋_GBK"/>
              </w:rPr>
            </w:pP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冀农村社区综合服务中心（社、站）数量</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130</w:t>
            </w:r>
          </w:p>
        </w:tc>
        <w:tc>
          <w:tcPr>
            <w:tcW w:w="713"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104</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65</w:t>
            </w:r>
          </w:p>
        </w:tc>
        <w:tc>
          <w:tcPr>
            <w:tcW w:w="714"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65</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创新农村金融体系建设</w:t>
            </w:r>
          </w:p>
        </w:tc>
        <w:tc>
          <w:tcPr>
            <w:tcW w:w="1235" w:type="dxa"/>
            <w:vMerge w:val="restart"/>
            <w:noWrap w:val="0"/>
            <w:vAlign w:val="center"/>
          </w:tcPr>
          <w:p>
            <w:pPr>
              <w:spacing w:line="300" w:lineRule="exact"/>
              <w:jc w:val="left"/>
              <w:rPr>
                <w:rFonts w:ascii="方正书宋_GBK" w:eastAsia="方正书宋_GBK"/>
              </w:rPr>
            </w:pPr>
          </w:p>
        </w:tc>
        <w:tc>
          <w:tcPr>
            <w:tcW w:w="2878"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创新金融服务方式和手段，创建农村合作金融服务体系，以企业为主体，以市场为导向，通过组织上积极引导、利益上不断凝聚、服务上广泛吸引，整合投资管理、农村产权交易、农村资金互助、小额贷款、村镇银行、互联网金融、融资担保、合作保险、金融租赁和农产品电商等业态，稳步开展农村合作金融服务，实现服务三农、普惠金融目标，真正将供销社打造成上下贯通、利益链接、一体化运营的为农服务的生力军和综合平台</w:t>
            </w:r>
          </w:p>
        </w:tc>
        <w:tc>
          <w:tcPr>
            <w:tcW w:w="2877"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创建农村合作金融体系</w:t>
            </w:r>
            <w:r>
              <w:rPr>
                <w:rFonts w:ascii="方正书宋_GBK" w:eastAsia="方正书宋_GBK"/>
              </w:rPr>
              <w:t>,</w:t>
            </w:r>
            <w:r>
              <w:rPr>
                <w:rFonts w:hint="eastAsia" w:ascii="方正书宋_GBK" w:eastAsia="方正书宋_GBK"/>
              </w:rPr>
              <w:t>拓宽</w:t>
            </w:r>
            <w:r>
              <w:rPr>
                <w:rFonts w:hint="cs" w:ascii="方正书宋_GBK" w:eastAsia="方正书宋_GBK"/>
                <w:cs/>
              </w:rPr>
              <w:t>“</w:t>
            </w:r>
            <w:r>
              <w:rPr>
                <w:rFonts w:hint="eastAsia" w:ascii="方正书宋_GBK" w:eastAsia="方正书宋_GBK"/>
              </w:rPr>
              <w:t>三农</w:t>
            </w:r>
            <w:r>
              <w:rPr>
                <w:rFonts w:hint="cs" w:ascii="方正书宋_GBK" w:eastAsia="方正书宋_GBK"/>
                <w:cs/>
              </w:rPr>
              <w:t>”</w:t>
            </w:r>
            <w:r>
              <w:rPr>
                <w:rFonts w:hint="eastAsia" w:ascii="方正书宋_GBK" w:eastAsia="方正书宋_GBK"/>
              </w:rPr>
              <w:t>融资的渠道，按照统一要求、标准、计划，完成各项工作的建设任务，实现供销社合作金融体系上下贯通、利益链接、一体化运营。初步实现供销金融超市全县基层全覆盖</w:t>
            </w: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建设金融超市和村级助农服务网点数量（家）</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13" w:type="dxa"/>
            <w:noWrap w:val="0"/>
            <w:vAlign w:val="center"/>
          </w:tcPr>
          <w:p>
            <w:pPr>
              <w:spacing w:line="300" w:lineRule="exact"/>
              <w:jc w:val="center"/>
              <w:rPr>
                <w:rFonts w:hint="eastAsia" w:ascii="方正书宋_GBK" w:eastAsia="方正书宋_GBK"/>
              </w:rPr>
            </w:pPr>
          </w:p>
        </w:tc>
        <w:tc>
          <w:tcPr>
            <w:tcW w:w="712" w:type="dxa"/>
            <w:noWrap w:val="0"/>
            <w:vAlign w:val="center"/>
          </w:tcPr>
          <w:p>
            <w:pPr>
              <w:spacing w:line="300" w:lineRule="exact"/>
              <w:jc w:val="center"/>
              <w:rPr>
                <w:rFonts w:hint="eastAsia" w:ascii="方正书宋_GBK" w:eastAsia="方正书宋_GBK"/>
              </w:rPr>
            </w:pPr>
          </w:p>
        </w:tc>
        <w:tc>
          <w:tcPr>
            <w:tcW w:w="714" w:type="dxa"/>
            <w:noWrap w:val="0"/>
            <w:vAlign w:val="center"/>
          </w:tcPr>
          <w:p>
            <w:pPr>
              <w:spacing w:line="300" w:lineRule="exact"/>
              <w:jc w:val="center"/>
              <w:rPr>
                <w:rFonts w:hint="eastAsia" w:ascii="方正书宋_GBK" w:eastAsia="方正书宋_GBK"/>
              </w:rPr>
            </w:pPr>
            <w:r>
              <w:rPr>
                <w:rFonts w:ascii="方正书宋_GBK" w:eastAsia="方正书宋_GBK"/>
              </w:rPr>
              <w:t>&lt;5</w:t>
            </w:r>
          </w:p>
        </w:tc>
        <w:tc>
          <w:tcPr>
            <w:tcW w:w="69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continue"/>
            <w:noWrap w:val="0"/>
            <w:vAlign w:val="center"/>
          </w:tcPr>
          <w:p>
            <w:pPr>
              <w:spacing w:line="300" w:lineRule="exact"/>
              <w:jc w:val="left"/>
              <w:rPr>
                <w:rFonts w:hint="eastAsia" w:ascii="方正书宋_GBK" w:eastAsia="方正书宋_GBK"/>
                <w:b/>
              </w:rPr>
            </w:pPr>
          </w:p>
        </w:tc>
        <w:tc>
          <w:tcPr>
            <w:tcW w:w="1235" w:type="dxa"/>
            <w:vMerge w:val="continue"/>
            <w:noWrap w:val="0"/>
            <w:vAlign w:val="center"/>
          </w:tcPr>
          <w:p>
            <w:pPr>
              <w:spacing w:line="300" w:lineRule="exact"/>
              <w:jc w:val="left"/>
              <w:rPr>
                <w:rFonts w:ascii="方正书宋_GBK" w:eastAsia="方正书宋_GBK"/>
              </w:rPr>
            </w:pPr>
          </w:p>
        </w:tc>
        <w:tc>
          <w:tcPr>
            <w:tcW w:w="2878" w:type="dxa"/>
            <w:vMerge w:val="continue"/>
            <w:noWrap w:val="0"/>
            <w:vAlign w:val="center"/>
          </w:tcPr>
          <w:p>
            <w:pPr>
              <w:spacing w:line="300" w:lineRule="exact"/>
              <w:jc w:val="left"/>
              <w:rPr>
                <w:rFonts w:hint="eastAsia" w:ascii="方正书宋_GBK" w:eastAsia="方正书宋_GBK"/>
              </w:rPr>
            </w:pPr>
          </w:p>
        </w:tc>
        <w:tc>
          <w:tcPr>
            <w:tcW w:w="2877" w:type="dxa"/>
            <w:vMerge w:val="continue"/>
            <w:noWrap w:val="0"/>
            <w:vAlign w:val="center"/>
          </w:tcPr>
          <w:p>
            <w:pPr>
              <w:spacing w:line="300" w:lineRule="exact"/>
              <w:jc w:val="left"/>
              <w:rPr>
                <w:rFonts w:hint="eastAsia" w:ascii="方正书宋_GBK" w:eastAsia="方正书宋_GBK"/>
              </w:rPr>
            </w:pP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金融超市和村级助农服务网点数量（家）</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13" w:type="dxa"/>
            <w:noWrap w:val="0"/>
            <w:vAlign w:val="center"/>
          </w:tcPr>
          <w:p>
            <w:pPr>
              <w:spacing w:line="300" w:lineRule="exact"/>
              <w:jc w:val="center"/>
              <w:rPr>
                <w:rFonts w:hint="eastAsia" w:ascii="方正书宋_GBK" w:eastAsia="方正书宋_GBK"/>
              </w:rPr>
            </w:pPr>
          </w:p>
        </w:tc>
        <w:tc>
          <w:tcPr>
            <w:tcW w:w="712" w:type="dxa"/>
            <w:noWrap w:val="0"/>
            <w:vAlign w:val="center"/>
          </w:tcPr>
          <w:p>
            <w:pPr>
              <w:spacing w:line="300" w:lineRule="exact"/>
              <w:jc w:val="center"/>
              <w:rPr>
                <w:rFonts w:hint="eastAsia" w:ascii="方正书宋_GBK" w:eastAsia="方正书宋_GBK"/>
              </w:rPr>
            </w:pPr>
          </w:p>
        </w:tc>
        <w:tc>
          <w:tcPr>
            <w:tcW w:w="714" w:type="dxa"/>
            <w:noWrap w:val="0"/>
            <w:vAlign w:val="center"/>
          </w:tcPr>
          <w:p>
            <w:pPr>
              <w:spacing w:line="300" w:lineRule="exact"/>
              <w:jc w:val="center"/>
              <w:rPr>
                <w:rFonts w:ascii="方正书宋_GBK" w:eastAsia="方正书宋_GBK"/>
              </w:rPr>
            </w:pPr>
            <w:r>
              <w:rPr>
                <w:rFonts w:ascii="方正书宋_GBK" w:eastAsia="方正书宋_GBK"/>
              </w:rPr>
              <w:t>&lt;50</w:t>
            </w:r>
          </w:p>
        </w:tc>
        <w:tc>
          <w:tcPr>
            <w:tcW w:w="69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物资储备管理</w:t>
            </w:r>
          </w:p>
        </w:tc>
        <w:tc>
          <w:tcPr>
            <w:tcW w:w="1235" w:type="dxa"/>
            <w:noWrap w:val="0"/>
            <w:vAlign w:val="center"/>
          </w:tcPr>
          <w:p>
            <w:pPr>
              <w:spacing w:line="300" w:lineRule="exact"/>
              <w:jc w:val="left"/>
              <w:rPr>
                <w:rFonts w:ascii="方正书宋_GBK" w:eastAsia="方正书宋_GBK"/>
              </w:rPr>
            </w:pPr>
          </w:p>
        </w:tc>
        <w:tc>
          <w:tcPr>
            <w:tcW w:w="2878"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按照政府授权，承担管理棉花、化肥、农药、羊毛、食盐及救灾物资等重要物资的储备任务</w:t>
            </w:r>
          </w:p>
        </w:tc>
        <w:tc>
          <w:tcPr>
            <w:tcW w:w="2877" w:type="dxa"/>
            <w:noWrap w:val="0"/>
            <w:vAlign w:val="center"/>
          </w:tcPr>
          <w:p>
            <w:pPr>
              <w:spacing w:line="300" w:lineRule="exact"/>
              <w:jc w:val="left"/>
              <w:rPr>
                <w:rFonts w:hint="eastAsia" w:ascii="方正书宋_GBK" w:eastAsia="方正书宋_GBK"/>
              </w:rPr>
            </w:pPr>
            <w:r>
              <w:rPr>
                <w:rFonts w:hint="eastAsia" w:ascii="方正书宋_GBK" w:eastAsia="方正书宋_GBK"/>
              </w:rPr>
              <w:t>充分发挥供销社在流通领域的应急调控作用</w:t>
            </w:r>
          </w:p>
        </w:tc>
        <w:tc>
          <w:tcPr>
            <w:tcW w:w="1371" w:type="dxa"/>
            <w:noWrap w:val="0"/>
            <w:vAlign w:val="center"/>
          </w:tcPr>
          <w:p>
            <w:pPr>
              <w:spacing w:line="300" w:lineRule="exact"/>
              <w:jc w:val="left"/>
              <w:rPr>
                <w:rFonts w:hint="eastAsia" w:ascii="方正书宋_GBK" w:eastAsia="方正书宋_GBK"/>
              </w:rPr>
            </w:pPr>
          </w:p>
        </w:tc>
        <w:tc>
          <w:tcPr>
            <w:tcW w:w="712" w:type="dxa"/>
            <w:noWrap w:val="0"/>
            <w:vAlign w:val="center"/>
          </w:tcPr>
          <w:p>
            <w:pPr>
              <w:spacing w:line="300" w:lineRule="exact"/>
              <w:jc w:val="center"/>
              <w:rPr>
                <w:rFonts w:hint="eastAsia" w:ascii="方正书宋_GBK" w:eastAsia="方正书宋_GBK"/>
              </w:rPr>
            </w:pPr>
          </w:p>
        </w:tc>
        <w:tc>
          <w:tcPr>
            <w:tcW w:w="713" w:type="dxa"/>
            <w:noWrap w:val="0"/>
            <w:vAlign w:val="center"/>
          </w:tcPr>
          <w:p>
            <w:pPr>
              <w:spacing w:line="300" w:lineRule="exact"/>
              <w:jc w:val="center"/>
              <w:rPr>
                <w:rFonts w:hint="eastAsia" w:ascii="方正书宋_GBK" w:eastAsia="方正书宋_GBK"/>
              </w:rPr>
            </w:pPr>
          </w:p>
        </w:tc>
        <w:tc>
          <w:tcPr>
            <w:tcW w:w="712" w:type="dxa"/>
            <w:noWrap w:val="0"/>
            <w:vAlign w:val="center"/>
          </w:tcPr>
          <w:p>
            <w:pPr>
              <w:spacing w:line="300" w:lineRule="exact"/>
              <w:jc w:val="center"/>
              <w:rPr>
                <w:rFonts w:hint="eastAsia" w:ascii="方正书宋_GBK" w:eastAsia="方正书宋_GBK"/>
              </w:rPr>
            </w:pPr>
          </w:p>
        </w:tc>
        <w:tc>
          <w:tcPr>
            <w:tcW w:w="714" w:type="dxa"/>
            <w:noWrap w:val="0"/>
            <w:vAlign w:val="center"/>
          </w:tcPr>
          <w:p>
            <w:pPr>
              <w:spacing w:line="300" w:lineRule="exact"/>
              <w:jc w:val="center"/>
              <w:rPr>
                <w:rFonts w:ascii="方正书宋_GBK" w:eastAsia="方正书宋_GBK"/>
              </w:rPr>
            </w:pPr>
          </w:p>
        </w:tc>
        <w:tc>
          <w:tcPr>
            <w:tcW w:w="69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重要商品物资储备及监管</w:t>
            </w:r>
          </w:p>
        </w:tc>
        <w:tc>
          <w:tcPr>
            <w:tcW w:w="1235" w:type="dxa"/>
            <w:vMerge w:val="restart"/>
            <w:noWrap w:val="0"/>
            <w:vAlign w:val="center"/>
          </w:tcPr>
          <w:p>
            <w:pPr>
              <w:spacing w:line="300" w:lineRule="exact"/>
              <w:jc w:val="left"/>
              <w:rPr>
                <w:rFonts w:ascii="方正书宋_GBK" w:eastAsia="方正书宋_GBK"/>
              </w:rPr>
            </w:pPr>
          </w:p>
        </w:tc>
        <w:tc>
          <w:tcPr>
            <w:tcW w:w="2878"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调节商品供求关系，稳定物价、保障市场供应、保证防汛救灾的需要、增强政府对市场的宏观调控能力和应急保障</w:t>
            </w:r>
          </w:p>
        </w:tc>
        <w:tc>
          <w:tcPr>
            <w:tcW w:w="2877"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安排、组织代储企业依据储备计划及时足额、保质保量做好储备商品的收储、轮换等工作</w:t>
            </w: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储备计划完成率</w:t>
            </w:r>
          </w:p>
        </w:tc>
        <w:tc>
          <w:tcPr>
            <w:tcW w:w="712" w:type="dxa"/>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13"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14"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continue"/>
            <w:noWrap w:val="0"/>
            <w:vAlign w:val="center"/>
          </w:tcPr>
          <w:p>
            <w:pPr>
              <w:spacing w:line="300" w:lineRule="exact"/>
              <w:jc w:val="left"/>
              <w:rPr>
                <w:rFonts w:hint="eastAsia" w:ascii="方正书宋_GBK" w:eastAsia="方正书宋_GBK"/>
                <w:b/>
              </w:rPr>
            </w:pPr>
          </w:p>
        </w:tc>
        <w:tc>
          <w:tcPr>
            <w:tcW w:w="1235" w:type="dxa"/>
            <w:vMerge w:val="continue"/>
            <w:noWrap w:val="0"/>
            <w:vAlign w:val="center"/>
          </w:tcPr>
          <w:p>
            <w:pPr>
              <w:spacing w:line="300" w:lineRule="exact"/>
              <w:jc w:val="left"/>
              <w:rPr>
                <w:rFonts w:ascii="方正书宋_GBK" w:eastAsia="方正书宋_GBK"/>
              </w:rPr>
            </w:pPr>
          </w:p>
        </w:tc>
        <w:tc>
          <w:tcPr>
            <w:tcW w:w="2878" w:type="dxa"/>
            <w:vMerge w:val="continue"/>
            <w:noWrap w:val="0"/>
            <w:vAlign w:val="center"/>
          </w:tcPr>
          <w:p>
            <w:pPr>
              <w:spacing w:line="300" w:lineRule="exact"/>
              <w:jc w:val="left"/>
              <w:rPr>
                <w:rFonts w:hint="eastAsia" w:ascii="方正书宋_GBK" w:eastAsia="方正书宋_GBK"/>
              </w:rPr>
            </w:pPr>
          </w:p>
        </w:tc>
        <w:tc>
          <w:tcPr>
            <w:tcW w:w="2877" w:type="dxa"/>
            <w:vMerge w:val="continue"/>
            <w:noWrap w:val="0"/>
            <w:vAlign w:val="center"/>
          </w:tcPr>
          <w:p>
            <w:pPr>
              <w:spacing w:line="300" w:lineRule="exact"/>
              <w:jc w:val="left"/>
              <w:rPr>
                <w:rFonts w:hint="eastAsia" w:ascii="方正书宋_GBK" w:eastAsia="方正书宋_GBK"/>
              </w:rPr>
            </w:pP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质量良好率</w:t>
            </w:r>
          </w:p>
        </w:tc>
        <w:tc>
          <w:tcPr>
            <w:tcW w:w="712"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13"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14"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盐务管理</w:t>
            </w:r>
          </w:p>
        </w:tc>
        <w:tc>
          <w:tcPr>
            <w:tcW w:w="1235" w:type="dxa"/>
            <w:noWrap w:val="0"/>
            <w:vAlign w:val="center"/>
          </w:tcPr>
          <w:p>
            <w:pPr>
              <w:spacing w:line="300" w:lineRule="exact"/>
              <w:jc w:val="left"/>
              <w:rPr>
                <w:rFonts w:ascii="方正书宋_GBK" w:eastAsia="方正书宋_GBK"/>
              </w:rPr>
            </w:pPr>
          </w:p>
        </w:tc>
        <w:tc>
          <w:tcPr>
            <w:tcW w:w="2878" w:type="dxa"/>
            <w:noWrap w:val="0"/>
            <w:vAlign w:val="center"/>
          </w:tcPr>
          <w:p>
            <w:pPr>
              <w:spacing w:line="300" w:lineRule="exact"/>
              <w:jc w:val="left"/>
              <w:rPr>
                <w:rFonts w:hint="eastAsia" w:ascii="方正书宋_GBK" w:eastAsia="方正书宋_GBK"/>
              </w:rPr>
            </w:pPr>
            <w:r>
              <w:rPr>
                <w:rFonts w:hint="eastAsia" w:ascii="方正书宋_GBK" w:eastAsia="方正书宋_GBK"/>
              </w:rPr>
              <w:t>组织开展全县盐业行政执法活动，打击盐业违法行为、对直属企业进行改革和管理</w:t>
            </w:r>
          </w:p>
        </w:tc>
        <w:tc>
          <w:tcPr>
            <w:tcW w:w="2877"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保障食盐在生产、流通环节的安全</w:t>
            </w:r>
          </w:p>
        </w:tc>
        <w:tc>
          <w:tcPr>
            <w:tcW w:w="1371" w:type="dxa"/>
            <w:noWrap w:val="0"/>
            <w:vAlign w:val="center"/>
          </w:tcPr>
          <w:p>
            <w:pPr>
              <w:spacing w:line="300" w:lineRule="exact"/>
              <w:jc w:val="left"/>
              <w:rPr>
                <w:rFonts w:hint="eastAsia" w:ascii="方正书宋_GBK" w:eastAsia="方正书宋_GBK"/>
              </w:rPr>
            </w:pPr>
          </w:p>
        </w:tc>
        <w:tc>
          <w:tcPr>
            <w:tcW w:w="712" w:type="dxa"/>
            <w:noWrap w:val="0"/>
            <w:vAlign w:val="center"/>
          </w:tcPr>
          <w:p>
            <w:pPr>
              <w:spacing w:line="300" w:lineRule="exact"/>
              <w:jc w:val="center"/>
              <w:rPr>
                <w:rFonts w:ascii="方正书宋_GBK" w:eastAsia="方正书宋_GBK"/>
              </w:rPr>
            </w:pPr>
          </w:p>
        </w:tc>
        <w:tc>
          <w:tcPr>
            <w:tcW w:w="713" w:type="dxa"/>
            <w:noWrap w:val="0"/>
            <w:vAlign w:val="center"/>
          </w:tcPr>
          <w:p>
            <w:pPr>
              <w:spacing w:line="300" w:lineRule="exact"/>
              <w:jc w:val="center"/>
              <w:rPr>
                <w:rFonts w:hint="eastAsia" w:ascii="方正书宋_GBK" w:eastAsia="方正书宋_GBK"/>
              </w:rPr>
            </w:pPr>
          </w:p>
        </w:tc>
        <w:tc>
          <w:tcPr>
            <w:tcW w:w="712" w:type="dxa"/>
            <w:noWrap w:val="0"/>
            <w:vAlign w:val="center"/>
          </w:tcPr>
          <w:p>
            <w:pPr>
              <w:spacing w:line="300" w:lineRule="exact"/>
              <w:jc w:val="center"/>
              <w:rPr>
                <w:rFonts w:hint="eastAsia" w:ascii="方正书宋_GBK" w:eastAsia="方正书宋_GBK"/>
              </w:rPr>
            </w:pPr>
          </w:p>
        </w:tc>
        <w:tc>
          <w:tcPr>
            <w:tcW w:w="714" w:type="dxa"/>
            <w:noWrap w:val="0"/>
            <w:vAlign w:val="center"/>
          </w:tcPr>
          <w:p>
            <w:pPr>
              <w:spacing w:line="300" w:lineRule="exact"/>
              <w:jc w:val="center"/>
              <w:rPr>
                <w:rFonts w:hint="eastAsia" w:ascii="方正书宋_GBK" w:eastAsia="方正书宋_GBK"/>
              </w:rPr>
            </w:pP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组织实施盐政执法</w:t>
            </w:r>
          </w:p>
        </w:tc>
        <w:tc>
          <w:tcPr>
            <w:tcW w:w="1235" w:type="dxa"/>
            <w:vMerge w:val="restart"/>
            <w:noWrap w:val="0"/>
            <w:vAlign w:val="center"/>
          </w:tcPr>
          <w:p>
            <w:pPr>
              <w:spacing w:line="300" w:lineRule="exact"/>
              <w:jc w:val="left"/>
              <w:rPr>
                <w:rFonts w:ascii="方正书宋_GBK" w:eastAsia="方正书宋_GBK"/>
              </w:rPr>
            </w:pPr>
          </w:p>
        </w:tc>
        <w:tc>
          <w:tcPr>
            <w:tcW w:w="2878"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组织开展全县盐业行政执法活动，打击盐业违法行为，查处重大盐业违法案件。规范盐业行政执法案件程序和执法案卷；追究执法过错责任，纠正违法执法行为</w:t>
            </w:r>
          </w:p>
        </w:tc>
        <w:tc>
          <w:tcPr>
            <w:tcW w:w="2877"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全县盐业违法行为得到有效打击和遏制，实现食盐安全生产和流通</w:t>
            </w: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食盐产品合格率</w:t>
            </w:r>
          </w:p>
        </w:tc>
        <w:tc>
          <w:tcPr>
            <w:tcW w:w="712"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13"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96%</w:t>
            </w:r>
          </w:p>
        </w:tc>
        <w:tc>
          <w:tcPr>
            <w:tcW w:w="714"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96%</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continue"/>
            <w:noWrap w:val="0"/>
            <w:vAlign w:val="center"/>
          </w:tcPr>
          <w:p>
            <w:pPr>
              <w:spacing w:line="300" w:lineRule="exact"/>
              <w:jc w:val="left"/>
              <w:rPr>
                <w:rFonts w:hint="eastAsia" w:ascii="方正书宋_GBK" w:eastAsia="方正书宋_GBK"/>
                <w:b/>
              </w:rPr>
            </w:pPr>
          </w:p>
        </w:tc>
        <w:tc>
          <w:tcPr>
            <w:tcW w:w="1235" w:type="dxa"/>
            <w:vMerge w:val="continue"/>
            <w:noWrap w:val="0"/>
            <w:vAlign w:val="center"/>
          </w:tcPr>
          <w:p>
            <w:pPr>
              <w:spacing w:line="300" w:lineRule="exact"/>
              <w:jc w:val="left"/>
              <w:rPr>
                <w:rFonts w:ascii="方正书宋_GBK" w:eastAsia="方正书宋_GBK"/>
              </w:rPr>
            </w:pPr>
          </w:p>
        </w:tc>
        <w:tc>
          <w:tcPr>
            <w:tcW w:w="2878" w:type="dxa"/>
            <w:vMerge w:val="continue"/>
            <w:noWrap w:val="0"/>
            <w:vAlign w:val="center"/>
          </w:tcPr>
          <w:p>
            <w:pPr>
              <w:spacing w:line="300" w:lineRule="exact"/>
              <w:jc w:val="left"/>
              <w:rPr>
                <w:rFonts w:hint="eastAsia" w:ascii="方正书宋_GBK" w:eastAsia="方正书宋_GBK"/>
              </w:rPr>
            </w:pPr>
          </w:p>
        </w:tc>
        <w:tc>
          <w:tcPr>
            <w:tcW w:w="2877" w:type="dxa"/>
            <w:vMerge w:val="continue"/>
            <w:noWrap w:val="0"/>
            <w:vAlign w:val="center"/>
          </w:tcPr>
          <w:p>
            <w:pPr>
              <w:spacing w:line="300" w:lineRule="exact"/>
              <w:jc w:val="left"/>
              <w:rPr>
                <w:rFonts w:hint="eastAsia" w:ascii="方正书宋_GBK" w:eastAsia="方正书宋_GBK"/>
              </w:rPr>
            </w:pP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盐业执法人员培训考核通过率</w:t>
            </w:r>
          </w:p>
        </w:tc>
        <w:tc>
          <w:tcPr>
            <w:tcW w:w="712"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13"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96%</w:t>
            </w:r>
          </w:p>
        </w:tc>
        <w:tc>
          <w:tcPr>
            <w:tcW w:w="714"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96%</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continue"/>
            <w:noWrap w:val="0"/>
            <w:vAlign w:val="center"/>
          </w:tcPr>
          <w:p>
            <w:pPr>
              <w:spacing w:line="300" w:lineRule="exact"/>
              <w:jc w:val="left"/>
              <w:rPr>
                <w:rFonts w:hint="eastAsia" w:ascii="方正书宋_GBK" w:eastAsia="方正书宋_GBK"/>
                <w:b/>
              </w:rPr>
            </w:pPr>
          </w:p>
        </w:tc>
        <w:tc>
          <w:tcPr>
            <w:tcW w:w="1235" w:type="dxa"/>
            <w:vMerge w:val="continue"/>
            <w:noWrap w:val="0"/>
            <w:vAlign w:val="center"/>
          </w:tcPr>
          <w:p>
            <w:pPr>
              <w:spacing w:line="300" w:lineRule="exact"/>
              <w:jc w:val="left"/>
              <w:rPr>
                <w:rFonts w:ascii="方正书宋_GBK" w:eastAsia="方正书宋_GBK"/>
              </w:rPr>
            </w:pPr>
          </w:p>
        </w:tc>
        <w:tc>
          <w:tcPr>
            <w:tcW w:w="2878" w:type="dxa"/>
            <w:vMerge w:val="continue"/>
            <w:noWrap w:val="0"/>
            <w:vAlign w:val="center"/>
          </w:tcPr>
          <w:p>
            <w:pPr>
              <w:spacing w:line="300" w:lineRule="exact"/>
              <w:jc w:val="left"/>
              <w:rPr>
                <w:rFonts w:hint="eastAsia" w:ascii="方正书宋_GBK" w:eastAsia="方正书宋_GBK"/>
              </w:rPr>
            </w:pPr>
          </w:p>
        </w:tc>
        <w:tc>
          <w:tcPr>
            <w:tcW w:w="2877" w:type="dxa"/>
            <w:vMerge w:val="continue"/>
            <w:noWrap w:val="0"/>
            <w:vAlign w:val="center"/>
          </w:tcPr>
          <w:p>
            <w:pPr>
              <w:spacing w:line="300" w:lineRule="exact"/>
              <w:jc w:val="left"/>
              <w:rPr>
                <w:rFonts w:hint="eastAsia" w:ascii="方正书宋_GBK" w:eastAsia="方正书宋_GBK"/>
              </w:rPr>
            </w:pP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重大盐业违法行为、案件处理率</w:t>
            </w:r>
          </w:p>
        </w:tc>
        <w:tc>
          <w:tcPr>
            <w:tcW w:w="712"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13"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96%</w:t>
            </w:r>
          </w:p>
        </w:tc>
        <w:tc>
          <w:tcPr>
            <w:tcW w:w="714"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96%</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盐业体制改革</w:t>
            </w:r>
          </w:p>
        </w:tc>
        <w:tc>
          <w:tcPr>
            <w:tcW w:w="1235" w:type="dxa"/>
            <w:vMerge w:val="restart"/>
            <w:noWrap w:val="0"/>
            <w:vAlign w:val="center"/>
          </w:tcPr>
          <w:p>
            <w:pPr>
              <w:spacing w:line="300" w:lineRule="exact"/>
              <w:jc w:val="left"/>
              <w:rPr>
                <w:rFonts w:ascii="方正书宋_GBK" w:eastAsia="方正书宋_GBK"/>
              </w:rPr>
            </w:pPr>
          </w:p>
        </w:tc>
        <w:tc>
          <w:tcPr>
            <w:tcW w:w="2878"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按照县政府安排推动盐业体制改革工作</w:t>
            </w:r>
          </w:p>
        </w:tc>
        <w:tc>
          <w:tcPr>
            <w:tcW w:w="2877"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完成县政府交办的改革任务</w:t>
            </w: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企业人员安置分流工作完成率</w:t>
            </w:r>
          </w:p>
        </w:tc>
        <w:tc>
          <w:tcPr>
            <w:tcW w:w="712"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13"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14"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continue"/>
            <w:noWrap w:val="0"/>
            <w:vAlign w:val="center"/>
          </w:tcPr>
          <w:p>
            <w:pPr>
              <w:spacing w:line="300" w:lineRule="exact"/>
              <w:jc w:val="left"/>
              <w:rPr>
                <w:rFonts w:hint="eastAsia" w:ascii="方正书宋_GBK" w:eastAsia="方正书宋_GBK"/>
                <w:b/>
              </w:rPr>
            </w:pPr>
          </w:p>
        </w:tc>
        <w:tc>
          <w:tcPr>
            <w:tcW w:w="1235" w:type="dxa"/>
            <w:vMerge w:val="continue"/>
            <w:noWrap w:val="0"/>
            <w:vAlign w:val="center"/>
          </w:tcPr>
          <w:p>
            <w:pPr>
              <w:spacing w:line="300" w:lineRule="exact"/>
              <w:jc w:val="left"/>
              <w:rPr>
                <w:rFonts w:ascii="方正书宋_GBK" w:eastAsia="方正书宋_GBK"/>
              </w:rPr>
            </w:pPr>
          </w:p>
        </w:tc>
        <w:tc>
          <w:tcPr>
            <w:tcW w:w="2878" w:type="dxa"/>
            <w:vMerge w:val="continue"/>
            <w:noWrap w:val="0"/>
            <w:vAlign w:val="center"/>
          </w:tcPr>
          <w:p>
            <w:pPr>
              <w:spacing w:line="300" w:lineRule="exact"/>
              <w:jc w:val="left"/>
              <w:rPr>
                <w:rFonts w:hint="eastAsia" w:ascii="方正书宋_GBK" w:eastAsia="方正书宋_GBK"/>
              </w:rPr>
            </w:pPr>
          </w:p>
        </w:tc>
        <w:tc>
          <w:tcPr>
            <w:tcW w:w="2877" w:type="dxa"/>
            <w:vMerge w:val="continue"/>
            <w:noWrap w:val="0"/>
            <w:vAlign w:val="center"/>
          </w:tcPr>
          <w:p>
            <w:pPr>
              <w:spacing w:line="300" w:lineRule="exact"/>
              <w:jc w:val="left"/>
              <w:rPr>
                <w:rFonts w:hint="eastAsia" w:ascii="方正书宋_GBK" w:eastAsia="方正书宋_GBK"/>
              </w:rPr>
            </w:pP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县政府改革任务完成率</w:t>
            </w:r>
          </w:p>
        </w:tc>
        <w:tc>
          <w:tcPr>
            <w:tcW w:w="712"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13"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14"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供销合作政务管理</w:t>
            </w:r>
          </w:p>
        </w:tc>
        <w:tc>
          <w:tcPr>
            <w:tcW w:w="1235" w:type="dxa"/>
            <w:noWrap w:val="0"/>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572.85</w:t>
            </w:r>
          </w:p>
        </w:tc>
        <w:tc>
          <w:tcPr>
            <w:tcW w:w="2878" w:type="dxa"/>
            <w:noWrap w:val="0"/>
            <w:vAlign w:val="center"/>
          </w:tcPr>
          <w:p>
            <w:pPr>
              <w:spacing w:line="300" w:lineRule="exact"/>
              <w:jc w:val="left"/>
              <w:rPr>
                <w:rFonts w:hint="eastAsia" w:ascii="方正书宋_GBK" w:eastAsia="方正书宋_GBK"/>
              </w:rPr>
            </w:pPr>
            <w:r>
              <w:rPr>
                <w:rFonts w:hint="eastAsia" w:ascii="方正书宋_GBK" w:eastAsia="方正书宋_GBK"/>
              </w:rPr>
              <w:t>负责供销合作社系统综合业务管理和机关综合事务管理</w:t>
            </w:r>
          </w:p>
        </w:tc>
        <w:tc>
          <w:tcPr>
            <w:tcW w:w="2877" w:type="dxa"/>
            <w:noWrap w:val="0"/>
            <w:vAlign w:val="center"/>
          </w:tcPr>
          <w:p>
            <w:pPr>
              <w:spacing w:line="300" w:lineRule="exact"/>
              <w:jc w:val="left"/>
              <w:rPr>
                <w:rFonts w:hint="eastAsia" w:ascii="方正书宋_GBK" w:eastAsia="方正书宋_GBK"/>
              </w:rPr>
            </w:pPr>
            <w:r>
              <w:rPr>
                <w:rFonts w:hint="eastAsia" w:ascii="方正书宋_GBK" w:eastAsia="方正书宋_GBK"/>
              </w:rPr>
              <w:t>确保各项业务工作谋划到位、顺利开展</w:t>
            </w:r>
            <w:r>
              <w:rPr>
                <w:rFonts w:ascii="方正书宋_GBK" w:eastAsia="方正书宋_GBK"/>
              </w:rPr>
              <w:t>,</w:t>
            </w:r>
            <w:r>
              <w:rPr>
                <w:rFonts w:hint="eastAsia" w:ascii="方正书宋_GBK" w:eastAsia="方正书宋_GBK"/>
              </w:rPr>
              <w:t>保障机关工作正常高效运转</w:t>
            </w:r>
          </w:p>
        </w:tc>
        <w:tc>
          <w:tcPr>
            <w:tcW w:w="1371" w:type="dxa"/>
            <w:noWrap w:val="0"/>
            <w:vAlign w:val="center"/>
          </w:tcPr>
          <w:p>
            <w:pPr>
              <w:spacing w:line="300" w:lineRule="exact"/>
              <w:jc w:val="left"/>
              <w:rPr>
                <w:rFonts w:hint="eastAsia" w:ascii="方正书宋_GBK" w:eastAsia="方正书宋_GBK"/>
              </w:rPr>
            </w:pPr>
          </w:p>
        </w:tc>
        <w:tc>
          <w:tcPr>
            <w:tcW w:w="712" w:type="dxa"/>
            <w:noWrap w:val="0"/>
            <w:vAlign w:val="center"/>
          </w:tcPr>
          <w:p>
            <w:pPr>
              <w:spacing w:line="300" w:lineRule="exact"/>
              <w:jc w:val="center"/>
              <w:rPr>
                <w:rFonts w:ascii="方正书宋_GBK" w:eastAsia="方正书宋_GBK"/>
              </w:rPr>
            </w:pPr>
          </w:p>
        </w:tc>
        <w:tc>
          <w:tcPr>
            <w:tcW w:w="713" w:type="dxa"/>
            <w:noWrap w:val="0"/>
            <w:vAlign w:val="center"/>
          </w:tcPr>
          <w:p>
            <w:pPr>
              <w:spacing w:line="300" w:lineRule="exact"/>
              <w:jc w:val="center"/>
              <w:rPr>
                <w:rFonts w:hint="eastAsia" w:ascii="方正书宋_GBK" w:eastAsia="方正书宋_GBK"/>
              </w:rPr>
            </w:pPr>
          </w:p>
        </w:tc>
        <w:tc>
          <w:tcPr>
            <w:tcW w:w="712" w:type="dxa"/>
            <w:noWrap w:val="0"/>
            <w:vAlign w:val="center"/>
          </w:tcPr>
          <w:p>
            <w:pPr>
              <w:spacing w:line="300" w:lineRule="exact"/>
              <w:jc w:val="center"/>
              <w:rPr>
                <w:rFonts w:hint="eastAsia" w:ascii="方正书宋_GBK" w:eastAsia="方正书宋_GBK"/>
              </w:rPr>
            </w:pPr>
          </w:p>
        </w:tc>
        <w:tc>
          <w:tcPr>
            <w:tcW w:w="714" w:type="dxa"/>
            <w:noWrap w:val="0"/>
            <w:vAlign w:val="center"/>
          </w:tcPr>
          <w:p>
            <w:pPr>
              <w:spacing w:line="300" w:lineRule="exact"/>
              <w:jc w:val="center"/>
              <w:rPr>
                <w:rFonts w:hint="eastAsia" w:ascii="方正书宋_GBK" w:eastAsia="方正书宋_GBK"/>
              </w:rPr>
            </w:pP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综合业务管理</w:t>
            </w:r>
          </w:p>
        </w:tc>
        <w:tc>
          <w:tcPr>
            <w:tcW w:w="1235" w:type="dxa"/>
            <w:noWrap w:val="0"/>
            <w:vAlign w:val="center"/>
          </w:tcPr>
          <w:p>
            <w:pPr>
              <w:spacing w:line="300" w:lineRule="exact"/>
              <w:jc w:val="left"/>
              <w:rPr>
                <w:rFonts w:ascii="方正书宋_GBK" w:eastAsia="方正书宋_GBK"/>
              </w:rPr>
            </w:pPr>
          </w:p>
        </w:tc>
        <w:tc>
          <w:tcPr>
            <w:tcW w:w="2878" w:type="dxa"/>
            <w:noWrap w:val="0"/>
            <w:vAlign w:val="center"/>
          </w:tcPr>
          <w:p>
            <w:pPr>
              <w:spacing w:line="300" w:lineRule="exact"/>
              <w:jc w:val="left"/>
              <w:rPr>
                <w:rFonts w:hint="eastAsia" w:ascii="方正书宋_GBK" w:eastAsia="方正书宋_GBK"/>
              </w:rPr>
            </w:pPr>
            <w:r>
              <w:rPr>
                <w:rFonts w:hint="eastAsia" w:ascii="方正书宋_GBK" w:eastAsia="方正书宋_GBK"/>
              </w:rPr>
              <w:t>制订系统发展战略和规划、指导系统业务活动和综合改革试点及事业发展；开展行业调查研究，制定相关行业政策、法规规章制度；信访接待、业务宣传、政务信息公开等工作。</w:t>
            </w:r>
          </w:p>
        </w:tc>
        <w:tc>
          <w:tcPr>
            <w:tcW w:w="2877" w:type="dxa"/>
            <w:noWrap w:val="0"/>
            <w:vAlign w:val="center"/>
          </w:tcPr>
          <w:p>
            <w:pPr>
              <w:spacing w:line="300" w:lineRule="exact"/>
              <w:jc w:val="left"/>
              <w:rPr>
                <w:rFonts w:hint="eastAsia" w:ascii="方正书宋_GBK" w:eastAsia="方正书宋_GBK"/>
              </w:rPr>
            </w:pPr>
            <w:r>
              <w:rPr>
                <w:rFonts w:hint="eastAsia" w:ascii="方正书宋_GBK" w:eastAsia="方正书宋_GBK"/>
              </w:rPr>
              <w:t>确保各项业务工作谋划到位、顺利开展</w:t>
            </w: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系统业务活动完成率</w:t>
            </w:r>
          </w:p>
        </w:tc>
        <w:tc>
          <w:tcPr>
            <w:tcW w:w="712"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13"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14"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综合事务管理</w:t>
            </w:r>
          </w:p>
        </w:tc>
        <w:tc>
          <w:tcPr>
            <w:tcW w:w="1235" w:type="dxa"/>
            <w:noWrap w:val="0"/>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7.91</w:t>
            </w:r>
          </w:p>
          <w:p>
            <w:pPr>
              <w:spacing w:line="300" w:lineRule="exact"/>
              <w:jc w:val="left"/>
              <w:rPr>
                <w:rFonts w:hint="default" w:ascii="方正书宋_GBK" w:eastAsia="方正书宋_GBK"/>
                <w:lang w:val="en-US" w:eastAsia="zh-CN"/>
              </w:rPr>
            </w:pPr>
          </w:p>
        </w:tc>
        <w:tc>
          <w:tcPr>
            <w:tcW w:w="2878" w:type="dxa"/>
            <w:noWrap w:val="0"/>
            <w:vAlign w:val="center"/>
          </w:tcPr>
          <w:p>
            <w:pPr>
              <w:spacing w:line="300" w:lineRule="exact"/>
              <w:jc w:val="left"/>
              <w:rPr>
                <w:rFonts w:hint="eastAsia" w:ascii="方正书宋_GBK" w:eastAsia="方正书宋_GBK"/>
              </w:rPr>
            </w:pPr>
            <w:r>
              <w:rPr>
                <w:rFonts w:hint="eastAsia" w:ascii="方正书宋_GBK" w:eastAsia="方正书宋_GBK"/>
              </w:rPr>
              <w:t>会议组织管理、信息化建设与维护、机关财务和资产管理、标准化建设、基建及维修、设备购置、人事管理、机关党工委工作、老干部工作等。</w:t>
            </w:r>
          </w:p>
        </w:tc>
        <w:tc>
          <w:tcPr>
            <w:tcW w:w="2877"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保障机关工作正常高效运转</w:t>
            </w: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综合行政事务办结率</w:t>
            </w:r>
          </w:p>
        </w:tc>
        <w:tc>
          <w:tcPr>
            <w:tcW w:w="712"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13"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14"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697" w:type="dxa"/>
            <w:noWrap w:val="0"/>
            <w:vAlign w:val="center"/>
          </w:tcPr>
          <w:p>
            <w:pPr>
              <w:spacing w:line="300" w:lineRule="exact"/>
              <w:jc w:val="center"/>
              <w:rPr>
                <w:rFonts w:hint="eastAsia" w:ascii="方正书宋_GBK" w:eastAsia="方正书宋_GBK"/>
              </w:rPr>
            </w:pPr>
          </w:p>
        </w:tc>
      </w:tr>
    </w:tbl>
    <w:p>
      <w:pPr>
        <w:widowControl/>
        <w:jc w:val="left"/>
        <w:rPr>
          <w:rFonts w:ascii="宋体" w:hAnsi="宋体" w:cs="宋体"/>
          <w:b/>
          <w:kern w:val="0"/>
          <w:sz w:val="32"/>
          <w:szCs w:val="32"/>
          <w:lang w:bidi="ar"/>
        </w:rPr>
      </w:pPr>
    </w:p>
    <w:p>
      <w:pPr>
        <w:spacing w:line="240" w:lineRule="auto"/>
        <w:ind w:firstLine="643" w:firstLineChars="200"/>
        <w:rPr>
          <w:rFonts w:ascii="宋体" w:hAnsi="宋体" w:eastAsia="宋体" w:cs="FZFSK--GBK1-0"/>
          <w:b/>
          <w:kern w:val="0"/>
          <w:sz w:val="32"/>
          <w:szCs w:val="32"/>
        </w:rPr>
      </w:pPr>
      <w:r>
        <w:rPr>
          <w:rFonts w:hint="eastAsia" w:ascii="宋体" w:hAnsi="宋体" w:eastAsia="宋体" w:cs="FZFSK--GBK1-0"/>
          <w:b/>
          <w:kern w:val="0"/>
          <w:sz w:val="32"/>
          <w:szCs w:val="32"/>
          <w:lang w:eastAsia="zh-CN"/>
        </w:rPr>
        <w:t>六</w:t>
      </w:r>
      <w:r>
        <w:rPr>
          <w:rFonts w:hint="eastAsia" w:ascii="宋体" w:hAnsi="宋体" w:eastAsia="宋体" w:cs="FZFSK--GBK1-0"/>
          <w:b/>
          <w:kern w:val="0"/>
          <w:sz w:val="32"/>
          <w:szCs w:val="32"/>
        </w:rPr>
        <w:t>、政府采购预算情况</w:t>
      </w:r>
    </w:p>
    <w:p>
      <w:pPr>
        <w:widowControl/>
        <w:spacing w:line="240" w:lineRule="auto"/>
        <w:ind w:firstLine="640" w:firstLineChars="200"/>
        <w:jc w:val="left"/>
        <w:rPr>
          <w:rFonts w:hint="eastAsia" w:ascii="仿宋" w:hAnsi="仿宋" w:eastAsia="仿宋" w:cs="仿宋"/>
          <w:b w:val="0"/>
          <w:bCs w:val="0"/>
          <w:spacing w:val="0"/>
          <w:kern w:val="2"/>
          <w:sz w:val="32"/>
          <w:szCs w:val="32"/>
          <w:lang w:val="en-US" w:eastAsia="zh-CN" w:bidi="ar-SA"/>
        </w:rPr>
      </w:pPr>
      <w:r>
        <w:rPr>
          <w:rFonts w:hint="eastAsia" w:ascii="仿宋" w:hAnsi="仿宋" w:eastAsia="仿宋" w:cs="仿宋"/>
          <w:b w:val="0"/>
          <w:bCs w:val="0"/>
          <w:spacing w:val="0"/>
          <w:kern w:val="2"/>
          <w:sz w:val="32"/>
          <w:szCs w:val="32"/>
          <w:lang w:val="en-US" w:eastAsia="zh-CN" w:bidi="ar-SA"/>
        </w:rPr>
        <w:t>我单位2022年无政府采购预算。</w:t>
      </w:r>
    </w:p>
    <w:p>
      <w:pPr>
        <w:spacing w:line="240" w:lineRule="auto"/>
        <w:ind w:firstLine="643" w:firstLineChars="200"/>
        <w:rPr>
          <w:rFonts w:hint="eastAsia" w:ascii="仿宋" w:hAnsi="仿宋" w:eastAsia="仿宋" w:cs="仿宋"/>
          <w:b/>
          <w:bCs/>
          <w:sz w:val="32"/>
          <w:szCs w:val="32"/>
        </w:rPr>
      </w:pPr>
      <w:r>
        <w:rPr>
          <w:rFonts w:hint="eastAsia" w:ascii="宋体" w:hAnsi="宋体" w:eastAsia="宋体" w:cs="FZFSK--GBK1-0"/>
          <w:b/>
          <w:kern w:val="0"/>
          <w:sz w:val="32"/>
          <w:szCs w:val="32"/>
          <w:lang w:eastAsia="zh-CN"/>
        </w:rPr>
        <w:t>七、国有资产信息</w:t>
      </w:r>
    </w:p>
    <w:p>
      <w:pPr>
        <w:widowControl/>
        <w:spacing w:line="240" w:lineRule="auto"/>
        <w:ind w:firstLine="640" w:firstLineChars="200"/>
        <w:jc w:val="left"/>
        <w:rPr>
          <w:rFonts w:hint="eastAsia" w:ascii="仿宋" w:hAnsi="仿宋" w:eastAsia="仿宋" w:cs="仿宋"/>
          <w:b w:val="0"/>
          <w:bCs w:val="0"/>
          <w:spacing w:val="0"/>
          <w:kern w:val="2"/>
          <w:sz w:val="32"/>
          <w:szCs w:val="32"/>
          <w:lang w:val="en-US" w:eastAsia="zh-CN" w:bidi="ar-SA"/>
        </w:rPr>
      </w:pPr>
      <w:r>
        <w:rPr>
          <w:rFonts w:hint="eastAsia" w:ascii="仿宋" w:hAnsi="仿宋" w:eastAsia="仿宋" w:cs="仿宋"/>
          <w:b w:val="0"/>
          <w:bCs w:val="0"/>
          <w:spacing w:val="0"/>
          <w:kern w:val="2"/>
          <w:sz w:val="32"/>
          <w:szCs w:val="32"/>
          <w:lang w:val="en-US" w:eastAsia="zh-CN" w:bidi="ar-SA"/>
        </w:rPr>
        <w:t>我单位2022年无国有资产信息。</w:t>
      </w:r>
    </w:p>
    <w:p>
      <w:pPr>
        <w:numPr>
          <w:ilvl w:val="0"/>
          <w:numId w:val="0"/>
        </w:numPr>
        <w:spacing w:line="240" w:lineRule="auto"/>
        <w:ind w:firstLine="643" w:firstLineChars="200"/>
        <w:rPr>
          <w:rFonts w:hint="eastAsia" w:ascii="宋体" w:hAnsi="宋体" w:eastAsia="宋体" w:cs="FZFSK--GBK1-0"/>
          <w:b/>
          <w:kern w:val="0"/>
          <w:sz w:val="32"/>
          <w:szCs w:val="32"/>
        </w:rPr>
      </w:pPr>
      <w:r>
        <w:rPr>
          <w:rFonts w:hint="eastAsia" w:ascii="宋体" w:hAnsi="宋体" w:eastAsia="宋体" w:cs="FZFSK--GBK1-0"/>
          <w:b/>
          <w:kern w:val="0"/>
          <w:sz w:val="32"/>
          <w:szCs w:val="32"/>
          <w:lang w:eastAsia="zh-CN"/>
        </w:rPr>
        <w:t>八、</w:t>
      </w:r>
      <w:r>
        <w:rPr>
          <w:rFonts w:hint="eastAsia" w:ascii="宋体" w:hAnsi="宋体" w:eastAsia="宋体" w:cs="FZFSK--GBK1-0"/>
          <w:b/>
          <w:kern w:val="0"/>
          <w:sz w:val="32"/>
          <w:szCs w:val="32"/>
        </w:rPr>
        <w:t>名词解释</w:t>
      </w:r>
    </w:p>
    <w:p>
      <w:pPr>
        <w:spacing w:before="0" w:after="0" w:line="240" w:lineRule="auto"/>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1、</w:t>
      </w:r>
      <w:r>
        <w:rPr>
          <w:rFonts w:hint="eastAsia" w:ascii="宋体" w:hAnsi="宋体" w:eastAsia="宋体" w:cs="宋体"/>
          <w:b/>
          <w:color w:val="000000"/>
          <w:sz w:val="32"/>
          <w:szCs w:val="32"/>
        </w:rPr>
        <w:t>一般公共预算拨款收入：</w:t>
      </w:r>
      <w:r>
        <w:rPr>
          <w:rFonts w:hint="eastAsia" w:ascii="宋体" w:hAnsi="宋体" w:eastAsia="宋体" w:cs="宋体"/>
          <w:b w:val="0"/>
          <w:color w:val="000000"/>
          <w:sz w:val="32"/>
          <w:szCs w:val="32"/>
        </w:rPr>
        <w:t>指省级财政当年拨付的资金。</w:t>
      </w:r>
    </w:p>
    <w:p>
      <w:pPr>
        <w:spacing w:before="0" w:after="0" w:line="240" w:lineRule="auto"/>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2、</w:t>
      </w:r>
      <w:r>
        <w:rPr>
          <w:rFonts w:hint="eastAsia" w:ascii="宋体" w:hAnsi="宋体" w:eastAsia="宋体" w:cs="宋体"/>
          <w:b/>
          <w:color w:val="000000"/>
          <w:sz w:val="32"/>
          <w:szCs w:val="32"/>
        </w:rPr>
        <w:t>事业收入：</w:t>
      </w:r>
      <w:r>
        <w:rPr>
          <w:rFonts w:hint="eastAsia" w:ascii="宋体" w:hAnsi="宋体" w:eastAsia="宋体" w:cs="宋体"/>
          <w:b w:val="0"/>
          <w:color w:val="000000"/>
          <w:sz w:val="32"/>
          <w:szCs w:val="32"/>
        </w:rPr>
        <w:t>指事业单位开展专业业务活动及辅助活动所取得的收入。</w:t>
      </w:r>
    </w:p>
    <w:p>
      <w:pPr>
        <w:spacing w:before="0" w:after="0" w:line="240" w:lineRule="auto"/>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3、</w:t>
      </w:r>
      <w:r>
        <w:rPr>
          <w:rFonts w:hint="eastAsia" w:ascii="宋体" w:hAnsi="宋体" w:eastAsia="宋体" w:cs="宋体"/>
          <w:b/>
          <w:color w:val="000000"/>
          <w:sz w:val="32"/>
          <w:szCs w:val="32"/>
        </w:rPr>
        <w:t>其他收入：</w:t>
      </w:r>
      <w:r>
        <w:rPr>
          <w:rFonts w:hint="eastAsia" w:ascii="宋体" w:hAnsi="宋体" w:eastAsia="宋体" w:cs="宋体"/>
          <w:b w:val="0"/>
          <w:color w:val="000000"/>
          <w:sz w:val="32"/>
          <w:szCs w:val="32"/>
        </w:rPr>
        <w:t>指除“一般公共预算拨款收入”、“事业收入”等以外的收入。主要是按规定动用的租房收入、存款利息收入等。</w:t>
      </w:r>
    </w:p>
    <w:p>
      <w:pPr>
        <w:spacing w:before="0" w:after="0" w:line="240" w:lineRule="auto"/>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4、</w:t>
      </w:r>
      <w:r>
        <w:rPr>
          <w:rFonts w:hint="eastAsia" w:ascii="宋体" w:hAnsi="宋体" w:eastAsia="宋体" w:cs="宋体"/>
          <w:b/>
          <w:color w:val="000000"/>
          <w:sz w:val="32"/>
          <w:szCs w:val="32"/>
        </w:rPr>
        <w:t>基本支出：</w:t>
      </w:r>
      <w:r>
        <w:rPr>
          <w:rFonts w:hint="eastAsia" w:ascii="宋体" w:hAnsi="宋体" w:eastAsia="宋体" w:cs="宋体"/>
          <w:b w:val="0"/>
          <w:color w:val="000000"/>
          <w:sz w:val="32"/>
          <w:szCs w:val="32"/>
        </w:rPr>
        <w:t>指为保障机构正常运转、完成日常工作任务而发生的人员支出和公用支出。</w:t>
      </w:r>
    </w:p>
    <w:p>
      <w:pPr>
        <w:spacing w:before="0" w:after="0" w:line="240" w:lineRule="auto"/>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5、</w:t>
      </w:r>
      <w:r>
        <w:rPr>
          <w:rFonts w:hint="eastAsia" w:ascii="宋体" w:hAnsi="宋体" w:eastAsia="宋体" w:cs="宋体"/>
          <w:b/>
          <w:color w:val="000000"/>
          <w:sz w:val="32"/>
          <w:szCs w:val="32"/>
        </w:rPr>
        <w:t>项目支出：</w:t>
      </w:r>
      <w:r>
        <w:rPr>
          <w:rFonts w:hint="eastAsia" w:ascii="宋体" w:hAnsi="宋体" w:eastAsia="宋体" w:cs="宋体"/>
          <w:b w:val="0"/>
          <w:color w:val="000000"/>
          <w:sz w:val="32"/>
          <w:szCs w:val="32"/>
        </w:rPr>
        <w:t>指在基本支出之外为完成特定行政任务和事业发展目标所发生的支出。</w:t>
      </w:r>
    </w:p>
    <w:p>
      <w:pPr>
        <w:spacing w:before="0" w:after="0" w:line="240" w:lineRule="auto"/>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6、</w:t>
      </w:r>
      <w:r>
        <w:rPr>
          <w:rFonts w:hint="eastAsia" w:ascii="宋体" w:hAnsi="宋体" w:eastAsia="宋体" w:cs="宋体"/>
          <w:b/>
          <w:color w:val="000000"/>
          <w:sz w:val="32"/>
          <w:szCs w:val="32"/>
        </w:rPr>
        <w:t>上缴上级支出：</w:t>
      </w:r>
      <w:r>
        <w:rPr>
          <w:rFonts w:hint="eastAsia" w:ascii="宋体" w:hAnsi="宋体" w:eastAsia="宋体" w:cs="宋体"/>
          <w:b w:val="0"/>
          <w:color w:val="000000"/>
          <w:sz w:val="32"/>
          <w:szCs w:val="32"/>
        </w:rPr>
        <w:t>指下级单位上缴上级的支出。</w:t>
      </w:r>
    </w:p>
    <w:p>
      <w:pPr>
        <w:spacing w:before="0" w:after="0" w:line="240" w:lineRule="auto"/>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7、</w:t>
      </w:r>
      <w:r>
        <w:rPr>
          <w:rFonts w:hint="eastAsia" w:ascii="宋体" w:hAnsi="宋体" w:eastAsia="宋体" w:cs="宋体"/>
          <w:b/>
          <w:color w:val="000000"/>
          <w:sz w:val="32"/>
          <w:szCs w:val="32"/>
        </w:rPr>
        <w:t>“三公”经费：</w:t>
      </w:r>
      <w:r>
        <w:rPr>
          <w:rFonts w:hint="eastAsia" w:ascii="宋体" w:hAnsi="宋体" w:eastAsia="宋体" w:cs="宋体"/>
          <w:b w:val="0"/>
          <w:color w:val="000000"/>
          <w:sz w:val="32"/>
          <w:szCs w:val="32"/>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240" w:lineRule="auto"/>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8、</w:t>
      </w:r>
      <w:r>
        <w:rPr>
          <w:rFonts w:hint="eastAsia" w:ascii="宋体" w:hAnsi="宋体" w:eastAsia="宋体" w:cs="宋体"/>
          <w:b/>
          <w:color w:val="000000"/>
          <w:sz w:val="32"/>
          <w:szCs w:val="32"/>
        </w:rPr>
        <w:t>机关运行费：</w:t>
      </w:r>
      <w:r>
        <w:rPr>
          <w:rFonts w:hint="eastAsia" w:ascii="宋体" w:hAnsi="宋体" w:eastAsia="宋体" w:cs="宋体"/>
          <w:b w:val="0"/>
          <w:color w:val="000000"/>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240" w:lineRule="auto"/>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9、</w:t>
      </w:r>
      <w:r>
        <w:rPr>
          <w:rFonts w:hint="eastAsia" w:ascii="宋体" w:hAnsi="宋体" w:eastAsia="宋体" w:cs="宋体"/>
          <w:b/>
          <w:color w:val="000000"/>
          <w:sz w:val="32"/>
          <w:szCs w:val="32"/>
        </w:rPr>
        <w:t>上年结转：</w:t>
      </w:r>
      <w:r>
        <w:rPr>
          <w:rFonts w:hint="eastAsia" w:ascii="宋体" w:hAnsi="宋体" w:eastAsia="宋体" w:cs="宋体"/>
          <w:b w:val="0"/>
          <w:color w:val="000000"/>
          <w:sz w:val="32"/>
          <w:szCs w:val="32"/>
        </w:rPr>
        <w:t>指以前年度尚未完成、结转到本年仍按原规定用途继续使用的资金。</w:t>
      </w:r>
    </w:p>
    <w:p>
      <w:pPr>
        <w:spacing w:before="0" w:after="0" w:line="240" w:lineRule="auto"/>
        <w:ind w:firstLine="560"/>
        <w:jc w:val="left"/>
        <w:outlineLvl w:val="9"/>
        <w:rPr>
          <w:rFonts w:hint="eastAsia" w:ascii="宋体" w:hAnsi="宋体" w:eastAsia="宋体" w:cs="宋体"/>
          <w:color w:val="000000"/>
          <w:sz w:val="32"/>
          <w:szCs w:val="32"/>
        </w:rPr>
      </w:pPr>
      <w:r>
        <w:rPr>
          <w:rFonts w:hint="eastAsia" w:ascii="宋体" w:hAnsi="宋体" w:eastAsia="宋体" w:cs="宋体"/>
          <w:b w:val="0"/>
          <w:color w:val="000000"/>
          <w:sz w:val="32"/>
          <w:szCs w:val="32"/>
        </w:rPr>
        <w:t>10、</w:t>
      </w:r>
      <w:r>
        <w:rPr>
          <w:rFonts w:hint="eastAsia" w:ascii="宋体" w:hAnsi="宋体" w:eastAsia="宋体" w:cs="宋体"/>
          <w:b/>
          <w:color w:val="000000"/>
          <w:sz w:val="32"/>
          <w:szCs w:val="32"/>
        </w:rPr>
        <w:t>事业单位经营支出：</w:t>
      </w:r>
      <w:r>
        <w:rPr>
          <w:rFonts w:hint="eastAsia" w:ascii="宋体" w:hAnsi="宋体" w:eastAsia="宋体" w:cs="宋体"/>
          <w:b w:val="0"/>
          <w:color w:val="000000"/>
          <w:sz w:val="32"/>
          <w:szCs w:val="32"/>
        </w:rPr>
        <w:t>指事业单位在专业业务活动及其辅助活动之外开展非独立核算经营活动发生的支出。</w:t>
      </w:r>
      <w:bookmarkStart w:id="1" w:name="_Toc_3_3_0000000018"/>
    </w:p>
    <w:p>
      <w:pPr>
        <w:spacing w:before="10" w:after="10" w:line="240" w:lineRule="auto"/>
        <w:ind w:firstLine="640"/>
        <w:jc w:val="left"/>
        <w:outlineLvl w:val="2"/>
        <w:rPr>
          <w:rFonts w:hint="eastAsia" w:ascii="宋体" w:hAnsi="宋体" w:eastAsia="宋体" w:cs="宋体"/>
          <w:sz w:val="32"/>
          <w:szCs w:val="32"/>
        </w:rPr>
      </w:pPr>
      <w:r>
        <w:rPr>
          <w:rFonts w:hint="eastAsia" w:ascii="宋体" w:hAnsi="宋体" w:eastAsia="宋体" w:cs="宋体"/>
          <w:color w:val="000000"/>
          <w:sz w:val="32"/>
          <w:szCs w:val="32"/>
        </w:rPr>
        <w:t>九、其他需要说明的事项</w:t>
      </w:r>
      <w:bookmarkEnd w:id="1"/>
    </w:p>
    <w:p>
      <w:pPr>
        <w:spacing w:before="0" w:after="0" w:line="240" w:lineRule="auto"/>
        <w:ind w:firstLine="560"/>
        <w:jc w:val="left"/>
        <w:outlineLvl w:val="9"/>
      </w:pPr>
      <w:r>
        <w:rPr>
          <w:rFonts w:hint="eastAsia" w:ascii="宋体" w:hAnsi="宋体" w:eastAsia="宋体" w:cs="宋体"/>
          <w:b w:val="0"/>
          <w:color w:val="000000"/>
          <w:sz w:val="32"/>
          <w:szCs w:val="32"/>
        </w:rPr>
        <w:t>我部门无其他需要说明的事项</w:t>
      </w:r>
      <w:r>
        <w:rPr>
          <w:rFonts w:hint="eastAsia" w:eastAsia="方正仿宋_GBK" w:cs="Times New Roman"/>
          <w:b w:val="0"/>
          <w:color w:val="000000"/>
          <w:sz w:val="28"/>
          <w:lang w:eastAsia="zh-CN"/>
        </w:rPr>
        <w:t>。</w:t>
      </w:r>
    </w:p>
    <w:p>
      <w:pPr>
        <w:pStyle w:val="2"/>
        <w:rPr>
          <w:rFonts w:hint="eastAsia"/>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sectPr>
      <w:pgSz w:w="16838" w:h="11906" w:orient="landscape"/>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BE70764-5008-49D3-AD96-5EF6E3FD19A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embedRegular r:id="rId2" w:fontKey="{AB3AB417-4F3D-487A-89BA-03DE5A46B738}"/>
  </w:font>
  <w:font w:name="方正仿宋_GBK">
    <w:altName w:val="微软雅黑"/>
    <w:panose1 w:val="00000000000000000000"/>
    <w:charset w:val="00"/>
    <w:family w:val="auto"/>
    <w:pitch w:val="default"/>
    <w:sig w:usb0="00000000" w:usb1="00000000" w:usb2="00000000" w:usb3="00000000" w:csb0="00040001" w:csb1="00000000"/>
    <w:embedRegular r:id="rId3" w:fontKey="{C4E8621E-6C23-4DC7-A81F-A8A5FA43F196}"/>
  </w:font>
  <w:font w:name="方正小标宋简体">
    <w:panose1 w:val="03000509000000000000"/>
    <w:charset w:val="86"/>
    <w:family w:val="script"/>
    <w:pitch w:val="default"/>
    <w:sig w:usb0="00000001" w:usb1="080E0000" w:usb2="00000000" w:usb3="00000000" w:csb0="00040000" w:csb1="00000000"/>
  </w:font>
  <w:font w:name="宋体-方正超大字符集">
    <w:altName w:val="微软雅黑"/>
    <w:panose1 w:val="03000509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embedRegular r:id="rId4" w:fontKey="{D4B70E1C-3146-44DC-B172-7E5777E479D4}"/>
  </w:font>
  <w:font w:name="方正小标宋_GBK">
    <w:panose1 w:val="02000000000000000000"/>
    <w:charset w:val="86"/>
    <w:family w:val="roman"/>
    <w:pitch w:val="default"/>
    <w:sig w:usb0="A00002BF" w:usb1="38CF7CFA" w:usb2="00082016" w:usb3="00000000" w:csb0="00040001" w:csb1="00000000"/>
    <w:embedRegular r:id="rId5" w:fontKey="{2E5A9BB9-0344-461C-9F24-1F1A2167424D}"/>
  </w:font>
  <w:font w:name="方正书宋_GBK">
    <w:altName w:val="宋体"/>
    <w:panose1 w:val="00000000000000000000"/>
    <w:charset w:val="86"/>
    <w:family w:val="roman"/>
    <w:pitch w:val="default"/>
    <w:sig w:usb0="00000000" w:usb1="00000000" w:usb2="00000000" w:usb3="00000000" w:csb0="00040001" w:csb1="00000000"/>
    <w:embedRegular r:id="rId6" w:fontKey="{D0682C90-B613-45FA-BB91-197CAEBC4D7A}"/>
  </w:font>
  <w:font w:name="FZFSK--GBK1-0">
    <w:altName w:val="黑体"/>
    <w:panose1 w:val="00000000000000000000"/>
    <w:charset w:val="86"/>
    <w:family w:val="auto"/>
    <w:pitch w:val="default"/>
    <w:sig w:usb0="00000000" w:usb1="00000000" w:usb2="00000010" w:usb3="00000000" w:csb0="00040000" w:csb1="00000000"/>
    <w:embedRegular r:id="rId7" w:fontKey="{2DFD8754-F1B1-4957-8804-2FC6397CA5C7}"/>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5282C6B"/>
    <w:multiLevelType w:val="singleLevel"/>
    <w:tmpl w:val="25282C6B"/>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lkNTZjZGNiOTBiMzA4YjY4ZGNjMzMwZGFhYWVlZmYifQ=="/>
  </w:docVars>
  <w:rsids>
    <w:rsidRoot w:val="006C532B"/>
    <w:rsid w:val="00217EB6"/>
    <w:rsid w:val="003340A8"/>
    <w:rsid w:val="0035490B"/>
    <w:rsid w:val="006C532B"/>
    <w:rsid w:val="00AC4EED"/>
    <w:rsid w:val="00EE4836"/>
    <w:rsid w:val="1788553F"/>
    <w:rsid w:val="2BAA5E43"/>
    <w:rsid w:val="2E661540"/>
    <w:rsid w:val="565F1645"/>
    <w:rsid w:val="5C065541"/>
    <w:rsid w:val="5FA66A44"/>
    <w:rsid w:val="6B2077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Calibri"/>
      <w:kern w:val="2"/>
      <w:sz w:val="21"/>
      <w:szCs w:val="21"/>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0"/>
    <w:pPr>
      <w:snapToGrid/>
      <w:spacing w:line="240" w:lineRule="auto"/>
      <w:ind w:left="420" w:leftChars="200" w:right="0" w:firstLine="420" w:firstLineChars="200"/>
    </w:pPr>
    <w:rPr>
      <w:rFonts w:ascii="Times New Roman" w:eastAsia="宋体"/>
      <w:spacing w:val="0"/>
      <w:sz w:val="21"/>
    </w:rPr>
  </w:style>
  <w:style w:type="paragraph" w:styleId="3">
    <w:name w:val="Body Text Indent"/>
    <w:basedOn w:val="1"/>
    <w:next w:val="1"/>
    <w:unhideWhenUsed/>
    <w:qFormat/>
    <w:uiPriority w:val="99"/>
    <w:pPr>
      <w:spacing w:after="120"/>
      <w:ind w:left="420" w:leftChars="200"/>
    </w:pPr>
  </w:style>
  <w:style w:type="paragraph" w:styleId="4">
    <w:name w:val="Plain Text"/>
    <w:basedOn w:val="1"/>
    <w:qFormat/>
    <w:uiPriority w:val="0"/>
    <w:rPr>
      <w:rFonts w:ascii="宋体" w:hAnsi="Courier New" w:cs="Courier New"/>
      <w:szCs w:val="21"/>
    </w:rPr>
  </w:style>
  <w:style w:type="paragraph" w:customStyle="1" w:styleId="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 Id="rId7" Target="fonts/font7.odttf" Type="http://schemas.openxmlformats.org/officeDocument/2006/relationships/font"/></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25</Pages>
  <Words>6990</Words>
  <Characters>8533</Characters>
  <Lines>1</Lines>
  <Paragraphs>1</Paragraphs>
  <TotalTime>1</TotalTime>
  <ScaleCrop>false</ScaleCrop>
  <LinksUpToDate>false</LinksUpToDate>
  <CharactersWithSpaces>8559</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2021-05-20T00:52:00Z</dcterms:created>
  <dc:creator>user</dc:creator>
  <cp:lastModifiedBy>Hopefully</cp:lastModifiedBy>
  <dcterms:modified xsi:type="dcterms:W3CDTF">2023-10-16T03:18:18Z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9511A18EC0944156A0E90A1CB116C87B_12</vt:lpwstr>
  </property>
</Properties>
</file>