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 w:color="auto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 w:color="auto"/>
          <w:lang w:eastAsia="zh-CN"/>
        </w:rPr>
        <w:t>《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 w:color="auto"/>
          <w:lang w:val="en-US"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 w:color="auto"/>
          <w:lang w:eastAsia="zh-CN"/>
        </w:rPr>
        <w:t>行政许可事项清单（2023年版）》</w:t>
      </w:r>
    </w:p>
    <w:p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 w:color="auto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 w:color="auto"/>
          <w:lang w:eastAsia="zh-CN"/>
        </w:rPr>
        <w:t>政策解读</w:t>
      </w:r>
    </w:p>
    <w:p>
      <w:pPr>
        <w:pStyle w:val="2"/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/>
        <w:jc w:val="both"/>
        <w:textAlignment w:val="auto"/>
        <w:outlineLvl w:val="9"/>
        <w:rPr>
          <w:rFonts w:hint="eastAsia" w:ascii="仿宋_GB2312" w:eastAsia="仿宋_GB2312"/>
          <w:color w:val="auto"/>
          <w:kern w:val="2"/>
          <w:sz w:val="32"/>
          <w:szCs w:val="32"/>
          <w:u w:val="none" w:color="auto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/>
        <w:jc w:val="both"/>
        <w:textAlignment w:val="auto"/>
        <w:outlineLvl w:val="9"/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</w:pPr>
      <w:r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行政许可是政府依法管理经济社会事务的重要手段，全面实行行政许可事项清单管理，有利于进一步明晰行政许可权力边界、规范行政许可运行，为企业和群众持续打造更加公平高效的政务环境。为做好清单管理工作，县政府办公室印发了《关于印发</w:t>
      </w:r>
      <w:r>
        <w:rPr>
          <w:rFonts w:hint="eastAsia" w:ascii="仿宋" w:hAnsi="仿宋" w:eastAsia="仿宋" w:cs="仿宋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〈宁晋县</w:t>
      </w:r>
      <w:r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行政许可事项清单（2023年版）</w:t>
      </w:r>
      <w:r>
        <w:rPr>
          <w:rFonts w:hint="eastAsia" w:ascii="仿宋" w:hAnsi="仿宋" w:eastAsia="仿宋" w:cs="仿宋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〉</w:t>
      </w:r>
      <w:r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的通知》（以下简称《通知》）。为便于各部门及社会公众更好理解相关内容，切实抓好各项工作落实，现就《通知》及我县清单出台的背景和主要内容等解读如下:</w:t>
      </w:r>
    </w:p>
    <w:p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/>
          <w:snapToGrid w:val="0"/>
          <w:color w:val="000000"/>
          <w:spacing w:val="0"/>
          <w:kern w:val="21"/>
          <w:sz w:val="32"/>
          <w:szCs w:val="32"/>
          <w:u w:val="none" w:color="auto"/>
        </w:rPr>
      </w:pPr>
      <w:r>
        <w:rPr>
          <w:rFonts w:hint="eastAsia" w:ascii="黑体" w:hAnsi="黑体" w:eastAsia="黑体"/>
          <w:snapToGrid w:val="0"/>
          <w:color w:val="000000"/>
          <w:spacing w:val="0"/>
          <w:kern w:val="21"/>
          <w:sz w:val="32"/>
          <w:szCs w:val="32"/>
          <w:u w:val="none" w:color="auto"/>
        </w:rPr>
        <w:t>一、起草</w:t>
      </w:r>
      <w:r>
        <w:rPr>
          <w:rFonts w:hint="eastAsia" w:ascii="黑体" w:hAnsi="黑体" w:eastAsia="黑体"/>
          <w:snapToGrid w:val="0"/>
          <w:color w:val="000000"/>
          <w:spacing w:val="0"/>
          <w:kern w:val="21"/>
          <w:sz w:val="32"/>
          <w:szCs w:val="32"/>
          <w:u w:val="none" w:color="auto"/>
          <w:lang w:eastAsia="zh-CN"/>
        </w:rPr>
        <w:t>背景和</w:t>
      </w:r>
      <w:r>
        <w:rPr>
          <w:rFonts w:hint="eastAsia" w:ascii="黑体" w:hAnsi="黑体" w:eastAsia="黑体"/>
          <w:snapToGrid w:val="0"/>
          <w:color w:val="000000"/>
          <w:spacing w:val="0"/>
          <w:kern w:val="21"/>
          <w:sz w:val="32"/>
          <w:szCs w:val="32"/>
          <w:u w:val="none" w:color="auto"/>
        </w:rPr>
        <w:t>过程</w:t>
      </w:r>
    </w:p>
    <w:p>
      <w:pPr>
        <w:pStyle w:val="2"/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/>
        <w:jc w:val="both"/>
        <w:textAlignment w:val="auto"/>
        <w:outlineLvl w:val="9"/>
        <w:rPr>
          <w:rFonts w:hint="default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</w:pPr>
      <w:r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2022年1月，国务院办公厅印发《关于全面实行行政许可事项清单管理的通知》（国办发〔2022〕2号），公布《法律、行政法规、国务院决定设定的行政许可事项清单（2022年版）》。清单印发后，根据党中央、国务院决策部署，一些法律法规作了修订，有的机构职能发生调整，涉及清单中的部分行政许可事项，有关部门已经依法依规施行。按照清单管理工作机制，国务院办公厅会同有关部门对行政许可事项调整情况进行汇总，修订形成《法律、行政法规、国务院决定设定的行政许可事项清单（2023年版）》。6月2日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河北省人民政府办公厅印发</w:t>
      </w:r>
      <w:r>
        <w:rPr>
          <w:rFonts w:hint="eastAsia" w:ascii="仿宋_GB2312" w:hAnsi="仿宋_GB2312" w:eastAsia="仿宋_GB2312" w:cs="仿宋_GB2312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河北省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行政许可事项清单（2023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年版</w:t>
      </w:r>
      <w:r>
        <w:rPr>
          <w:rFonts w:hint="eastAsia" w:ascii="仿宋_GB2312" w:hAnsi="仿宋_GB2312" w:eastAsia="仿宋_GB2312" w:cs="仿宋_GB2312"/>
          <w:sz w:val="32"/>
          <w:szCs w:val="32"/>
        </w:rPr>
        <w:t>）》（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冀政</w:t>
      </w:r>
      <w:r>
        <w:rPr>
          <w:rFonts w:hint="eastAsia" w:ascii="仿宋_GB2312" w:hAnsi="仿宋_GB2312" w:eastAsia="仿宋_GB2312" w:cs="仿宋_GB2312"/>
          <w:sz w:val="32"/>
          <w:szCs w:val="32"/>
        </w:rPr>
        <w:t>办发〔2023〕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号）</w:t>
      </w:r>
      <w:r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要求7月底前编制公布本地本部门行政许可事项清单。7月14日，邢台市人民政府办公室印发《邢台市行政许可事项清单（2023年版）》（邢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</w:t>
      </w:r>
      <w:r>
        <w:rPr>
          <w:rFonts w:hint="eastAsia" w:ascii="仿宋_GB2312" w:hAnsi="仿宋_GB2312" w:eastAsia="仿宋_GB2312" w:cs="仿宋_GB2312"/>
          <w:sz w:val="32"/>
          <w:szCs w:val="32"/>
        </w:rPr>
        <w:t>办发〔2023〕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号</w:t>
      </w:r>
      <w:r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），要求各级各部门及时编制公布行政许可事项清单。</w:t>
      </w:r>
    </w:p>
    <w:p>
      <w:pPr>
        <w:pStyle w:val="2"/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/>
        <w:jc w:val="both"/>
        <w:textAlignment w:val="auto"/>
        <w:outlineLvl w:val="9"/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</w:pPr>
      <w:r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为贯彻落实国务院部署要求和省、市</w:t>
      </w:r>
      <w:bookmarkStart w:id="0" w:name="_GoBack"/>
      <w:bookmarkEnd w:id="0"/>
      <w:r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工作安排，根据县政府领导批示要求，县行政审批局（县政务服务办）作为牵头部门，起草了《通知》，并组织相关部门对全县范围内实施（含初审、受理、受委托实施）的行政许可事项进行了认领，编制形成了《宁晋县行政许可事项清单（2023年版）》（以下简称《清单》），经县政府同意后印发实施。</w:t>
      </w:r>
    </w:p>
    <w:p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/>
          <w:snapToGrid w:val="0"/>
          <w:color w:val="000000"/>
          <w:spacing w:val="0"/>
          <w:kern w:val="21"/>
          <w:sz w:val="32"/>
          <w:szCs w:val="32"/>
          <w:u w:val="none" w:color="auto"/>
          <w:lang w:val="en-US" w:eastAsia="zh-CN"/>
        </w:rPr>
      </w:pPr>
      <w:r>
        <w:rPr>
          <w:rFonts w:hint="eastAsia" w:ascii="黑体" w:hAnsi="黑体" w:eastAsia="黑体"/>
          <w:snapToGrid w:val="0"/>
          <w:color w:val="000000"/>
          <w:spacing w:val="0"/>
          <w:kern w:val="21"/>
          <w:sz w:val="32"/>
          <w:szCs w:val="32"/>
          <w:u w:val="none" w:color="auto"/>
          <w:lang w:val="en-US" w:eastAsia="zh-CN"/>
        </w:rPr>
        <w:t>二、《通知》主要内容</w:t>
      </w:r>
    </w:p>
    <w:p>
      <w:pPr>
        <w:pStyle w:val="2"/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/>
        <w:jc w:val="both"/>
        <w:textAlignment w:val="auto"/>
        <w:outlineLvl w:val="9"/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</w:pPr>
      <w:r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《通知》共包含三个部分，《清单》作为附件。</w:t>
      </w:r>
    </w:p>
    <w:p>
      <w:pPr>
        <w:pStyle w:val="2"/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/>
        <w:jc w:val="both"/>
        <w:textAlignment w:val="auto"/>
        <w:outlineLvl w:val="9"/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</w:pPr>
      <w:r>
        <w:rPr>
          <w:rFonts w:hint="eastAsia" w:ascii="楷体" w:hAnsi="楷体" w:eastAsia="楷体" w:cs="楷体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（一）严格落实行政许可清单。</w:t>
      </w:r>
      <w:r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各部门要认真落实行政许可事项清单，进一步强化实施情况的动态评估和全程监督，做到“清单之外无审批”。</w:t>
      </w:r>
    </w:p>
    <w:p>
      <w:pPr>
        <w:pStyle w:val="2"/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/>
        <w:jc w:val="both"/>
        <w:textAlignment w:val="auto"/>
        <w:outlineLvl w:val="9"/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</w:pPr>
      <w:r>
        <w:rPr>
          <w:rFonts w:hint="eastAsia" w:ascii="楷体" w:hAnsi="楷体" w:eastAsia="楷体" w:cs="楷体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（二）依法依规实施许可。</w:t>
      </w:r>
      <w:r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完善公开行政许可办事指南，除法律法规有明确规定的外，不得违规设置环节，不得随意增加门槛。</w:t>
      </w:r>
    </w:p>
    <w:p>
      <w:pPr>
        <w:pStyle w:val="2"/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/>
        <w:jc w:val="both"/>
        <w:textAlignment w:val="auto"/>
        <w:outlineLvl w:val="9"/>
        <w:rPr>
          <w:rFonts w:hint="default"/>
          <w:lang w:val="en-US" w:eastAsia="zh-CN"/>
        </w:rPr>
      </w:pPr>
      <w:r>
        <w:rPr>
          <w:rFonts w:hint="eastAsia" w:ascii="楷体" w:hAnsi="楷体" w:eastAsia="楷体" w:cs="楷体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（三）完善衔接工作机制。</w:t>
      </w:r>
      <w:r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依托清单逐项明确监管主体，厘清审管职责边界，强化行政审批与行业监管的有效衔接。</w:t>
      </w:r>
    </w:p>
    <w:p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/>
          <w:snapToGrid w:val="0"/>
          <w:color w:val="000000"/>
          <w:spacing w:val="0"/>
          <w:kern w:val="21"/>
          <w:sz w:val="32"/>
          <w:szCs w:val="32"/>
          <w:u w:val="none" w:color="auto"/>
          <w:lang w:val="en-US" w:eastAsia="zh-CN"/>
        </w:rPr>
      </w:pPr>
      <w:r>
        <w:rPr>
          <w:rFonts w:hint="eastAsia" w:ascii="黑体" w:hAnsi="黑体" w:eastAsia="黑体"/>
          <w:snapToGrid w:val="0"/>
          <w:color w:val="000000"/>
          <w:spacing w:val="0"/>
          <w:kern w:val="21"/>
          <w:sz w:val="32"/>
          <w:szCs w:val="32"/>
          <w:u w:val="none" w:color="auto"/>
          <w:lang w:eastAsia="zh-CN"/>
        </w:rPr>
        <w:t>三</w:t>
      </w:r>
      <w:r>
        <w:rPr>
          <w:rFonts w:hint="eastAsia" w:ascii="黑体" w:hAnsi="黑体" w:eastAsia="黑体"/>
          <w:snapToGrid w:val="0"/>
          <w:color w:val="000000"/>
          <w:spacing w:val="0"/>
          <w:kern w:val="21"/>
          <w:sz w:val="32"/>
          <w:szCs w:val="32"/>
          <w:u w:val="none" w:color="auto"/>
        </w:rPr>
        <w:t>、关于《清单》</w:t>
      </w:r>
    </w:p>
    <w:p>
      <w:pPr>
        <w:pStyle w:val="2"/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/>
        <w:jc w:val="both"/>
        <w:textAlignment w:val="auto"/>
        <w:outlineLvl w:val="9"/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</w:pPr>
      <w:r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  <w:t>《河北省行政许可事项清单（2023年版）》共计706项，涉及55个部门。经全面梳理核对，涉及县级及以下应当编入我县行政许可事项清单的245项，涉及26个部门。其中，中央层面设定省级及以下实施的事项206项，省级委托县级及以下受理、初审、审批的事项19项，中直驻冀单位实施的事项7项，河北省地方性法规自行设定的事项13项。</w:t>
      </w:r>
    </w:p>
    <w:p>
      <w:pPr>
        <w:pStyle w:val="2"/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  <w:between w:val="none" w:color="auto" w:sz="0" w:space="0"/>
        </w:pBdr>
        <w:shd w:val="clear" w:color="auto" w:fill="auto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before="0" w:after="0" w:line="576" w:lineRule="exact"/>
        <w:ind w:left="0" w:leftChars="0" w:right="0" w:rightChars="0"/>
        <w:jc w:val="both"/>
        <w:textAlignment w:val="auto"/>
        <w:outlineLvl w:val="9"/>
        <w:rPr>
          <w:rFonts w:hint="eastAsia" w:ascii="仿宋_GB2312" w:eastAsia="仿宋_GB2312"/>
          <w:snapToGrid w:val="0"/>
          <w:color w:val="auto"/>
          <w:spacing w:val="0"/>
          <w:kern w:val="21"/>
          <w:sz w:val="32"/>
          <w:szCs w:val="32"/>
          <w:u w:val="none" w:color="auto"/>
          <w:lang w:val="en-US" w:eastAsia="zh-CN" w:bidi="ar-SA"/>
        </w:rPr>
      </w:pPr>
    </w:p>
    <w:p/>
    <w:sectPr>
      <w:footerReference r:id="rId4" w:type="default"/>
      <w:headerReference r:id="rId3" w:type="even"/>
      <w:footerReference r:id="rId5" w:type="even"/>
      <w:pgSz w:w="11906" w:h="16838"/>
      <w:pgMar w:top="2041" w:right="1531" w:bottom="1984" w:left="1531" w:header="567" w:footer="1474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rtlGutter w:val="0"/>
      <w:docGrid w:type="lines" w:linePitch="32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??_GB2312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创艺简标宋">
    <w:altName w:val="方正小标宋简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val="en-US" w:eastAsia="zh-CN"/>
                            </w:rPr>
                            <w:t xml:space="preserve"> 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- 16 -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v3sYQ8gBAACbAwAADgAAAGRycy9lMm9Eb2MueG1srVNLbtswEN0X6B0I&#10;7msqXhSGYDloYCQoEKQF0h6ApkiLAH/g0JZ8gfYGXXXTfc/lc3RISU6abrLohhrODN/MezNaXw/W&#10;kKOMoL1r6NWiokQ64Vvt9g39+uX23YoSSNy13HgnG3qSQK83b9+s+1DLpe+8aWUkCOKg7kNDu5RC&#10;zRiITloOCx+kw6Dy0fKE17hnbeQ9olvDllX1nvU+tiF6IQHQux2DdEKMrwH0Smkht14crHRpRI3S&#10;8ISUoNMB6KZ0q5QU6ZNSIBMxDUWmqZxYBO1dPtlmzet95KHTYmqBv6aFF5ws1w6LXqC2PHFyiPof&#10;KKtF9OBVWghv2UikKIIsrqoX2jx2PMjCBaWGcBEd/h+seDh+jkS3uAkoieMWJ37+8f388/f51zeC&#10;PhSoD1Bj3mPAzDTc+AGTZz+gM/MeVLT5i4wIxhHrdJFXDomI/Gi1XK0qDAmMzRfEZ0/PQ4R0J70l&#10;2WhoxPkVWfnxHtKYOqfkas7famPKDI37y4GY2cNy72OP2UrDbpgI7Xx7Qj49jr6hDjedEvPRobLY&#10;X5qNOBu72TiEqPddWaNcD8KHQ8ImSm+5wgg7FcaZFXbTfuWleH4vWU//1OYP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L97GEPIAQAAmw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val="en-US" w:eastAsia="zh-CN"/>
                      </w:rPr>
                      <w:t xml:space="preserve"> 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- 16 -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BiMTRhMWE0ODliMjMwOWQ3MTllNjNmNTViZWU2YmMifQ=="/>
  </w:docVars>
  <w:rsids>
    <w:rsidRoot w:val="62140E39"/>
    <w:rsid w:val="00396E9F"/>
    <w:rsid w:val="008E60D7"/>
    <w:rsid w:val="026E0D49"/>
    <w:rsid w:val="05392160"/>
    <w:rsid w:val="08234384"/>
    <w:rsid w:val="0B275F39"/>
    <w:rsid w:val="10344CFF"/>
    <w:rsid w:val="114C494B"/>
    <w:rsid w:val="12EA172A"/>
    <w:rsid w:val="18671338"/>
    <w:rsid w:val="1E03030C"/>
    <w:rsid w:val="214116AB"/>
    <w:rsid w:val="2CF021D7"/>
    <w:rsid w:val="33C5616B"/>
    <w:rsid w:val="3BD553B9"/>
    <w:rsid w:val="3D474095"/>
    <w:rsid w:val="3FAE3F57"/>
    <w:rsid w:val="41B617E9"/>
    <w:rsid w:val="441D16AC"/>
    <w:rsid w:val="48CA7928"/>
    <w:rsid w:val="4C35269E"/>
    <w:rsid w:val="518F170F"/>
    <w:rsid w:val="54F84E40"/>
    <w:rsid w:val="556E7FB9"/>
    <w:rsid w:val="561B6833"/>
    <w:rsid w:val="5A7D464A"/>
    <w:rsid w:val="5C5D48E3"/>
    <w:rsid w:val="5D902A97"/>
    <w:rsid w:val="5E914232"/>
    <w:rsid w:val="5FF76DFD"/>
    <w:rsid w:val="62140E39"/>
    <w:rsid w:val="6C501D6F"/>
    <w:rsid w:val="6CA1255E"/>
    <w:rsid w:val="6D2B6338"/>
    <w:rsid w:val="6DD503C0"/>
    <w:rsid w:val="6E5F44EB"/>
    <w:rsid w:val="70EB475C"/>
    <w:rsid w:val="76CE0460"/>
    <w:rsid w:val="784E2CAA"/>
    <w:rsid w:val="79EF4685"/>
    <w:rsid w:val="7AB7745D"/>
    <w:rsid w:val="7CC0084B"/>
    <w:rsid w:val="7DF36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420" w:firstLineChars="200"/>
    </w:pPr>
  </w:style>
  <w:style w:type="paragraph" w:styleId="3">
    <w:name w:val="Body Text Indent"/>
    <w:basedOn w:val="1"/>
    <w:next w:val="1"/>
    <w:qFormat/>
    <w:uiPriority w:val="0"/>
    <w:pPr>
      <w:widowControl/>
      <w:ind w:firstLine="680"/>
      <w:jc w:val="left"/>
    </w:pPr>
    <w:rPr>
      <w:rFonts w:ascii="??_GB2312" w:hAnsi="创艺简标宋" w:eastAsia="Times New Roman" w:cs="??_GB2312"/>
      <w:kern w:val="0"/>
      <w:sz w:val="32"/>
      <w:szCs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8">
    <w:name w:val="font4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footer1.xml" Type="http://schemas.openxmlformats.org/officeDocument/2006/relationships/footer"/><Relationship Id="rId5" Target="footer2.xml" Type="http://schemas.openxmlformats.org/officeDocument/2006/relationships/footer"/><Relationship Id="rId6" Target="theme/theme1.xml" Type="http://schemas.openxmlformats.org/officeDocument/2006/relationships/theme"/><Relationship Id="rId7" Target="../customXml/item1.xml" Type="http://schemas.openxmlformats.org/officeDocument/2006/relationships/customXml"/><Relationship Id="rId8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2022-09-27T01:35:00Z</dcterms:created>
  <dc:creator>Administrator</dc:creator>
  <cp:lastModifiedBy>希玉</cp:lastModifiedBy>
  <cp:lastPrinted>2023-10-30T07:29:24Z</cp:lastPrinted>
  <dcterms:modified xsi:type="dcterms:W3CDTF">2023-10-30T07:35:20Z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9949CCDFEE804E7983A1BE34D296E438_13</vt:lpwstr>
  </property>
</Properties>
</file>