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公文小标宋" w:hAnsi="方正公文小标宋" w:eastAsia="方正公文小标宋" w:cs="方正公文小标宋"/>
          <w:b/>
          <w:i w:val="0"/>
          <w:caps w:val="0"/>
          <w:color w:val="333333"/>
          <w:spacing w:val="0"/>
          <w:sz w:val="44"/>
          <w:szCs w:val="44"/>
          <w:shd w:val="clear" w:color="auto" w:fill="FFFFFF"/>
          <w:lang w:val="en-US" w:eastAsia="zh-CN"/>
        </w:rPr>
      </w:pPr>
      <w:r>
        <w:rPr>
          <w:rFonts w:hint="eastAsia" w:ascii="方正公文小标宋" w:hAnsi="方正公文小标宋" w:eastAsia="方正公文小标宋" w:cs="方正公文小标宋"/>
          <w:b/>
          <w:i w:val="0"/>
          <w:caps w:val="0"/>
          <w:color w:val="333333"/>
          <w:spacing w:val="0"/>
          <w:sz w:val="44"/>
          <w:szCs w:val="44"/>
          <w:shd w:val="clear" w:color="auto" w:fill="FFFFFF"/>
          <w:lang w:eastAsia="zh-CN"/>
        </w:rPr>
        <w:t>宁晋县</w:t>
      </w:r>
      <w:r>
        <w:rPr>
          <w:rFonts w:hint="eastAsia" w:ascii="方正公文小标宋" w:hAnsi="方正公文小标宋" w:eastAsia="方正公文小标宋" w:cs="方正公文小标宋"/>
          <w:b/>
          <w:i w:val="0"/>
          <w:caps w:val="0"/>
          <w:color w:val="333333"/>
          <w:spacing w:val="0"/>
          <w:sz w:val="44"/>
          <w:szCs w:val="44"/>
          <w:shd w:val="clear" w:color="auto" w:fill="FFFFFF"/>
          <w:lang w:val="en-US" w:eastAsia="zh-CN"/>
        </w:rPr>
        <w:t>卫生健康局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公文小标宋" w:hAnsi="方正公文小标宋" w:eastAsia="方正公文小标宋" w:cs="方正公文小标宋"/>
          <w:i w:val="0"/>
          <w:caps w:val="0"/>
          <w:color w:val="333333"/>
          <w:spacing w:val="0"/>
          <w:sz w:val="44"/>
          <w:szCs w:val="44"/>
        </w:rPr>
      </w:pPr>
      <w:r>
        <w:rPr>
          <w:rFonts w:hint="eastAsia" w:ascii="方正公文小标宋" w:hAnsi="方正公文小标宋" w:eastAsia="方正公文小标宋" w:cs="方正公文小标宋"/>
          <w:b/>
          <w:i w:val="0"/>
          <w:caps w:val="0"/>
          <w:color w:val="333333"/>
          <w:spacing w:val="0"/>
          <w:sz w:val="44"/>
          <w:szCs w:val="44"/>
          <w:shd w:val="clear" w:color="auto" w:fill="FFFFFF"/>
          <w:lang w:val="en-US" w:eastAsia="zh-CN"/>
        </w:rPr>
        <w:t>2023年</w:t>
      </w:r>
      <w:r>
        <w:rPr>
          <w:rFonts w:hint="eastAsia" w:ascii="方正公文小标宋" w:hAnsi="方正公文小标宋" w:eastAsia="方正公文小标宋" w:cs="方正公文小标宋"/>
          <w:b/>
          <w:i w:val="0"/>
          <w:caps w:val="0"/>
          <w:color w:val="333333"/>
          <w:spacing w:val="0"/>
          <w:sz w:val="44"/>
          <w:szCs w:val="44"/>
          <w:shd w:val="clear" w:color="auto" w:fill="FFFFFF"/>
        </w:rPr>
        <w:t>政府信息公开工作年度报告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按照国办印发的《中华人民共和国政府信息公开工作年度报告格式》及《政府信息公开工作年度报告编发指南（参考）》等文件要求，结合本单位实际，编制2023年政府信息公开年度报告。本报告由总体情况、主动公开政府信息情况、收到和处理政府信息公开申请情况、政府信息公开行政复议、行政诉讼情况、存在的主要问题及改进情况、其他需要报告的事项共六个部分组成。本年报中所列数据的统计期限为2023年1月1日至12月31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一、总体情况</w:t>
      </w: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根据《中华人民共和国政府信息公开条例》和《宁晋县人民政府办公室关于印发宁晋县2023年政务公开工作任务分工的通知》精神要求，我局积极抓好各项工作任务的推进落实，加强信息发布工作，完善工作机制，进一步加大公开力度，不断增强政府信息公开实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一）加大主动公开力度。一是建立健全信息公开制度。健全完善了政务公开各项工作制度，将“五公开”、政策解读、舆情回应等纳入其中，按时主动发布涉及民生事业、群众关切等事项政务信息，确保公开工作做到规范、高效、便民。二是持续强化政务公开能力。2023年共公开各类信息189条，主要涉及日常动态、预算决算、行政处罚、人大政协提案、公共卫生服务等各项内容。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二)遵循依申请公开程序。严格落实《河北省政府信息公开申请办理规范》文件，认真遵循依申请公开程序。2023年我局未发生依申请公开和未发生针对本机关有关政府信息公开事务的申诉、行政复议案件，也未引起相关的行政诉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三）规范政府信息管理。一是扎实做好舆情搜集、研判、处置和回应，确保回应不超时、内容不敷衍。截至目前，办理电子政务转办卡10余件、便民热线交办单160余件，时限内办结率达100%。未发生对重大政务舆情处置不得力、回应不妥当、报告不及时的事件。二是紧密围绕落实“放管服”政策,精简和规范行政许可申报程序，推进行政许可事项进一步下放和转移，有效提高办事效率和行政效能。自2020年以来，我局行政许可事项全部转移至行政审批局办理。三是积极推进“双随机、一公开”的监管模式，加强事中事后监管，把日常监管和“双随机、一公开”工作结合起来。2023年共公开双随机抽查结果信息137条。四是及时在政府网站公开人大代表建议、政协提案办理情况，确保人大、政协监督权的落实与发挥，为维护人民群众的合法权益提供重要保障。2023年，我局共承办人大提案10件、政协提案8件，其中市人大提案1件、市政协提案1件。五是严格落实行政执法公示制度，规范行政执法行为。2023年在政府网站政务公开公布卫健局权责清单及行政执法证件人员信息23人、公布行政处罚信息41条。六是按照财政局要求，全面公开财政预决算信息，完善预决算公开操作规程，今年以来共公开预决算信息2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四）强化信息公开平台建设。重点抓好“中国宁晋”政务网站信息报送和宁晋卫生健康微信公众号和宁晋日报卫生健康专刊的建设，充分发挥其便捷、及时的政府信息公开载体作用。对于应当公开的信息第一时间在微信公众号公布；2023年，通过微信公众号推送信息1100余篇，对于群众关心的咨询以最快速度给予回复；让信息公开工作平台成为群众表达诉求、群众监督政府机关的重要平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iCs w:val="0"/>
          <w:caps w:val="0"/>
          <w:color w:val="333333"/>
          <w:spacing w:val="0"/>
          <w:sz w:val="32"/>
          <w:szCs w:val="32"/>
        </w:rPr>
      </w:pPr>
      <w:r>
        <w:rPr>
          <w:rFonts w:hint="eastAsia" w:ascii="仿宋" w:hAnsi="仿宋" w:eastAsia="仿宋" w:cs="仿宋"/>
          <w:i w:val="0"/>
          <w:iCs w:val="0"/>
          <w:caps w:val="0"/>
          <w:color w:val="333333"/>
          <w:spacing w:val="0"/>
          <w:sz w:val="32"/>
          <w:szCs w:val="32"/>
          <w:shd w:val="clear" w:fill="FFFFFF"/>
          <w:lang w:val="en-US" w:eastAsia="zh-CN"/>
        </w:rPr>
        <w:t>（五）增强公开监督保障效力。严格按照政务公开信息程序进行公开，规范信息上传台账。根据省、市、县各级要求，定期开展“回头看”工作，强化主体责任，着力加强自身建设，自觉与上级政府对标对表。通过监测平台及自查自纠，对发现问题及时纠正，并制定解决方案，确保通过外部监督及内部自查提升自身公开能力，为更好开展信息公开工作打下基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二、主动公开政府信息情况</w:t>
      </w: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sz w:val="24"/>
                <w:szCs w:val="24"/>
                <w:lang w:val="en-US" w:eastAsia="zh-CN"/>
              </w:rPr>
              <w:t>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default" w:ascii="宋体" w:eastAsiaTheme="minorEastAsia"/>
                <w:sz w:val="24"/>
                <w:szCs w:val="24"/>
                <w:lang w:val="en-US" w:eastAsia="zh-CN"/>
              </w:rPr>
            </w:pPr>
            <w:r>
              <w:rPr>
                <w:rFonts w:hint="eastAsia" w:ascii="宋体"/>
                <w:sz w:val="24"/>
                <w:szCs w:val="24"/>
                <w:lang w:val="en-US" w:eastAsia="zh-CN"/>
              </w:rPr>
              <w:t>311.9890</w:t>
            </w:r>
          </w:p>
        </w:tc>
      </w:tr>
    </w:tbl>
    <w:p>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auto"/>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5150"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998"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714"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7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714"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714"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714"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Calibri" w:hAnsi="Calibri" w:cs="Calibri"/>
                <w:kern w:val="0"/>
                <w:sz w:val="20"/>
                <w:szCs w:val="20"/>
                <w:lang w:val="en-US" w:eastAsia="zh-CN" w:bidi="ar"/>
              </w:rPr>
              <w:t>0</w:t>
            </w:r>
          </w:p>
        </w:tc>
      </w:tr>
    </w:tbl>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rPr>
          <w:rFonts w:hint="eastAsia" w:ascii="宋体" w:hAnsi="宋体" w:eastAsia="宋体" w:cs="宋体"/>
          <w:i w:val="0"/>
          <w:iCs w:val="0"/>
          <w:caps w:val="0"/>
          <w:color w:val="333333"/>
          <w:spacing w:val="0"/>
          <w:sz w:val="24"/>
          <w:szCs w:val="24"/>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rPr>
                <w:rFonts w:hint="eastAsia" w:ascii="宋体" w:eastAsiaTheme="minorEastAsia"/>
                <w:sz w:val="24"/>
                <w:szCs w:val="24"/>
                <w:lang w:val="en-US" w:eastAsia="zh-CN"/>
              </w:rPr>
            </w:pPr>
            <w:r>
              <w:rPr>
                <w:rFonts w:hint="eastAsia" w:ascii="黑体" w:hAnsi="宋体" w:eastAsia="黑体" w:cs="黑体"/>
                <w:kern w:val="0"/>
                <w:sz w:val="20"/>
                <w:szCs w:val="20"/>
                <w:lang w:val="en-US" w:eastAsia="zh-CN" w:bidi="ar"/>
              </w:rPr>
              <w:t>0</w:t>
            </w:r>
          </w:p>
        </w:tc>
      </w:tr>
    </w:tbl>
    <w:p>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auto"/>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仿宋" w:hAnsi="仿宋" w:eastAsia="仿宋" w:cs="仿宋"/>
          <w:i w:val="0"/>
          <w:iCs w:val="0"/>
          <w:caps w:val="0"/>
          <w:color w:val="333333"/>
          <w:spacing w:val="0"/>
          <w:sz w:val="32"/>
          <w:szCs w:val="32"/>
          <w:shd w:val="clear" w:fill="FFFFFF"/>
          <w:lang w:val="en-US" w:eastAsia="zh-CN"/>
        </w:rPr>
      </w:pPr>
      <w:r>
        <w:rPr>
          <w:rFonts w:hint="eastAsia" w:ascii="黑体" w:hAnsi="黑体" w:eastAsia="黑体" w:cs="黑体"/>
          <w:b/>
          <w:bCs/>
          <w:i w:val="0"/>
          <w:iCs w:val="0"/>
          <w:caps w:val="0"/>
          <w:color w:val="333333"/>
          <w:spacing w:val="0"/>
          <w:sz w:val="32"/>
          <w:szCs w:val="32"/>
          <w:shd w:val="clear" w:fill="FFFFFF"/>
        </w:rPr>
        <w:t>五、存在的主要问题及改进情况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bCs/>
          <w:i w:val="0"/>
          <w:iCs w:val="0"/>
          <w:caps w:val="0"/>
          <w:color w:val="333333"/>
          <w:spacing w:val="0"/>
          <w:sz w:val="32"/>
          <w:szCs w:val="32"/>
          <w:shd w:val="clear" w:fill="FFFFFF"/>
        </w:rPr>
      </w:pPr>
      <w:r>
        <w:rPr>
          <w:rFonts w:hint="eastAsia" w:ascii="仿宋" w:hAnsi="仿宋" w:eastAsia="仿宋" w:cs="仿宋"/>
          <w:i w:val="0"/>
          <w:iCs w:val="0"/>
          <w:caps w:val="0"/>
          <w:color w:val="333333"/>
          <w:spacing w:val="0"/>
          <w:sz w:val="32"/>
          <w:szCs w:val="32"/>
          <w:shd w:val="clear" w:fill="FFFFFF"/>
          <w:lang w:val="en-US" w:eastAsia="zh-CN"/>
        </w:rPr>
        <w:t xml:space="preserve"> 我局政务公开工作在县政府的正确领导下，做了大量工作，但还存在一些问题。一是工作机制有待进一步健全完善。政务公开相关制度已完成制定，但部分内容存在滞后性，需要进一步补充完善。二是工作人员业务水平需要进一步加强。从事政务公开的工作人员相对固定，存在固化思维，因此需要开展经常性的培训来提升工作质量，确保做到应公开、尽公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仿宋" w:hAnsi="仿宋" w:eastAsia="仿宋" w:cs="仿宋"/>
          <w:i w:val="0"/>
          <w:iCs w:val="0"/>
          <w:caps w:val="0"/>
          <w:color w:val="333333"/>
          <w:spacing w:val="0"/>
          <w:sz w:val="32"/>
          <w:szCs w:val="32"/>
          <w:shd w:val="clear" w:fill="FFFFFF"/>
          <w:lang w:val="en-US" w:eastAsia="zh-CN"/>
        </w:rPr>
      </w:pPr>
      <w:r>
        <w:rPr>
          <w:rFonts w:hint="eastAsia" w:ascii="黑体" w:hAnsi="黑体" w:eastAsia="黑体" w:cs="黑体"/>
          <w:b/>
          <w:bCs/>
          <w:i w:val="0"/>
          <w:iCs w:val="0"/>
          <w:caps w:val="0"/>
          <w:color w:val="333333"/>
          <w:spacing w:val="0"/>
          <w:sz w:val="32"/>
          <w:szCs w:val="32"/>
          <w:shd w:val="clear" w:fill="FFFFFF"/>
        </w:rPr>
        <w:t>六、其他需要报告的事项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2023年，宁晋县卫生健康局没有收取信息处理费，无其他需要报告事项。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仿宋" w:hAnsi="仿宋" w:eastAsia="仿宋" w:cs="仿宋"/>
          <w:i w:val="0"/>
          <w:iCs w:val="0"/>
          <w:caps w:val="0"/>
          <w:color w:val="333333"/>
          <w:spacing w:val="0"/>
          <w:sz w:val="32"/>
          <w:szCs w:val="32"/>
          <w:shd w:val="clear" w:fill="FFFFFF"/>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仿宋" w:hAnsi="仿宋" w:eastAsia="仿宋" w:cs="仿宋"/>
          <w:i w:val="0"/>
          <w:iCs w:val="0"/>
          <w:caps w:val="0"/>
          <w:color w:val="333333"/>
          <w:spacing w:val="0"/>
          <w:sz w:val="32"/>
          <w:szCs w:val="32"/>
          <w:shd w:val="clear" w:fill="FFFFFF"/>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仿宋" w:hAnsi="仿宋" w:eastAsia="仿宋" w:cs="仿宋"/>
          <w:i w:val="0"/>
          <w:iCs w:val="0"/>
          <w:caps w:val="0"/>
          <w:color w:val="333333"/>
          <w:spacing w:val="0"/>
          <w:sz w:val="32"/>
          <w:szCs w:val="32"/>
          <w:shd w:val="clear" w:fill="FFFFFF"/>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仿宋" w:hAnsi="仿宋" w:eastAsia="仿宋" w:cs="仿宋"/>
          <w:i w:val="0"/>
          <w:iCs w:val="0"/>
          <w:caps w:val="0"/>
          <w:color w:val="333333"/>
          <w:spacing w:val="0"/>
          <w:sz w:val="32"/>
          <w:szCs w:val="32"/>
          <w:shd w:val="clear" w:fill="FFFFFF"/>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default"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2024年1月15日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A8814A4-895C-431C-A4DE-E57E5F3EF1D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D5061168-9D06-49D2-B1E1-EAC75BBCB99B}"/>
  </w:font>
  <w:font w:name="方正公文小标宋">
    <w:panose1 w:val="02000500000000000000"/>
    <w:charset w:val="86"/>
    <w:family w:val="auto"/>
    <w:pitch w:val="default"/>
    <w:sig w:usb0="A00002BF" w:usb1="38CF7CFA" w:usb2="00000016" w:usb3="00000000" w:csb0="00040001" w:csb1="00000000"/>
    <w:embedRegular r:id="rId3" w:fontKey="{1DF4EB45-CC85-4CEF-AA23-25A58062F6BF}"/>
  </w:font>
  <w:font w:name="仿宋">
    <w:panose1 w:val="02010609060101010101"/>
    <w:charset w:val="86"/>
    <w:family w:val="auto"/>
    <w:pitch w:val="default"/>
    <w:sig w:usb0="800002BF" w:usb1="38CF7CFA" w:usb2="00000016" w:usb3="00000000" w:csb0="00040001" w:csb1="00000000"/>
    <w:embedRegular r:id="rId4" w:fontKey="{E029F496-C959-40C3-9F06-F5B826CE6623}"/>
  </w:font>
  <w:font w:name="楷体">
    <w:panose1 w:val="02010609060101010101"/>
    <w:charset w:val="86"/>
    <w:family w:val="auto"/>
    <w:pitch w:val="default"/>
    <w:sig w:usb0="800002BF" w:usb1="38CF7CFA" w:usb2="00000016" w:usb3="00000000" w:csb0="00040001" w:csb1="00000000"/>
    <w:embedRegular r:id="rId5" w:fontKey="{CA74D002-BAE3-4B0E-AF99-E6E5F1C0CB2B}"/>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NhNWIzOWZiM2VlMzY1ZjRhZDI5ZWE4OTU3MjE3YmMifQ=="/>
  </w:docVars>
  <w:rsids>
    <w:rsidRoot w:val="063977E7"/>
    <w:rsid w:val="063977E7"/>
    <w:rsid w:val="07F133DF"/>
    <w:rsid w:val="17B15508"/>
    <w:rsid w:val="18CD0120"/>
    <w:rsid w:val="1A1B6348"/>
    <w:rsid w:val="1BD1392C"/>
    <w:rsid w:val="2D3A7792"/>
    <w:rsid w:val="3B8755FA"/>
    <w:rsid w:val="401E2F1A"/>
    <w:rsid w:val="55985DCC"/>
    <w:rsid w:val="56FB7981"/>
    <w:rsid w:val="58D00F8B"/>
    <w:rsid w:val="596671F9"/>
    <w:rsid w:val="656654B0"/>
    <w:rsid w:val="68386205"/>
    <w:rsid w:val="6A1B7B8C"/>
    <w:rsid w:val="76AC04E9"/>
    <w:rsid w:val="7AD1051F"/>
    <w:rsid w:val="7E4809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23</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WHT</cp:lastModifiedBy>
  <cp:lastPrinted>2024-01-15T09:07:32Z</cp:lastPrinted>
  <dcterms:modified xsi:type="dcterms:W3CDTF">2024-01-15T09:13:03Z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1157CE926B71424ABCEDD46E97C11597</vt:lpwstr>
  </property>
</Properties>
</file>