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u w:val="none"/>
          <w:shd w:val="clear" w:fill="FFFFFF"/>
          <w:lang w:val="en-US" w:eastAsia="zh-CN"/>
        </w:rPr>
      </w:pPr>
      <w:r>
        <w:rPr>
          <w:rFonts w:hint="eastAsia" w:ascii="方正小标宋简体" w:hAnsi="方正小标宋简体" w:eastAsia="方正小标宋简体" w:cs="方正小标宋简体"/>
          <w:b w:val="0"/>
          <w:bCs/>
          <w:i w:val="0"/>
          <w:caps w:val="0"/>
          <w:color w:val="333333"/>
          <w:spacing w:val="0"/>
          <w:sz w:val="44"/>
          <w:szCs w:val="44"/>
          <w:u w:val="none"/>
          <w:shd w:val="clear" w:fill="FFFFFF"/>
        </w:rPr>
        <w:t>宁晋县宁北街道</w:t>
      </w:r>
      <w:r>
        <w:rPr>
          <w:rFonts w:hint="eastAsia" w:ascii="方正小标宋简体" w:hAnsi="方正小标宋简体" w:eastAsia="方正小标宋简体" w:cs="方正小标宋简体"/>
          <w:b w:val="0"/>
          <w:bCs/>
          <w:i w:val="0"/>
          <w:caps w:val="0"/>
          <w:color w:val="333333"/>
          <w:spacing w:val="0"/>
          <w:sz w:val="44"/>
          <w:szCs w:val="44"/>
          <w:u w:val="none"/>
          <w:shd w:val="clear" w:fill="FFFFFF"/>
          <w:lang w:val="en-US" w:eastAsia="zh-CN"/>
        </w:rPr>
        <w:t>办事处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i w:val="0"/>
          <w:color w:val="333333"/>
          <w:sz w:val="44"/>
          <w:szCs w:val="44"/>
          <w:u w:val="none"/>
        </w:rPr>
      </w:pPr>
      <w:r>
        <w:rPr>
          <w:rFonts w:hint="eastAsia" w:ascii="方正小标宋简体" w:hAnsi="方正小标宋简体" w:eastAsia="方正小标宋简体" w:cs="方正小标宋简体"/>
          <w:b w:val="0"/>
          <w:bCs/>
          <w:i w:val="0"/>
          <w:caps w:val="0"/>
          <w:color w:val="333333"/>
          <w:spacing w:val="0"/>
          <w:sz w:val="44"/>
          <w:szCs w:val="44"/>
          <w:u w:val="none"/>
          <w:shd w:val="clear" w:fill="FFFFFF"/>
        </w:rPr>
        <w:t>202</w:t>
      </w:r>
      <w:r>
        <w:rPr>
          <w:rFonts w:hint="eastAsia" w:ascii="方正小标宋简体" w:hAnsi="方正小标宋简体" w:eastAsia="方正小标宋简体" w:cs="方正小标宋简体"/>
          <w:b w:val="0"/>
          <w:bCs/>
          <w:i w:val="0"/>
          <w:caps w:val="0"/>
          <w:color w:val="333333"/>
          <w:spacing w:val="0"/>
          <w:sz w:val="44"/>
          <w:szCs w:val="44"/>
          <w:u w:val="none"/>
          <w:shd w:val="clear" w:fill="FFFFFF"/>
          <w:lang w:val="en-US" w:eastAsia="zh-CN"/>
        </w:rPr>
        <w:t>3</w:t>
      </w:r>
      <w:r>
        <w:rPr>
          <w:rFonts w:hint="eastAsia" w:ascii="方正小标宋简体" w:hAnsi="方正小标宋简体" w:eastAsia="方正小标宋简体" w:cs="方正小标宋简体"/>
          <w:b w:val="0"/>
          <w:bCs/>
          <w:i w:val="0"/>
          <w:caps w:val="0"/>
          <w:color w:val="333333"/>
          <w:spacing w:val="0"/>
          <w:sz w:val="44"/>
          <w:szCs w:val="44"/>
          <w:u w:val="none"/>
          <w:shd w:val="clear" w:fill="FFFFFF"/>
        </w:rPr>
        <w:t>年政府信息公开工作年度报告</w:t>
      </w:r>
    </w:p>
    <w:p>
      <w:pPr>
        <w:ind w:firstLine="560" w:firstLineChars="200"/>
        <w:rPr>
          <w:rFonts w:hint="eastAsia" w:ascii="仿宋" w:hAnsi="仿宋" w:eastAsia="仿宋" w:cs="仿宋"/>
          <w:sz w:val="28"/>
          <w:szCs w:val="28"/>
          <w:lang w:val="en-US" w:eastAsia="zh-CN"/>
        </w:rPr>
      </w:pPr>
    </w:p>
    <w:p>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_GB2312" w:hAnsi="仿宋_GB2312" w:eastAsia="仿宋_GB2312" w:cs="仿宋_GB2312"/>
          <w:sz w:val="30"/>
          <w:szCs w:val="30"/>
          <w:lang w:val="en-US" w:eastAsia="zh-CN"/>
        </w:rPr>
        <w:t>本年度报告依据《中华人民共和国政府信息公开条例》、《中华人民共和国政府信息公开工作年度报告格式》和省、市政务公开工作要求，由宁晋县宁北街道办事处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2023年1月1日至12月31日。本年报的电子版可在宁晋县人民政府网站（https://www.ningjin.gov.cn/）下载。如对本年报有任何疑问，请与宁晋县宁北街道办事处办公室联系，联系电话：0319-5517039。</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lang w:val="en-US" w:eastAsia="zh-CN"/>
        </w:rPr>
      </w:pPr>
      <w:r>
        <w:rPr>
          <w:rFonts w:hint="eastAsia" w:ascii="黑体" w:hAnsi="黑体" w:eastAsia="黑体" w:cs="黑体"/>
          <w:b w:val="0"/>
          <w:bCs w:val="0"/>
          <w:i w:val="0"/>
          <w:iCs w:val="0"/>
          <w:caps w:val="0"/>
          <w:color w:val="333333"/>
          <w:spacing w:val="0"/>
          <w:sz w:val="30"/>
          <w:szCs w:val="30"/>
          <w:shd w:val="clear" w:fill="FFFFFF"/>
          <w:lang w:val="en-US" w:eastAsia="zh-CN"/>
        </w:rPr>
        <w:t>一、总体情况</w:t>
      </w:r>
    </w:p>
    <w:p>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_GB2312" w:hAnsi="仿宋_GB2312" w:eastAsia="仿宋_GB2312" w:cs="仿宋_GB2312"/>
          <w:sz w:val="30"/>
          <w:szCs w:val="30"/>
          <w:lang w:val="en-US" w:eastAsia="zh-CN"/>
        </w:rPr>
        <w:t>2023年，宁晋县宁北街道办事处坚持以习近平新时代中国特色社会主义思想为指导，全面贯彻落实党中央、国务院关于政务公开决策部署和省委、省政府、市委、市政府以及县委、县政府工作安排，</w:t>
      </w:r>
      <w:r>
        <w:rPr>
          <w:rFonts w:hint="eastAsia" w:ascii="仿宋_GB2312" w:hAnsi="仿宋_GB2312" w:eastAsia="仿宋_GB2312" w:cs="仿宋_GB2312"/>
          <w:sz w:val="30"/>
          <w:szCs w:val="30"/>
          <w:highlight w:val="none"/>
          <w:lang w:val="en-US" w:eastAsia="zh-CN"/>
        </w:rPr>
        <w:t>在县委、县政府的统一领导和部署下，我办</w:t>
      </w:r>
      <w:r>
        <w:rPr>
          <w:rFonts w:hint="eastAsia" w:ascii="仿宋_GB2312" w:hAnsi="仿宋_GB2312" w:eastAsia="仿宋_GB2312" w:cs="仿宋_GB2312"/>
          <w:sz w:val="30"/>
          <w:szCs w:val="30"/>
          <w:lang w:val="en-US" w:eastAsia="zh-CN"/>
        </w:rPr>
        <w:t>紧紧围绕主动公开、依申请公开、政府信息管理、政府信息公开平台建设、监督保障等方面的内容，积极督导、推进政务公开工作顺利开展，为加快建设经济强县、美丽宁晋打造了良好的生态环境。</w:t>
      </w:r>
    </w:p>
    <w:p>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仿宋_GB2312" w:hAnsi="仿宋_GB2312" w:eastAsia="仿宋_GB2312" w:cs="仿宋_GB2312"/>
          <w:sz w:val="30"/>
          <w:szCs w:val="30"/>
          <w:lang w:val="en-US" w:eastAsia="zh-CN"/>
        </w:rPr>
      </w:pPr>
      <w:r>
        <w:rPr>
          <w:rFonts w:hint="eastAsia" w:ascii="楷体_GB2312" w:hAnsi="楷体_GB2312" w:eastAsia="楷体_GB2312" w:cs="楷体_GB2312"/>
          <w:b w:val="0"/>
          <w:bCs w:val="0"/>
          <w:sz w:val="30"/>
          <w:szCs w:val="30"/>
          <w:lang w:val="en-US" w:eastAsia="zh-CN"/>
        </w:rPr>
        <w:t>（一）主动公开情况。</w:t>
      </w:r>
      <w:r>
        <w:rPr>
          <w:rFonts w:hint="eastAsia" w:ascii="仿宋_GB2312" w:hAnsi="仿宋_GB2312" w:eastAsia="仿宋_GB2312" w:cs="仿宋_GB2312"/>
          <w:sz w:val="30"/>
          <w:szCs w:val="30"/>
          <w:lang w:val="en-US" w:eastAsia="zh-CN"/>
        </w:rPr>
        <w:t>2023年，通过宁晋县政府网站和政府信息公开平台发布、权责清单、行政执法、扶贫资金、预算决算、惠农惠民财政补贴、电子商务进农村、政策解读、基层政务公开事项目录、人大代表建议、政协提案办理情况等各类政府信息</w:t>
      </w:r>
      <w:r>
        <w:rPr>
          <w:rFonts w:hint="eastAsia" w:ascii="仿宋_GB2312" w:hAnsi="仿宋_GB2312" w:eastAsia="仿宋_GB2312" w:cs="仿宋_GB2312"/>
          <w:sz w:val="30"/>
          <w:szCs w:val="30"/>
          <w:highlight w:val="none"/>
          <w:lang w:val="en-US" w:eastAsia="zh-CN"/>
        </w:rPr>
        <w:t>150</w:t>
      </w:r>
      <w:r>
        <w:rPr>
          <w:rFonts w:hint="eastAsia" w:ascii="仿宋_GB2312" w:hAnsi="仿宋_GB2312" w:eastAsia="仿宋_GB2312" w:cs="仿宋_GB2312"/>
          <w:sz w:val="30"/>
          <w:szCs w:val="30"/>
          <w:lang w:val="en-US" w:eastAsia="zh-CN"/>
        </w:rPr>
        <w:t>余条。</w:t>
      </w:r>
    </w:p>
    <w:p>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仿宋_GB2312" w:hAnsi="仿宋_GB2312" w:eastAsia="仿宋_GB2312" w:cs="仿宋_GB2312"/>
          <w:sz w:val="30"/>
          <w:szCs w:val="30"/>
          <w:lang w:val="en-US" w:eastAsia="zh-CN"/>
        </w:rPr>
      </w:pPr>
      <w:r>
        <w:rPr>
          <w:rFonts w:hint="eastAsia" w:ascii="楷体_GB2312" w:hAnsi="楷体_GB2312" w:eastAsia="楷体_GB2312" w:cs="楷体_GB2312"/>
          <w:b w:val="0"/>
          <w:bCs w:val="0"/>
          <w:sz w:val="30"/>
          <w:szCs w:val="30"/>
          <w:lang w:val="en-US" w:eastAsia="zh-CN"/>
        </w:rPr>
        <w:t>（二）依申请公开情况。</w:t>
      </w:r>
      <w:r>
        <w:rPr>
          <w:rFonts w:hint="eastAsia" w:ascii="仿宋_GB2312" w:hAnsi="仿宋_GB2312" w:eastAsia="仿宋_GB2312" w:cs="仿宋_GB2312"/>
          <w:sz w:val="30"/>
          <w:szCs w:val="30"/>
          <w:lang w:val="en-US" w:eastAsia="zh-CN"/>
        </w:rPr>
        <w:t>2023年我办因政府信息依申请公开引起的</w:t>
      </w:r>
      <w:r>
        <w:rPr>
          <w:rFonts w:hint="eastAsia" w:ascii="仿宋_GB2312" w:hAnsi="仿宋_GB2312" w:eastAsia="仿宋_GB2312" w:cs="仿宋_GB2312"/>
          <w:sz w:val="30"/>
          <w:szCs w:val="30"/>
          <w:highlight w:val="none"/>
          <w:lang w:val="en-US" w:eastAsia="zh-CN"/>
        </w:rPr>
        <w:t>行政复议1件，</w:t>
      </w:r>
      <w:r>
        <w:rPr>
          <w:rFonts w:hint="eastAsia" w:ascii="仿宋_GB2312" w:hAnsi="仿宋_GB2312" w:eastAsia="仿宋_GB2312" w:cs="仿宋_GB2312"/>
          <w:sz w:val="30"/>
          <w:szCs w:val="30"/>
          <w:lang w:val="en-US" w:eastAsia="zh-CN"/>
        </w:rPr>
        <w:t>行政复议依法依规进行了处理，未发生诉讼及相关公开和咨询情况。</w:t>
      </w:r>
    </w:p>
    <w:p>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楷体_GB2312" w:hAnsi="楷体_GB2312" w:eastAsia="楷体_GB2312" w:cs="楷体_GB2312"/>
          <w:b w:val="0"/>
          <w:bCs w:val="0"/>
          <w:sz w:val="30"/>
          <w:szCs w:val="30"/>
          <w:lang w:val="en-US" w:eastAsia="zh-CN"/>
        </w:rPr>
        <w:t>（三）政府信息管理机制。</w:t>
      </w:r>
      <w:r>
        <w:rPr>
          <w:rFonts w:hint="eastAsia" w:ascii="仿宋_GB2312" w:hAnsi="仿宋_GB2312" w:eastAsia="仿宋_GB2312" w:cs="仿宋_GB2312"/>
          <w:sz w:val="30"/>
          <w:szCs w:val="30"/>
          <w:highlight w:val="none"/>
          <w:lang w:val="en-US" w:eastAsia="zh-CN"/>
        </w:rPr>
        <w:t>我办严格落实各项信息管理机制，结合本单位实际情况，建立健全相关政府信息公开工作制度，并指定专人管理此项工作，时刻关注热点信息，及时公开发布，确保政府信息公开工作规范、有序地开展。</w:t>
      </w:r>
    </w:p>
    <w:p>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default" w:ascii="仿宋" w:hAnsi="仿宋" w:eastAsia="仿宋" w:cs="仿宋"/>
          <w:sz w:val="30"/>
          <w:szCs w:val="30"/>
          <w:lang w:val="en-US" w:eastAsia="zh-CN"/>
        </w:rPr>
      </w:pPr>
      <w:r>
        <w:rPr>
          <w:rFonts w:hint="eastAsia" w:ascii="楷体_GB2312" w:hAnsi="楷体_GB2312" w:eastAsia="楷体_GB2312" w:cs="楷体_GB2312"/>
          <w:b w:val="0"/>
          <w:bCs w:val="0"/>
          <w:sz w:val="30"/>
          <w:szCs w:val="30"/>
          <w:lang w:val="en-US" w:eastAsia="zh-CN"/>
        </w:rPr>
        <w:t>（四）政府信息公开平台建设。</w:t>
      </w:r>
      <w:r>
        <w:rPr>
          <w:rFonts w:hint="eastAsia" w:ascii="仿宋_GB2312" w:hAnsi="仿宋_GB2312" w:eastAsia="仿宋_GB2312" w:cs="仿宋_GB2312"/>
          <w:sz w:val="30"/>
          <w:szCs w:val="30"/>
          <w:lang w:val="en-US" w:eastAsia="zh-CN"/>
        </w:rPr>
        <w:t>我办严格遵守政府信息公开平台建设各项工作条例，主动通过政务新媒体、政务服务大厅等渠道加强政府信息公开平台宣传，“宁晋县宁北街道办事处”微信公众号，保持每周3-5次发布频次，及时更新时事热点，积极打造新媒体网络宣传阵地，为政府信息公开平台建设贡献力量。</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_GB2312" w:hAnsi="仿宋_GB2312" w:eastAsia="仿宋_GB2312" w:cs="仿宋_GB2312"/>
          <w:sz w:val="30"/>
          <w:szCs w:val="30"/>
          <w:lang w:eastAsia="zh-CN"/>
        </w:rPr>
      </w:pPr>
      <w:r>
        <w:rPr>
          <w:rFonts w:hint="eastAsia" w:ascii="楷体_GB2312" w:hAnsi="楷体_GB2312" w:eastAsia="楷体_GB2312" w:cs="楷体_GB2312"/>
          <w:b w:val="0"/>
          <w:bCs w:val="0"/>
          <w:sz w:val="30"/>
          <w:szCs w:val="30"/>
          <w:lang w:val="en-US" w:eastAsia="zh-CN"/>
        </w:rPr>
        <w:t>（五）监督保障进一步强化。</w:t>
      </w:r>
      <w:r>
        <w:rPr>
          <w:rFonts w:hint="eastAsia" w:ascii="仿宋_GB2312" w:hAnsi="仿宋_GB2312" w:eastAsia="仿宋_GB2312" w:cs="仿宋_GB2312"/>
          <w:sz w:val="30"/>
          <w:szCs w:val="30"/>
          <w:lang w:val="en-US" w:eastAsia="zh-CN"/>
        </w:rPr>
        <w:t>一是积极落实信息公开制度，严格信息审查机制，加大网上巡查力度，对未按照要求公开政府信息及时进行整改到位。二是严格落实《河北省人民政府办公厅关于印发〈河北省政务公开工作考核办法〉〈河北省政务公开工作社会评议办法〉〈河北省政务公开工作责任追究办法〉的通知》文件精神，持续推进政务公开各项工作有序开展。三是加强政务新媒体运行工作，坚持做好政务新媒体周打卡工作，及时汇总上报我办政务新媒体每周的信息发布情况，同时，安排专人负责政务新媒体的定期巡查，一旦发现问题，立即督促整改，确保我办政务新媒体正常运转。</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r>
        <w:rPr>
          <w:rFonts w:hint="eastAsia" w:ascii="黑体" w:hAnsi="黑体" w:eastAsia="黑体" w:cs="黑体"/>
          <w:b w:val="0"/>
          <w:bCs w:val="0"/>
          <w:i w:val="0"/>
          <w:iCs w:val="0"/>
          <w:caps w:val="0"/>
          <w:color w:val="333333"/>
          <w:spacing w:val="0"/>
          <w:sz w:val="30"/>
          <w:szCs w:val="30"/>
          <w:shd w:val="clear" w:fill="FFFFFF"/>
        </w:rPr>
        <w:t>二、主动公开政府信息情况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jc w:val="center"/>
        <w:textAlignment w:val="auto"/>
        <w:rPr>
          <w:rFonts w:hint="eastAsia" w:ascii="宋体" w:hAnsi="宋体" w:eastAsia="宋体" w:cs="宋体"/>
          <w:i w:val="0"/>
          <w:iCs w:val="0"/>
          <w:caps w:val="0"/>
          <w:color w:val="333333"/>
          <w:spacing w:val="0"/>
          <w:sz w:val="24"/>
          <w:szCs w:val="24"/>
        </w:rPr>
      </w:pPr>
    </w:p>
    <w:tbl>
      <w:tblPr>
        <w:tblStyle w:val="6"/>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highlight w:val="none"/>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Times New Roman" w:hAnsi="Times New Roman" w:eastAsia="宋体" w:cs="Times New Roman"/>
                <w:color w:val="000000"/>
                <w:kern w:val="0"/>
                <w:sz w:val="20"/>
                <w:szCs w:val="20"/>
                <w:lang w:val="en-US" w:eastAsia="zh-CN" w:bidi="ar"/>
              </w:rPr>
              <w:t>170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default" w:ascii="Times New Roman" w:hAnsi="Times New Roman" w:cs="Times New Roman"/>
                <w:sz w:val="20"/>
                <w:szCs w:val="20"/>
                <w:lang w:val="en-US" w:eastAsia="zh-CN"/>
              </w:rPr>
              <w:t>0</w:t>
            </w:r>
          </w:p>
        </w:tc>
      </w:tr>
    </w:tbl>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jc w:val="center"/>
        <w:textAlignment w:val="auto"/>
        <w:rPr>
          <w:rFonts w:hint="eastAsia" w:ascii="宋体" w:hAnsi="宋体" w:eastAsia="宋体" w:cs="宋体"/>
          <w:i w:val="0"/>
          <w:iCs w:val="0"/>
          <w:caps w:val="0"/>
          <w:color w:val="333333"/>
          <w:spacing w:val="0"/>
          <w:sz w:val="24"/>
          <w:szCs w:val="24"/>
        </w:rPr>
      </w:pP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val="0"/>
        <w:autoSpaceDN w:val="0"/>
        <w:bidi w:val="0"/>
        <w:adjustRightInd/>
        <w:snapToGrid w:val="0"/>
        <w:spacing w:before="0" w:beforeAutospacing="0" w:after="0" w:afterAutospacing="0" w:line="56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r>
        <w:rPr>
          <w:rFonts w:hint="eastAsia" w:ascii="黑体" w:hAnsi="黑体" w:eastAsia="黑体" w:cs="黑体"/>
          <w:b w:val="0"/>
          <w:bCs w:val="0"/>
          <w:i w:val="0"/>
          <w:iCs w:val="0"/>
          <w:caps w:val="0"/>
          <w:color w:val="333333"/>
          <w:spacing w:val="0"/>
          <w:sz w:val="30"/>
          <w:szCs w:val="30"/>
          <w:shd w:val="clear" w:fill="FFFFFF"/>
        </w:rPr>
        <w:t>三、收到和处理政府信息公开申请情况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jc w:val="center"/>
        <w:textAlignment w:val="auto"/>
        <w:rPr>
          <w:rFonts w:hint="eastAsia" w:ascii="宋体" w:hAnsi="宋体" w:eastAsia="宋体" w:cs="宋体"/>
          <w:i w:val="0"/>
          <w:iCs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auto"/>
                <w:kern w:val="0"/>
                <w:sz w:val="20"/>
                <w:szCs w:val="20"/>
                <w:highlight w:val="none"/>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eastAsia="zh-CN"/>
              </w:rPr>
            </w:pPr>
            <w:r>
              <w:rPr>
                <w:rFonts w:hint="default" w:ascii="Times New Roman" w:hAnsi="Times New Roman" w:cs="Times New Roman"/>
                <w:sz w:val="20"/>
                <w:szCs w:val="20"/>
                <w:lang w:val="en-US" w:eastAsia="zh-CN"/>
              </w:rPr>
              <w:t>0</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eastAsia="zh-CN"/>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r>
              <w:rPr>
                <w:rFonts w:hint="default" w:ascii="Times New Roman" w:hAnsi="Times New Roman" w:cs="Times New Roman"/>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eastAsiaTheme="minorEastAsia"/>
                <w:kern w:val="0"/>
                <w:sz w:val="20"/>
                <w:szCs w:val="20"/>
                <w:lang w:val="en-US" w:eastAsia="zh-CN" w:bidi="ar"/>
              </w:rPr>
              <w:t> </w:t>
            </w: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r>
              <w:rPr>
                <w:rFonts w:hint="default" w:ascii="Times New Roman" w:hAnsi="Times New Roman" w:cs="Times New Roman"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r>
              <w:rPr>
                <w:rFonts w:hint="default" w:ascii="Times New Roman" w:hAnsi="Times New Roman" w:cs="Times New Roman"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eastAsiaTheme="minorEastAsia"/>
                <w:kern w:val="0"/>
                <w:sz w:val="20"/>
                <w:szCs w:val="20"/>
                <w:lang w:val="en-US" w:eastAsia="zh-CN" w:bidi="ar"/>
              </w:rPr>
              <w:t> </w:t>
            </w: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r>
              <w:rPr>
                <w:rFonts w:hint="default" w:ascii="Times New Roman" w:hAnsi="Times New Roman" w:cs="Times New Roman"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r>
              <w:rPr>
                <w:rFonts w:hint="default" w:ascii="Times New Roman" w:hAnsi="Times New Roman" w:cs="Times New Roman"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eastAsiaTheme="minorEastAsia"/>
                <w:kern w:val="0"/>
                <w:sz w:val="20"/>
                <w:szCs w:val="20"/>
                <w:lang w:val="en-US" w:eastAsia="zh-CN" w:bidi="ar"/>
              </w:rPr>
              <w:t> </w:t>
            </w:r>
            <w:r>
              <w:rPr>
                <w:rFonts w:hint="default" w:ascii="Times New Roman" w:hAnsi="Times New Roman" w:cs="Times New Roman"/>
                <w:kern w:val="0"/>
                <w:sz w:val="20"/>
                <w:szCs w:val="20"/>
                <w:lang w:val="en-US" w:eastAsia="zh-CN" w:bidi="ar"/>
              </w:rPr>
              <w:t>0</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r>
              <w:rPr>
                <w:rFonts w:hint="default" w:ascii="Times New Roman" w:hAnsi="Times New Roman" w:cs="Times New Roman" w:eastAsiaTheme="minorEastAsia"/>
                <w:kern w:val="0"/>
                <w:sz w:val="20"/>
                <w:szCs w:val="20"/>
                <w:lang w:val="en-US" w:eastAsia="zh-CN" w:bidi="ar"/>
              </w:rPr>
              <w:t> </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r>
              <w:rPr>
                <w:rFonts w:hint="default" w:ascii="Times New Roman" w:hAnsi="Times New Roman" w:cs="Times New Roman" w:eastAsiaTheme="minorEastAsia"/>
                <w:kern w:val="0"/>
                <w:sz w:val="20"/>
                <w:szCs w:val="20"/>
                <w:lang w:val="en-US" w:eastAsia="zh-CN" w:bidi="ar"/>
              </w:rPr>
              <w:t> </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eastAsiaTheme="minorEastAsia"/>
                <w:kern w:val="0"/>
                <w:sz w:val="20"/>
                <w:szCs w:val="20"/>
                <w:lang w:val="en-US" w:eastAsia="zh-CN" w:bidi="ar"/>
              </w:rPr>
              <w:t> </w:t>
            </w:r>
            <w:r>
              <w:rPr>
                <w:rFonts w:hint="default" w:ascii="Times New Roman" w:hAnsi="Times New Roman" w:cs="Times New Roman"/>
                <w:kern w:val="0"/>
                <w:sz w:val="20"/>
                <w:szCs w:val="20"/>
                <w:lang w:val="en-US" w:eastAsia="zh-CN" w:bidi="ar"/>
              </w:rPr>
              <w:t>0</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r>
              <w:rPr>
                <w:rFonts w:hint="default" w:ascii="Times New Roman" w:hAnsi="Times New Roman" w:cs="Times New Roman" w:eastAsiaTheme="minorEastAsia"/>
                <w:kern w:val="0"/>
                <w:sz w:val="20"/>
                <w:szCs w:val="20"/>
                <w:lang w:val="en-US" w:eastAsia="zh-CN" w:bidi="ar"/>
              </w:rPr>
              <w:t> </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r>
              <w:rPr>
                <w:rFonts w:hint="default" w:ascii="Times New Roman" w:hAnsi="Times New Roman" w:cs="Times New Roman" w:eastAsiaTheme="minorEastAsia"/>
                <w:kern w:val="0"/>
                <w:sz w:val="20"/>
                <w:szCs w:val="20"/>
                <w:lang w:val="en-US" w:eastAsia="zh-CN" w:bidi="ar"/>
              </w:rPr>
              <w:t> </w:t>
            </w:r>
          </w:p>
        </w:tc>
        <w:tc>
          <w:tcPr>
            <w:tcW w:w="689"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kern w:val="0"/>
                <w:sz w:val="20"/>
                <w:szCs w:val="20"/>
                <w:lang w:val="en-US" w:eastAsia="zh-CN" w:bidi="ar"/>
              </w:rPr>
            </w:pPr>
            <w:r>
              <w:rPr>
                <w:rFonts w:hint="default" w:ascii="Times New Roman" w:hAnsi="Times New Roman" w:cs="Times New Roman" w:eastAsiaTheme="minorEastAsia"/>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kern w:val="0"/>
                <w:sz w:val="20"/>
                <w:szCs w:val="20"/>
                <w:lang w:val="en-US" w:eastAsia="zh-CN" w:bidi="ar"/>
              </w:rPr>
            </w:pPr>
            <w:r>
              <w:rPr>
                <w:rFonts w:hint="default" w:ascii="Times New Roman" w:hAnsi="Times New Roman" w:cs="Times New Roman" w:eastAsiaTheme="minorEastAsia"/>
                <w:kern w:val="0"/>
                <w:sz w:val="20"/>
                <w:szCs w:val="20"/>
                <w:lang w:val="en-US" w:eastAsia="zh-CN" w:bidi="ar"/>
              </w:rPr>
              <w:t>0</w:t>
            </w:r>
          </w:p>
        </w:tc>
      </w:tr>
    </w:tbl>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jc w:val="center"/>
        <w:textAlignment w:val="auto"/>
        <w:rPr>
          <w:rFonts w:hint="eastAsia" w:ascii="宋体" w:hAnsi="宋体" w:eastAsia="宋体" w:cs="宋体"/>
          <w:i w:val="0"/>
          <w:iCs w:val="0"/>
          <w:caps w:val="0"/>
          <w:color w:val="333333"/>
          <w:spacing w:val="0"/>
          <w:sz w:val="24"/>
          <w:szCs w:val="24"/>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r>
        <w:rPr>
          <w:rFonts w:hint="eastAsia" w:ascii="黑体" w:hAnsi="黑体" w:eastAsia="黑体" w:cs="黑体"/>
          <w:b w:val="0"/>
          <w:bCs w:val="0"/>
          <w:i w:val="0"/>
          <w:iCs w:val="0"/>
          <w:caps w:val="0"/>
          <w:color w:val="333333"/>
          <w:spacing w:val="0"/>
          <w:sz w:val="30"/>
          <w:szCs w:val="30"/>
          <w:shd w:val="clear" w:fill="FFFFFF"/>
        </w:rPr>
        <w:t>四、政府信息公开行政复议、行政诉讼情况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jc w:val="center"/>
        <w:textAlignment w:val="auto"/>
        <w:rPr>
          <w:rFonts w:hint="eastAsia" w:ascii="宋体" w:hAnsi="宋体" w:eastAsia="宋体" w:cs="宋体"/>
          <w:i w:val="0"/>
          <w:iCs w:val="0"/>
          <w:caps w:val="0"/>
          <w:color w:val="333333"/>
          <w:spacing w:val="0"/>
          <w:sz w:val="24"/>
          <w:szCs w:val="24"/>
        </w:rPr>
      </w:pPr>
    </w:p>
    <w:tbl>
      <w:tblPr>
        <w:tblStyle w:val="6"/>
        <w:tblpPr w:leftFromText="180" w:rightFromText="180" w:vertAnchor="text" w:horzAnchor="page" w:tblpX="1164" w:tblpY="18"/>
        <w:tblOverlap w:val="never"/>
        <w:tblW w:w="974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eastAsia" w:ascii="Times New Roman" w:hAnsi="Times New Roman" w:eastAsia="黑体" w:cs="Times New Roman"/>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eastAsiaTheme="minorEastAsia"/>
                <w:sz w:val="20"/>
                <w:szCs w:val="20"/>
                <w:lang w:val="en-US" w:eastAsia="zh-CN"/>
              </w:rPr>
            </w:pPr>
            <w:r>
              <w:rPr>
                <w:rFonts w:hint="eastAsia" w:ascii="Times New Roman" w:hAnsi="Times New Roman" w:cs="Times New Roman"/>
                <w:sz w:val="20"/>
                <w:szCs w:val="20"/>
                <w:lang w:val="en-US" w:eastAsia="zh-CN"/>
              </w:rPr>
              <w:t>1</w:t>
            </w:r>
            <w:bookmarkStart w:id="0" w:name="_GoBack"/>
            <w:bookmarkEnd w:id="0"/>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rPr>
            </w:pPr>
            <w:r>
              <w:rPr>
                <w:rFonts w:hint="default" w:ascii="Times New Roman" w:hAnsi="Times New Roman" w:eastAsia="黑体" w:cs="Times New Roman"/>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1</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rPr>
            </w:pPr>
            <w:r>
              <w:rPr>
                <w:rFonts w:hint="default" w:ascii="Times New Roman" w:hAnsi="Times New Roman" w:eastAsia="黑体" w:cs="Times New Roman"/>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rPr>
            </w:pPr>
            <w:r>
              <w:rPr>
                <w:rFonts w:hint="default" w:ascii="Times New Roman" w:hAnsi="Times New Roman" w:eastAsia="黑体" w:cs="Times New Roman"/>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rPr>
            </w:pPr>
            <w:r>
              <w:rPr>
                <w:rFonts w:hint="default" w:ascii="Times New Roman" w:hAnsi="Times New Roman" w:eastAsia="黑体" w:cs="Times New Roman"/>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0</w:t>
            </w:r>
          </w:p>
        </w:tc>
      </w:tr>
    </w:tbl>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jc w:val="center"/>
        <w:textAlignment w:val="auto"/>
        <w:rPr>
          <w:rFonts w:hint="eastAsia" w:ascii="宋体" w:hAnsi="宋体" w:eastAsia="宋体" w:cs="宋体"/>
          <w:i w:val="0"/>
          <w:iCs w:val="0"/>
          <w:caps w:val="0"/>
          <w:color w:val="333333"/>
          <w:spacing w:val="0"/>
          <w:sz w:val="24"/>
          <w:szCs w:val="24"/>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r>
        <w:rPr>
          <w:rFonts w:hint="eastAsia" w:ascii="黑体" w:hAnsi="黑体" w:eastAsia="黑体" w:cs="黑体"/>
          <w:b w:val="0"/>
          <w:bCs w:val="0"/>
          <w:i w:val="0"/>
          <w:iCs w:val="0"/>
          <w:caps w:val="0"/>
          <w:color w:val="333333"/>
          <w:spacing w:val="0"/>
          <w:sz w:val="30"/>
          <w:szCs w:val="30"/>
          <w:shd w:val="clear" w:fill="FFFFFF"/>
        </w:rPr>
        <w:t>五、存在的主要问题及改进情况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仿宋_GB2312" w:hAnsi="仿宋_GB2312" w:eastAsia="仿宋_GB2312" w:cs="仿宋_GB2312"/>
          <w:kern w:val="2"/>
          <w:sz w:val="30"/>
          <w:szCs w:val="30"/>
          <w:lang w:val="en-US" w:eastAsia="zh-CN" w:bidi="ar-SA"/>
        </w:rPr>
      </w:pPr>
      <w:r>
        <w:rPr>
          <w:rFonts w:hint="eastAsia" w:ascii="仿宋_GB2312" w:hAnsi="仿宋_GB2312" w:eastAsia="仿宋_GB2312" w:cs="仿宋_GB2312"/>
          <w:kern w:val="2"/>
          <w:sz w:val="30"/>
          <w:szCs w:val="30"/>
          <w:lang w:val="en-US" w:eastAsia="zh-CN" w:bidi="ar-SA"/>
        </w:rPr>
        <w:t>虽然我街道在政府信息公开工作上取得一定的进步，但仍存在一些不足，一是对政府信息公开工作的思想认识不到位，公开的信息比较单一。二是信息公开渠道还有待拓宽，需要不断探索新的路子，让政府信息面向更多的受众，方便其获取所需信息，同时提高信息的利用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仿宋_GB2312" w:hAnsi="仿宋_GB2312" w:eastAsia="仿宋_GB2312" w:cs="仿宋_GB2312"/>
          <w:kern w:val="2"/>
          <w:sz w:val="30"/>
          <w:szCs w:val="30"/>
          <w:lang w:val="en-US" w:eastAsia="zh-CN" w:bidi="ar-SA"/>
        </w:rPr>
      </w:pPr>
      <w:r>
        <w:rPr>
          <w:rFonts w:hint="eastAsia" w:ascii="仿宋_GB2312" w:hAnsi="仿宋_GB2312" w:eastAsia="仿宋_GB2312" w:cs="仿宋_GB2312"/>
          <w:kern w:val="2"/>
          <w:sz w:val="30"/>
          <w:szCs w:val="30"/>
          <w:lang w:val="en-US" w:eastAsia="zh-CN" w:bidi="ar-SA"/>
        </w:rPr>
        <w:t>在今后的政府信息公开工作中，我街道将继续贯彻落实上级有关文件精神，不断提高干部对信息公开工作的认识，加强人员业务培训，提高工作能力和业务水平。同时，充实公开栏目和公开指南，挖掘信息资源，增加信息来源，丰富公开的内容，注重运用电话、网络、标语、宣传栏等形式和方法，加大信息沟通，提高政府信息公开工作。坚持考核评估常态化，健全完善监督机制，使我街道政务信息公开工作进一步规范化、制度化。</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r>
        <w:rPr>
          <w:rFonts w:hint="eastAsia" w:ascii="黑体" w:hAnsi="黑体" w:eastAsia="黑体" w:cs="黑体"/>
          <w:b w:val="0"/>
          <w:bCs w:val="0"/>
          <w:i w:val="0"/>
          <w:iCs w:val="0"/>
          <w:caps w:val="0"/>
          <w:color w:val="333333"/>
          <w:spacing w:val="0"/>
          <w:sz w:val="30"/>
          <w:szCs w:val="30"/>
          <w:shd w:val="clear" w:fill="FFFFFF"/>
        </w:rPr>
        <w:t>六、其他需要报告的事项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仿宋" w:hAnsi="仿宋" w:eastAsia="仿宋" w:cs="仿宋"/>
          <w:b w:val="0"/>
          <w:bCs w:val="0"/>
          <w:kern w:val="2"/>
          <w:sz w:val="30"/>
          <w:szCs w:val="30"/>
          <w:lang w:val="en-US" w:eastAsia="zh-CN" w:bidi="ar-SA"/>
        </w:rPr>
      </w:pPr>
      <w:r>
        <w:rPr>
          <w:rFonts w:hint="eastAsia" w:ascii="仿宋_GB2312" w:hAnsi="仿宋_GB2312" w:eastAsia="仿宋_GB2312" w:cs="仿宋_GB2312"/>
          <w:kern w:val="2"/>
          <w:sz w:val="30"/>
          <w:szCs w:val="30"/>
          <w:lang w:val="en-US" w:eastAsia="zh-CN" w:bidi="ar-SA"/>
        </w:rPr>
        <w:t>2023年，宁北街道办事处没有收取信息处理费。无其他需要报告事项。</w:t>
      </w:r>
    </w:p>
    <w:sectPr>
      <w:pgSz w:w="11906" w:h="16838"/>
      <w:pgMar w:top="1440" w:right="1417" w:bottom="1440" w:left="1417"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auto"/>
    <w:pitch w:val="default"/>
    <w:sig w:usb0="00000000" w:usb1="00000000"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F20ADF"/>
    <w:rsid w:val="01EE2963"/>
    <w:rsid w:val="03385677"/>
    <w:rsid w:val="039F62FF"/>
    <w:rsid w:val="053523CE"/>
    <w:rsid w:val="05F21B33"/>
    <w:rsid w:val="0A4A1C71"/>
    <w:rsid w:val="0C181D40"/>
    <w:rsid w:val="0E2D0652"/>
    <w:rsid w:val="0E637A8B"/>
    <w:rsid w:val="0EE4CF75"/>
    <w:rsid w:val="10F84259"/>
    <w:rsid w:val="11B63004"/>
    <w:rsid w:val="126122B6"/>
    <w:rsid w:val="134E4685"/>
    <w:rsid w:val="13C72E82"/>
    <w:rsid w:val="163E5156"/>
    <w:rsid w:val="16904B51"/>
    <w:rsid w:val="17DF393F"/>
    <w:rsid w:val="18736D2E"/>
    <w:rsid w:val="190A4CA3"/>
    <w:rsid w:val="19FD1C20"/>
    <w:rsid w:val="1BC22770"/>
    <w:rsid w:val="1F2107B9"/>
    <w:rsid w:val="20F4571D"/>
    <w:rsid w:val="228429B1"/>
    <w:rsid w:val="293C1210"/>
    <w:rsid w:val="2D193DB0"/>
    <w:rsid w:val="2FFFC086"/>
    <w:rsid w:val="30F73365"/>
    <w:rsid w:val="339A4F92"/>
    <w:rsid w:val="34AE6A84"/>
    <w:rsid w:val="34F5526B"/>
    <w:rsid w:val="355A65AD"/>
    <w:rsid w:val="35B32623"/>
    <w:rsid w:val="36177665"/>
    <w:rsid w:val="38DC705E"/>
    <w:rsid w:val="39FFECAD"/>
    <w:rsid w:val="3A8A671A"/>
    <w:rsid w:val="3AEE7D0E"/>
    <w:rsid w:val="3B8E3F9E"/>
    <w:rsid w:val="3BD10EEF"/>
    <w:rsid w:val="3C945361"/>
    <w:rsid w:val="3E5B6B14"/>
    <w:rsid w:val="3EEC2DB5"/>
    <w:rsid w:val="3FFB32A0"/>
    <w:rsid w:val="419F3CB9"/>
    <w:rsid w:val="456E3920"/>
    <w:rsid w:val="460573F1"/>
    <w:rsid w:val="499B5CD3"/>
    <w:rsid w:val="4B9A55FB"/>
    <w:rsid w:val="4C176A3C"/>
    <w:rsid w:val="4CCB138D"/>
    <w:rsid w:val="4E645C2C"/>
    <w:rsid w:val="4E79234E"/>
    <w:rsid w:val="500915ED"/>
    <w:rsid w:val="506738CD"/>
    <w:rsid w:val="54DB45C6"/>
    <w:rsid w:val="552670D7"/>
    <w:rsid w:val="5541060F"/>
    <w:rsid w:val="55F20ADF"/>
    <w:rsid w:val="56135E0B"/>
    <w:rsid w:val="583DCF6E"/>
    <w:rsid w:val="58406219"/>
    <w:rsid w:val="5B5309E2"/>
    <w:rsid w:val="5E210406"/>
    <w:rsid w:val="5FFBCB89"/>
    <w:rsid w:val="60334D7D"/>
    <w:rsid w:val="61385890"/>
    <w:rsid w:val="6809233A"/>
    <w:rsid w:val="68E258A1"/>
    <w:rsid w:val="6A5D2C79"/>
    <w:rsid w:val="6AA8778B"/>
    <w:rsid w:val="6B3E4AD4"/>
    <w:rsid w:val="6B831C55"/>
    <w:rsid w:val="6D4F460F"/>
    <w:rsid w:val="6E910B04"/>
    <w:rsid w:val="6EEA78EF"/>
    <w:rsid w:val="6F3FFC01"/>
    <w:rsid w:val="6FBD6C1A"/>
    <w:rsid w:val="73FA401A"/>
    <w:rsid w:val="76AA163F"/>
    <w:rsid w:val="77CF5DCF"/>
    <w:rsid w:val="7A7C4D5F"/>
    <w:rsid w:val="7BFB135F"/>
    <w:rsid w:val="7D797216"/>
    <w:rsid w:val="7E0A7F58"/>
    <w:rsid w:val="7E7FAAF4"/>
    <w:rsid w:val="7EAF669B"/>
    <w:rsid w:val="7EF44525"/>
    <w:rsid w:val="7EFFFB67"/>
    <w:rsid w:val="7F74B143"/>
    <w:rsid w:val="7FBB5439"/>
    <w:rsid w:val="7FDF96E9"/>
    <w:rsid w:val="7FFF77B8"/>
    <w:rsid w:val="7FFFA40D"/>
    <w:rsid w:val="96EC6A75"/>
    <w:rsid w:val="9CFED2FB"/>
    <w:rsid w:val="ADDDB0E6"/>
    <w:rsid w:val="AEF30FF7"/>
    <w:rsid w:val="B6E6EE17"/>
    <w:rsid w:val="BC775B49"/>
    <w:rsid w:val="BDF3E766"/>
    <w:rsid w:val="CDDE56CF"/>
    <w:rsid w:val="D7F7147E"/>
    <w:rsid w:val="DBCE1005"/>
    <w:rsid w:val="E1FBB71F"/>
    <w:rsid w:val="E7DF90F6"/>
    <w:rsid w:val="ED5B0F79"/>
    <w:rsid w:val="EDF729EA"/>
    <w:rsid w:val="EF3DD2F7"/>
    <w:rsid w:val="EFBE7B09"/>
    <w:rsid w:val="EFFDD3DF"/>
    <w:rsid w:val="EFFFBE34"/>
    <w:rsid w:val="F0B3E119"/>
    <w:rsid w:val="F25D16D7"/>
    <w:rsid w:val="F73289B1"/>
    <w:rsid w:val="F777CC21"/>
    <w:rsid w:val="F7E52306"/>
    <w:rsid w:val="FAFCCFD6"/>
    <w:rsid w:val="FDBFC26A"/>
    <w:rsid w:val="FEFDD61A"/>
    <w:rsid w:val="FF3FC127"/>
    <w:rsid w:val="FFB53C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5">
    <w:name w:val="Body Text First Indent 2"/>
    <w:basedOn w:val="3"/>
    <w:unhideWhenUsed/>
    <w:qFormat/>
    <w:uiPriority w:val="99"/>
    <w:pPr>
      <w:ind w:firstLine="420"/>
    </w:pPr>
  </w:style>
  <w:style w:type="character" w:styleId="8">
    <w:name w:val="Strong"/>
    <w:basedOn w:val="7"/>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418</TotalTime>
  <ScaleCrop>false</ScaleCrop>
  <LinksUpToDate>false</LinksUpToDate>
  <CharactersWithSpaces>0</CharactersWithSpaces>
  <Application>WPS Office_11.8.2.11958_F1E327BC-269C-435d-A152-05C5408002CA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2022-01-21T05:54:00Z</dcterms:created>
  <dc:creator>宁北街道</dc:creator>
  <cp:lastModifiedBy>TFPC</cp:lastModifiedBy>
  <cp:lastPrinted>2024-01-18T00:47:00Z</cp:lastPrinted>
  <dcterms:modified xsi:type="dcterms:W3CDTF">2024-01-19T11:07:53Z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2052-11.8.2.11958</vt:lpwstr>
  </property>
  <property fmtid="{D5CDD505-2E9C-101B-9397-08002B2CF9AE}" pid="3" name="ICV">
    <vt:lpwstr>1A3735BC73EA9B1A73609B6512DB71A4</vt:lpwstr>
  </property>
</Properties>
</file>