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no"?><Relationships xmlns="http://schemas.openxmlformats.org/package/2006/relationships"><Relationship Id="rId1" Target="docProps/app.xml" Type="http://schemas.openxmlformats.org/officeDocument/2006/relationships/extended-properties"/><Relationship Id="rId2" Target="docProps/core.xml" Type="http://schemas.openxmlformats.org/package/2006/relationships/metadata/core-properties"/><Relationship Id="rId3" Target="docProps/custom.xml" Type="http://schemas.openxmlformats.org/officeDocument/2006/relationships/custom-properties"/><Relationship Id="rId4" Target="word/document.xml" Type="http://schemas.openxmlformats.org/officeDocument/2006/relationships/officeDocument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0"/>
        <w:jc w:val="center"/>
        <w:textAlignment w:val="auto"/>
        <w:rPr>
          <w:rFonts w:hint="eastAsia" w:ascii="宋体" w:hAnsi="宋体" w:cs="宋体"/>
          <w:b/>
          <w:i w:val="0"/>
          <w:caps w:val="0"/>
          <w:color w:val="333333"/>
          <w:spacing w:val="0"/>
          <w:sz w:val="36"/>
          <w:szCs w:val="36"/>
          <w:shd w:val="clear" w:color="auto" w:fill="FFFFFF"/>
          <w:lang w:eastAsia="zh-CN"/>
        </w:rPr>
      </w:pPr>
      <w:r>
        <w:rPr>
          <w:rFonts w:hint="eastAsia" w:ascii="宋体" w:hAnsi="宋体" w:cs="宋体"/>
          <w:b/>
          <w:i w:val="0"/>
          <w:caps w:val="0"/>
          <w:color w:val="333333"/>
          <w:spacing w:val="0"/>
          <w:sz w:val="36"/>
          <w:szCs w:val="36"/>
          <w:shd w:val="clear" w:color="auto" w:fill="FFFFFF"/>
          <w:lang w:eastAsia="zh-CN"/>
        </w:rPr>
        <w:t>宁晋县统计局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0"/>
        <w:jc w:val="center"/>
        <w:textAlignment w:val="auto"/>
        <w:rPr>
          <w:rFonts w:hint="eastAsia" w:ascii="宋体" w:hAnsi="宋体" w:eastAsia="宋体" w:cs="宋体"/>
          <w:i w:val="0"/>
          <w:caps w:val="0"/>
          <w:color w:val="333333"/>
          <w:spacing w:val="0"/>
          <w:sz w:val="24"/>
          <w:szCs w:val="24"/>
        </w:rPr>
      </w:pPr>
      <w:r>
        <w:rPr>
          <w:rFonts w:hint="eastAsia" w:ascii="宋体" w:hAnsi="宋体" w:cs="宋体"/>
          <w:b/>
          <w:i w:val="0"/>
          <w:caps w:val="0"/>
          <w:color w:val="333333"/>
          <w:spacing w:val="0"/>
          <w:sz w:val="36"/>
          <w:szCs w:val="36"/>
          <w:shd w:val="clear" w:color="auto" w:fill="FFFFFF"/>
          <w:lang w:val="en-US" w:eastAsia="zh-CN"/>
        </w:rPr>
        <w:t>2023年</w:t>
      </w:r>
      <w:r>
        <w:rPr>
          <w:rFonts w:hint="eastAsia" w:ascii="宋体" w:hAnsi="宋体" w:eastAsia="宋体" w:cs="宋体"/>
          <w:b/>
          <w:i w:val="0"/>
          <w:caps w:val="0"/>
          <w:color w:val="333333"/>
          <w:spacing w:val="0"/>
          <w:sz w:val="36"/>
          <w:szCs w:val="36"/>
          <w:shd w:val="clear" w:color="auto" w:fill="FFFFFF"/>
        </w:rPr>
        <w:t>政府信息公开工作年度报告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0"/>
        <w:jc w:val="center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</w:p>
    <w:p>
      <w:pPr>
        <w:pStyle w:val="2"/>
        <w:widowControl/>
        <w:shd w:val="clear" w:color="auto" w:fill="FFFFFF"/>
        <w:spacing w:beforeAutospacing="0" w:afterAutospacing="0" w:line="500" w:lineRule="exact"/>
        <w:ind w:firstLine="480" w:firstLineChars="200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  <w:r>
        <w:rPr>
          <w:rFonts w:hint="eastAsia" w:cs="宋体" w:asciiTheme="minorEastAsia" w:hAnsiTheme="minorEastAsia"/>
          <w:color w:val="333333"/>
          <w:shd w:val="clear" w:color="auto" w:fill="FFFFFF"/>
        </w:rPr>
        <w:t>根据</w:t>
      </w:r>
      <w:r>
        <w:rPr>
          <w:rFonts w:hint="eastAsia" w:asciiTheme="minorEastAsia" w:hAnsiTheme="minorEastAsia"/>
          <w:color w:val="333333"/>
          <w:shd w:val="clear" w:color="auto" w:fill="FFFFFF"/>
        </w:rPr>
        <w:t>《中华人民共和国政府信息公开条例》规定，现公布宁晋县统计局202</w:t>
      </w:r>
      <w:r>
        <w:rPr>
          <w:rFonts w:hint="eastAsia" w:asciiTheme="minorEastAsia" w:hAnsiTheme="minorEastAsia"/>
          <w:color w:val="333333"/>
          <w:shd w:val="clear" w:color="auto" w:fill="FFFFFF"/>
          <w:lang w:val="en-US" w:eastAsia="zh-CN"/>
        </w:rPr>
        <w:t>3</w:t>
      </w:r>
      <w:r>
        <w:rPr>
          <w:rFonts w:hint="eastAsia" w:asciiTheme="minorEastAsia" w:hAnsiTheme="minorEastAsia"/>
          <w:color w:val="333333"/>
          <w:shd w:val="clear" w:color="auto" w:fill="FFFFFF"/>
        </w:rPr>
        <w:t>年政府信息公开工作年度报告。报告所列数据的统计期限自202</w:t>
      </w:r>
      <w:r>
        <w:rPr>
          <w:rFonts w:hint="eastAsia" w:asciiTheme="minorEastAsia" w:hAnsiTheme="minorEastAsia"/>
          <w:color w:val="333333"/>
          <w:shd w:val="clear" w:color="auto" w:fill="FFFFFF"/>
          <w:lang w:val="en-US" w:eastAsia="zh-CN"/>
        </w:rPr>
        <w:t>3</w:t>
      </w:r>
      <w:r>
        <w:rPr>
          <w:rFonts w:hint="eastAsia" w:asciiTheme="minorEastAsia" w:hAnsiTheme="minorEastAsia"/>
          <w:color w:val="333333"/>
          <w:shd w:val="clear" w:color="auto" w:fill="FFFFFF"/>
        </w:rPr>
        <w:t>年1月1日起至202</w:t>
      </w:r>
      <w:r>
        <w:rPr>
          <w:rFonts w:hint="eastAsia" w:asciiTheme="minorEastAsia" w:hAnsiTheme="minorEastAsia"/>
          <w:color w:val="333333"/>
          <w:shd w:val="clear" w:color="auto" w:fill="FFFFFF"/>
          <w:lang w:val="en-US" w:eastAsia="zh-CN"/>
        </w:rPr>
        <w:t>3</w:t>
      </w:r>
      <w:r>
        <w:rPr>
          <w:rFonts w:hint="eastAsia" w:asciiTheme="minorEastAsia" w:hAnsiTheme="minorEastAsia"/>
          <w:color w:val="333333"/>
          <w:shd w:val="clear" w:color="auto" w:fill="FFFFFF"/>
        </w:rPr>
        <w:t>年12月31日止。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一、总体情况</w:t>
      </w:r>
    </w:p>
    <w:p>
      <w:pPr>
        <w:widowControl/>
        <w:shd w:val="clear" w:color="auto" w:fill="FFFFFF"/>
        <w:spacing w:line="500" w:lineRule="exact"/>
        <w:ind w:firstLine="480" w:firstLineChars="200"/>
        <w:jc w:val="left"/>
        <w:rPr>
          <w:rFonts w:hint="eastAsia" w:cs="宋体" w:asciiTheme="minorEastAsia" w:hAnsiTheme="minorEastAsia"/>
          <w:color w:val="333333"/>
          <w:kern w:val="0"/>
          <w:sz w:val="24"/>
        </w:rPr>
      </w:pPr>
      <w:r>
        <w:rPr>
          <w:rFonts w:hint="eastAsia" w:cs="宋体" w:asciiTheme="minorEastAsia" w:hAnsiTheme="minorEastAsia"/>
          <w:color w:val="333333"/>
          <w:kern w:val="0"/>
          <w:sz w:val="24"/>
        </w:rPr>
        <w:t>202</w:t>
      </w:r>
      <w:r>
        <w:rPr>
          <w:rFonts w:hint="eastAsia" w:cs="宋体" w:asciiTheme="minorEastAsia" w:hAnsiTheme="minorEastAsia"/>
          <w:color w:val="333333"/>
          <w:kern w:val="0"/>
          <w:sz w:val="24"/>
          <w:lang w:val="en-US" w:eastAsia="zh-CN"/>
        </w:rPr>
        <w:t>3</w:t>
      </w:r>
      <w:r>
        <w:rPr>
          <w:rFonts w:hint="eastAsia" w:cs="宋体" w:asciiTheme="minorEastAsia" w:hAnsiTheme="minorEastAsia"/>
          <w:color w:val="333333"/>
          <w:kern w:val="0"/>
          <w:sz w:val="24"/>
        </w:rPr>
        <w:t>年，宁晋县统计局认真贯彻落实《中华人民共和国政府信息公开条例》</w:t>
      </w:r>
      <w:r>
        <w:rPr>
          <w:rFonts w:hint="eastAsia" w:cs="仿宋" w:asciiTheme="minorEastAsia" w:hAnsiTheme="minorEastAsia"/>
          <w:color w:val="000000"/>
          <w:sz w:val="24"/>
        </w:rPr>
        <w:t>《政府信息公开工作年度报告编发指南（参考）》</w:t>
      </w:r>
      <w:r>
        <w:rPr>
          <w:rFonts w:hint="eastAsia" w:cs="宋体" w:asciiTheme="minorEastAsia" w:hAnsiTheme="minorEastAsia"/>
          <w:color w:val="333333"/>
          <w:kern w:val="0"/>
          <w:sz w:val="24"/>
        </w:rPr>
        <w:t>的要求，坚持以公开为常态，结合统计工作职能，全面推进决策、执行、管理、服务、结果公开和重点领域政府信息公开，不断提升政务公开的质量和实效。</w:t>
      </w:r>
    </w:p>
    <w:p>
      <w:pPr>
        <w:widowControl/>
        <w:shd w:val="clear" w:color="auto" w:fill="FFFFFF"/>
        <w:spacing w:line="500" w:lineRule="exact"/>
        <w:ind w:firstLine="480" w:firstLineChars="200"/>
        <w:jc w:val="left"/>
        <w:rPr>
          <w:rFonts w:hint="eastAsia" w:ascii="楷体" w:hAnsi="楷体" w:eastAsia="楷体" w:cs="宋体"/>
          <w:color w:val="333333"/>
          <w:kern w:val="0"/>
          <w:sz w:val="24"/>
        </w:rPr>
      </w:pPr>
      <w:r>
        <w:rPr>
          <w:rFonts w:hint="eastAsia" w:ascii="楷体" w:hAnsi="楷体" w:eastAsia="楷体" w:cs="宋体"/>
          <w:color w:val="333333"/>
          <w:kern w:val="0"/>
          <w:sz w:val="24"/>
        </w:rPr>
        <w:t>（一）主动公开方面</w:t>
      </w:r>
    </w:p>
    <w:p>
      <w:pPr>
        <w:widowControl/>
        <w:shd w:val="clear" w:color="auto" w:fill="FFFFFF"/>
        <w:spacing w:line="500" w:lineRule="exact"/>
        <w:ind w:firstLine="480"/>
        <w:jc w:val="left"/>
        <w:rPr>
          <w:rFonts w:hint="eastAsia" w:cs="宋体" w:asciiTheme="minorEastAsia" w:hAnsiTheme="minorEastAsia"/>
          <w:color w:val="333333"/>
          <w:kern w:val="0"/>
          <w:sz w:val="24"/>
        </w:rPr>
      </w:pPr>
      <w:r>
        <w:rPr>
          <w:rFonts w:hint="eastAsia" w:cs="宋体" w:asciiTheme="minorEastAsia" w:hAnsiTheme="minorEastAsia"/>
          <w:color w:val="333333"/>
          <w:kern w:val="0"/>
          <w:sz w:val="24"/>
        </w:rPr>
        <w:t>202</w:t>
      </w:r>
      <w:r>
        <w:rPr>
          <w:rFonts w:hint="eastAsia" w:cs="宋体" w:asciiTheme="minorEastAsia" w:hAnsiTheme="minorEastAsia"/>
          <w:color w:val="333333"/>
          <w:kern w:val="0"/>
          <w:sz w:val="24"/>
          <w:lang w:val="en-US" w:eastAsia="zh-CN"/>
        </w:rPr>
        <w:t>3</w:t>
      </w:r>
      <w:r>
        <w:rPr>
          <w:rFonts w:hint="eastAsia" w:cs="宋体" w:asciiTheme="minorEastAsia" w:hAnsiTheme="minorEastAsia"/>
          <w:color w:val="333333"/>
          <w:kern w:val="0"/>
          <w:sz w:val="24"/>
        </w:rPr>
        <w:t>年，我局通过宁晋县政府门户网主动公开各类信息1</w:t>
      </w:r>
      <w:r>
        <w:rPr>
          <w:rFonts w:hint="eastAsia" w:cs="宋体" w:asciiTheme="minorEastAsia" w:hAnsiTheme="minorEastAsia"/>
          <w:color w:val="333333"/>
          <w:kern w:val="0"/>
          <w:sz w:val="24"/>
          <w:lang w:val="en-US" w:eastAsia="zh-CN"/>
        </w:rPr>
        <w:t>7</w:t>
      </w:r>
      <w:r>
        <w:rPr>
          <w:rFonts w:hint="eastAsia" w:cs="宋体" w:asciiTheme="minorEastAsia" w:hAnsiTheme="minorEastAsia"/>
          <w:color w:val="333333"/>
          <w:kern w:val="0"/>
          <w:sz w:val="24"/>
        </w:rPr>
        <w:t>条。其中，统计信息</w:t>
      </w:r>
      <w:r>
        <w:rPr>
          <w:rFonts w:hint="eastAsia" w:cs="宋体" w:asciiTheme="minorEastAsia" w:hAnsiTheme="minorEastAsia"/>
          <w:color w:val="333333"/>
          <w:kern w:val="0"/>
          <w:sz w:val="24"/>
          <w:lang w:val="en-US" w:eastAsia="zh-CN"/>
        </w:rPr>
        <w:t>12</w:t>
      </w:r>
      <w:r>
        <w:rPr>
          <w:rFonts w:hint="eastAsia" w:cs="宋体" w:asciiTheme="minorEastAsia" w:hAnsiTheme="minorEastAsia"/>
          <w:color w:val="333333"/>
          <w:kern w:val="0"/>
          <w:sz w:val="24"/>
        </w:rPr>
        <w:t>条，部门公</w:t>
      </w:r>
      <w:r>
        <w:rPr>
          <w:rFonts w:hint="eastAsia" w:cs="宋体" w:asciiTheme="minorEastAsia" w:hAnsiTheme="minorEastAsia"/>
          <w:color w:val="333333"/>
          <w:kern w:val="0"/>
          <w:sz w:val="24"/>
          <w:lang w:eastAsia="zh-CN"/>
        </w:rPr>
        <w:t>示</w:t>
      </w:r>
      <w:r>
        <w:rPr>
          <w:rFonts w:hint="eastAsia" w:cs="宋体" w:asciiTheme="minorEastAsia" w:hAnsiTheme="minorEastAsia"/>
          <w:color w:val="333333"/>
          <w:kern w:val="0"/>
          <w:sz w:val="24"/>
          <w:lang w:val="en-US" w:eastAsia="zh-CN"/>
        </w:rPr>
        <w:t>4</w:t>
      </w:r>
      <w:r>
        <w:rPr>
          <w:rFonts w:hint="eastAsia" w:cs="宋体" w:asciiTheme="minorEastAsia" w:hAnsiTheme="minorEastAsia"/>
          <w:color w:val="333333"/>
          <w:kern w:val="0"/>
          <w:sz w:val="24"/>
        </w:rPr>
        <w:t>条，部门预决算1条。</w:t>
      </w:r>
    </w:p>
    <w:p>
      <w:pPr>
        <w:widowControl/>
        <w:shd w:val="clear" w:color="auto" w:fill="FFFFFF"/>
        <w:spacing w:line="500" w:lineRule="exact"/>
        <w:ind w:firstLine="480" w:firstLineChars="200"/>
        <w:jc w:val="left"/>
        <w:rPr>
          <w:rFonts w:hint="eastAsia" w:ascii="楷体" w:hAnsi="楷体" w:eastAsia="楷体" w:cs="宋体"/>
          <w:color w:val="333333"/>
          <w:kern w:val="0"/>
          <w:sz w:val="24"/>
        </w:rPr>
      </w:pPr>
      <w:r>
        <w:rPr>
          <w:rFonts w:hint="eastAsia" w:ascii="楷体" w:hAnsi="楷体" w:eastAsia="楷体" w:cs="宋体"/>
          <w:color w:val="333333"/>
          <w:kern w:val="0"/>
          <w:sz w:val="24"/>
        </w:rPr>
        <w:t>（二）依申请公开方面</w:t>
      </w:r>
    </w:p>
    <w:p>
      <w:pPr>
        <w:widowControl/>
        <w:shd w:val="clear" w:color="auto" w:fill="FFFFFF"/>
        <w:spacing w:line="500" w:lineRule="exact"/>
        <w:ind w:firstLine="480"/>
        <w:jc w:val="left"/>
        <w:rPr>
          <w:rFonts w:hint="eastAsia" w:cs="宋体" w:asciiTheme="minorEastAsia" w:hAnsiTheme="minorEastAsia"/>
          <w:color w:val="333333"/>
          <w:kern w:val="0"/>
          <w:sz w:val="24"/>
        </w:rPr>
      </w:pPr>
      <w:r>
        <w:rPr>
          <w:rFonts w:hint="eastAsia" w:cs="宋体" w:asciiTheme="minorEastAsia" w:hAnsiTheme="minorEastAsia"/>
          <w:color w:val="333333"/>
          <w:kern w:val="0"/>
          <w:sz w:val="24"/>
        </w:rPr>
        <w:t>202</w:t>
      </w:r>
      <w:r>
        <w:rPr>
          <w:rFonts w:hint="eastAsia" w:cs="宋体" w:asciiTheme="minorEastAsia" w:hAnsiTheme="minorEastAsia"/>
          <w:color w:val="333333"/>
          <w:kern w:val="0"/>
          <w:sz w:val="24"/>
          <w:lang w:val="en-US" w:eastAsia="zh-CN"/>
        </w:rPr>
        <w:t>3</w:t>
      </w:r>
      <w:r>
        <w:rPr>
          <w:rFonts w:hint="eastAsia" w:cs="宋体" w:asciiTheme="minorEastAsia" w:hAnsiTheme="minorEastAsia"/>
          <w:color w:val="333333"/>
          <w:kern w:val="0"/>
          <w:sz w:val="24"/>
        </w:rPr>
        <w:t>年我局未共收到依申请公开事项。</w:t>
      </w:r>
    </w:p>
    <w:p>
      <w:pPr>
        <w:widowControl/>
        <w:shd w:val="clear" w:color="auto" w:fill="FFFFFF"/>
        <w:spacing w:line="500" w:lineRule="exact"/>
        <w:ind w:firstLine="480" w:firstLineChars="200"/>
        <w:jc w:val="left"/>
        <w:rPr>
          <w:rFonts w:hint="eastAsia" w:ascii="楷体" w:hAnsi="楷体" w:eastAsia="楷体" w:cs="宋体"/>
          <w:color w:val="333333"/>
          <w:kern w:val="0"/>
          <w:sz w:val="24"/>
        </w:rPr>
      </w:pPr>
      <w:r>
        <w:rPr>
          <w:rFonts w:hint="eastAsia" w:ascii="楷体" w:hAnsi="楷体" w:eastAsia="楷体" w:cs="宋体"/>
          <w:color w:val="333333"/>
          <w:kern w:val="0"/>
          <w:sz w:val="24"/>
        </w:rPr>
        <w:t>（三）政府信息管理方面</w:t>
      </w:r>
    </w:p>
    <w:p>
      <w:pPr>
        <w:widowControl/>
        <w:shd w:val="clear" w:color="auto" w:fill="FFFFFF"/>
        <w:spacing w:line="500" w:lineRule="exact"/>
        <w:ind w:firstLine="480"/>
        <w:jc w:val="left"/>
        <w:rPr>
          <w:rFonts w:hint="eastAsia" w:cs="宋体" w:asciiTheme="minorEastAsia" w:hAnsiTheme="minorEastAsia"/>
          <w:color w:val="333333"/>
          <w:kern w:val="0"/>
          <w:sz w:val="24"/>
        </w:rPr>
      </w:pPr>
      <w:r>
        <w:rPr>
          <w:rFonts w:hint="eastAsia" w:cs="宋体" w:asciiTheme="minorEastAsia" w:hAnsiTheme="minorEastAsia"/>
          <w:color w:val="333333"/>
          <w:kern w:val="0"/>
          <w:sz w:val="24"/>
        </w:rPr>
        <w:t>结合统计工作自身实际，全面规范和推进政府信息公开工作，及时开展政务信息公开问题整改，规范信息归类管理，加强统计信息、统计分析等方面问题的信息发布频次。建立信息发布内容审核和保密审核制度，对所有发布信息进行内容、保密双重审核，全面梳理主动公开政府信息，为群众提供方便快捷的统计服务。</w:t>
      </w:r>
    </w:p>
    <w:p>
      <w:pPr>
        <w:widowControl/>
        <w:shd w:val="clear" w:color="auto" w:fill="FFFFFF"/>
        <w:spacing w:line="500" w:lineRule="exact"/>
        <w:ind w:firstLine="480" w:firstLineChars="200"/>
        <w:jc w:val="left"/>
        <w:rPr>
          <w:rFonts w:hint="eastAsia" w:ascii="楷体" w:hAnsi="楷体" w:eastAsia="楷体" w:cs="宋体"/>
          <w:color w:val="333333"/>
          <w:kern w:val="0"/>
          <w:sz w:val="24"/>
        </w:rPr>
      </w:pPr>
      <w:r>
        <w:rPr>
          <w:rFonts w:hint="eastAsia" w:ascii="楷体" w:hAnsi="楷体" w:eastAsia="楷体" w:cs="宋体"/>
          <w:color w:val="333333"/>
          <w:kern w:val="0"/>
          <w:sz w:val="24"/>
        </w:rPr>
        <w:t>（四）政府信息公开平台建设方面</w:t>
      </w:r>
    </w:p>
    <w:p>
      <w:pPr>
        <w:widowControl/>
        <w:shd w:val="clear" w:color="auto" w:fill="FFFFFF"/>
        <w:spacing w:line="500" w:lineRule="exact"/>
        <w:ind w:firstLine="480"/>
        <w:jc w:val="left"/>
        <w:rPr>
          <w:rFonts w:hint="eastAsia" w:cs="宋体" w:asciiTheme="minorEastAsia" w:hAnsiTheme="minorEastAsia"/>
          <w:color w:val="333333"/>
          <w:kern w:val="0"/>
          <w:sz w:val="24"/>
        </w:rPr>
      </w:pPr>
      <w:r>
        <w:rPr>
          <w:rFonts w:hint="eastAsia" w:cs="宋体" w:asciiTheme="minorEastAsia" w:hAnsiTheme="minorEastAsia"/>
          <w:color w:val="333333"/>
          <w:kern w:val="0"/>
          <w:sz w:val="24"/>
        </w:rPr>
        <w:t>坚持便民导向，创新数据服务形式，依托政府网站、政务新媒体等渠道，紧扣重点工作实施精准信息发布，定期公布全县主要经济指标数据、重点领域数据分析，反映全县经济发展情况。</w:t>
      </w:r>
    </w:p>
    <w:p>
      <w:pPr>
        <w:widowControl/>
        <w:shd w:val="clear" w:color="auto" w:fill="FFFFFF"/>
        <w:spacing w:line="500" w:lineRule="exact"/>
        <w:ind w:firstLine="480" w:firstLineChars="200"/>
        <w:jc w:val="left"/>
        <w:rPr>
          <w:rFonts w:hint="eastAsia" w:ascii="楷体" w:hAnsi="楷体" w:eastAsia="楷体" w:cs="宋体"/>
          <w:color w:val="333333"/>
          <w:kern w:val="0"/>
          <w:sz w:val="24"/>
        </w:rPr>
      </w:pPr>
      <w:r>
        <w:rPr>
          <w:rFonts w:hint="eastAsia" w:ascii="楷体" w:hAnsi="楷体" w:eastAsia="楷体" w:cs="宋体"/>
          <w:color w:val="333333"/>
          <w:kern w:val="0"/>
          <w:sz w:val="24"/>
        </w:rPr>
        <w:t>（五）监督保障方面</w:t>
      </w:r>
    </w:p>
    <w:p>
      <w:pPr>
        <w:widowControl/>
        <w:shd w:val="clear" w:color="auto" w:fill="FFFFFF"/>
        <w:spacing w:line="500" w:lineRule="exact"/>
        <w:ind w:firstLine="480"/>
        <w:jc w:val="left"/>
        <w:rPr>
          <w:rFonts w:hint="eastAsia" w:ascii="宋体" w:hAnsi="宋体" w:eastAsia="宋体" w:cs="宋体"/>
          <w:b/>
          <w:bCs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</w:pPr>
      <w:r>
        <w:rPr>
          <w:rFonts w:hint="eastAsia" w:cs="宋体" w:asciiTheme="minorEastAsia" w:hAnsiTheme="minorEastAsia"/>
          <w:color w:val="333333"/>
          <w:kern w:val="0"/>
          <w:sz w:val="24"/>
        </w:rPr>
        <w:t>加强政府信息公开工作组织领导，坚持政务公开一把手负责、分管局长统筹、办公室负责政务公开日常具体工作，建立完善政务公开协调联络工作机制，指导协调和督促推动各业务科室按要求及时公开政务信息。保持政务公开工作队伍基本稳定，为深化政府信息公开工作提供强有力的组织保障。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二、主动公开政府信息情况</w:t>
      </w:r>
    </w:p>
    <w:tbl>
      <w:tblPr>
        <w:tblStyle w:val="3"/>
        <w:tblW w:w="9740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2435"/>
        <w:gridCol w:w="2435"/>
        <w:gridCol w:w="2435"/>
        <w:gridCol w:w="2435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第二十条第（一）项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243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制发件数</w:t>
            </w:r>
          </w:p>
        </w:tc>
        <w:tc>
          <w:tcPr>
            <w:tcW w:w="243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本年废止件数</w:t>
            </w:r>
          </w:p>
        </w:tc>
        <w:tc>
          <w:tcPr>
            <w:tcW w:w="243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现行有效件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数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规章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行政规范性文件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第二十条第（五）项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本年处理决定数量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行政许可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第二十条第（六）项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本年处理决定数量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行政处罚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行政强制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第二十条第（八）项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本年收费金额（单位：万元）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行政事业性收费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jc w:val="center"/>
              <w:rPr>
                <w:rFonts w:hint="eastAsia" w:ascii="宋体" w:eastAsia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="宋体"/>
                <w:sz w:val="24"/>
                <w:szCs w:val="24"/>
                <w:lang w:val="en-US" w:eastAsia="zh-CN"/>
              </w:rPr>
              <w:t>0</w:t>
            </w:r>
          </w:p>
        </w:tc>
      </w:tr>
    </w:tbl>
    <w:p>
      <w:pPr>
        <w:keepNext w:val="0"/>
        <w:keepLines w:val="0"/>
        <w:widowControl/>
        <w:suppressLineNumbers w:val="0"/>
        <w:jc w:val="left"/>
      </w:pP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三、收到和处理政府信息公开申请情况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</w:p>
    <w:tbl>
      <w:tblPr>
        <w:tblStyle w:val="3"/>
        <w:tblW w:w="9748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shd w:val="clear" w:color="auto" w:fill="auto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768"/>
        <w:gridCol w:w="943"/>
        <w:gridCol w:w="3220"/>
        <w:gridCol w:w="688"/>
        <w:gridCol w:w="688"/>
        <w:gridCol w:w="688"/>
        <w:gridCol w:w="688"/>
        <w:gridCol w:w="688"/>
        <w:gridCol w:w="688"/>
        <w:gridCol w:w="689"/>
      </w:tblGrid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31" w:type="dxa"/>
            <w:gridSpan w:val="3"/>
            <w:vMerge w:val="restart"/>
            <w:tcBorders>
              <w:top w:val="single" w:color="auto" w:sz="8" w:space="0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楷体" w:hAnsi="楷体" w:eastAsia="楷体" w:cs="楷体"/>
                <w:kern w:val="0"/>
                <w:sz w:val="20"/>
                <w:szCs w:val="20"/>
                <w:lang w:val="en-US" w:eastAsia="zh-CN" w:bidi="ar"/>
              </w:rPr>
              <w:t>（本列数据的勾稽关系为：第一项加第二项之和，等于第三项加第四项之和）</w:t>
            </w:r>
          </w:p>
        </w:tc>
        <w:tc>
          <w:tcPr>
            <w:tcW w:w="4817" w:type="dxa"/>
            <w:gridSpan w:val="7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申请人情况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31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88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自然人</w:t>
            </w:r>
          </w:p>
        </w:tc>
        <w:tc>
          <w:tcPr>
            <w:tcW w:w="3440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法人或其他组织</w:t>
            </w:r>
          </w:p>
        </w:tc>
        <w:tc>
          <w:tcPr>
            <w:tcW w:w="689" w:type="dxa"/>
            <w:vMerge w:val="restart"/>
            <w:tcBorders>
              <w:top w:val="single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31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88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商业</w:t>
            </w: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企业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科研</w:t>
            </w: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机构</w:t>
            </w:r>
          </w:p>
        </w:tc>
        <w:tc>
          <w:tcPr>
            <w:tcW w:w="688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社会公益组织</w:t>
            </w:r>
          </w:p>
        </w:tc>
        <w:tc>
          <w:tcPr>
            <w:tcW w:w="688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法律服务机构</w:t>
            </w:r>
          </w:p>
        </w:tc>
        <w:tc>
          <w:tcPr>
            <w:tcW w:w="688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其他</w:t>
            </w:r>
          </w:p>
        </w:tc>
        <w:tc>
          <w:tcPr>
            <w:tcW w:w="689" w:type="dxa"/>
            <w:vMerge w:val="continue"/>
            <w:tcBorders>
              <w:top w:val="single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31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一、本年新收政府信息公开申请数量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31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二、上年结转政府信息公开申请数量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restart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三、本年度办理结果</w:t>
            </w:r>
          </w:p>
        </w:tc>
        <w:tc>
          <w:tcPr>
            <w:tcW w:w="4163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（一）予以公开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4163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（二）部分公开</w:t>
            </w:r>
            <w:r>
              <w:rPr>
                <w:rFonts w:hint="eastAsia" w:ascii="楷体" w:hAnsi="楷体" w:eastAsia="楷体" w:cs="楷体"/>
                <w:kern w:val="0"/>
                <w:sz w:val="20"/>
                <w:szCs w:val="20"/>
                <w:lang w:val="en-US" w:eastAsia="zh-CN" w:bidi="ar"/>
              </w:rPr>
              <w:t>（区分处理的，只计这一情形，不计其他情形）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restart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（三）不予公开</w:t>
            </w: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1.属于国家秘密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2.其他法律行政法规禁止公开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3.危及“三安全一稳定”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4.保护第三方合法权益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5.属于三类内部事务信息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6.属于四类过程性信息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7.属于行政执法案卷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8.属于行政查询事项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restart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（四）无法提供</w:t>
            </w: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1.本机关不掌握相关政府信息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2.没有现成信息需要另行制作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3.补正后申请内容仍不明确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restart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（五）不予处理</w:t>
            </w: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1.信访举报投诉类申请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2.重复申请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3.要求提供公开出版物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4.无正当理由大量反复申请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79" w:hRule="atLeast"/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5.要求行政机关确认或重新出具已获取信息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restart"/>
            <w:tcBorders>
              <w:top w:val="outset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（六）其他处理</w:t>
            </w: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1.申请人无正当理由逾期不补正、行政机关不再处理其政府信息公开申请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outset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2.申请人逾期未按收费通知要求缴纳费用、行政机关不再处理其政府信息公开申请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outset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3.其他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4163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（七）总计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31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四、结转下年度继续办理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</w:tbl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0"/>
        <w:jc w:val="center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四、政府信息公开行政复议、行政诉讼情况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0"/>
        <w:jc w:val="center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</w:p>
    <w:tbl>
      <w:tblPr>
        <w:tblStyle w:val="3"/>
        <w:tblW w:w="9748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shd w:val="clear" w:color="auto" w:fill="auto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649"/>
        <w:gridCol w:w="649"/>
        <w:gridCol w:w="649"/>
        <w:gridCol w:w="649"/>
        <w:gridCol w:w="649"/>
        <w:gridCol w:w="649"/>
        <w:gridCol w:w="649"/>
        <w:gridCol w:w="650"/>
        <w:gridCol w:w="650"/>
        <w:gridCol w:w="650"/>
        <w:gridCol w:w="651"/>
        <w:gridCol w:w="651"/>
        <w:gridCol w:w="651"/>
        <w:gridCol w:w="651"/>
        <w:gridCol w:w="651"/>
      </w:tblGrid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3210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行政复议</w:t>
            </w:r>
          </w:p>
        </w:tc>
        <w:tc>
          <w:tcPr>
            <w:tcW w:w="6428" w:type="dxa"/>
            <w:gridSpan w:val="10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行政诉讼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42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结果维持</w:t>
            </w:r>
          </w:p>
        </w:tc>
        <w:tc>
          <w:tcPr>
            <w:tcW w:w="642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纠正</w:t>
            </w:r>
          </w:p>
        </w:tc>
        <w:tc>
          <w:tcPr>
            <w:tcW w:w="642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其他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</w:tc>
        <w:tc>
          <w:tcPr>
            <w:tcW w:w="642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尚未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审结</w:t>
            </w:r>
          </w:p>
        </w:tc>
        <w:tc>
          <w:tcPr>
            <w:tcW w:w="642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  <w:tc>
          <w:tcPr>
            <w:tcW w:w="3213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未经复议直接起诉</w:t>
            </w:r>
          </w:p>
        </w:tc>
        <w:tc>
          <w:tcPr>
            <w:tcW w:w="3215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复议后起诉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42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2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2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2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2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维持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纠正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其他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尚未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审结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维持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纠正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其他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尚未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审结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72" w:hRule="atLeast"/>
          <w:jc w:val="center"/>
        </w:trPr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 w:eastAsia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="宋体"/>
                <w:sz w:val="24"/>
                <w:szCs w:val="24"/>
                <w:lang w:val="en-US" w:eastAsia="zh-CN"/>
              </w:rPr>
              <w:t>0</w:t>
            </w:r>
          </w:p>
        </w:tc>
      </w:tr>
    </w:tbl>
    <w:p>
      <w:pPr>
        <w:keepNext w:val="0"/>
        <w:keepLines w:val="0"/>
        <w:widowControl/>
        <w:suppressLineNumbers w:val="0"/>
        <w:jc w:val="left"/>
      </w:pP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五、存在的主要问题及改进情况</w:t>
      </w:r>
    </w:p>
    <w:p>
      <w:pPr>
        <w:widowControl/>
        <w:shd w:val="clear" w:color="auto" w:fill="FFFFFF"/>
        <w:spacing w:line="500" w:lineRule="exact"/>
        <w:ind w:firstLine="480" w:firstLineChars="200"/>
        <w:jc w:val="left"/>
        <w:rPr>
          <w:rFonts w:hint="eastAsia" w:cs="宋体" w:asciiTheme="minorEastAsia" w:hAnsiTheme="minorEastAsia"/>
          <w:color w:val="333333"/>
          <w:kern w:val="0"/>
          <w:sz w:val="24"/>
        </w:rPr>
      </w:pPr>
      <w:r>
        <w:rPr>
          <w:rFonts w:hint="eastAsia" w:cs="宋体" w:asciiTheme="minorEastAsia" w:hAnsiTheme="minorEastAsia"/>
          <w:color w:val="333333"/>
          <w:kern w:val="0"/>
          <w:sz w:val="24"/>
        </w:rPr>
        <w:t>202</w:t>
      </w:r>
      <w:r>
        <w:rPr>
          <w:rFonts w:hint="eastAsia" w:cs="宋体" w:asciiTheme="minorEastAsia" w:hAnsiTheme="minorEastAsia"/>
          <w:color w:val="333333"/>
          <w:kern w:val="0"/>
          <w:sz w:val="24"/>
          <w:lang w:val="en-US" w:eastAsia="zh-CN"/>
        </w:rPr>
        <w:t>3</w:t>
      </w:r>
      <w:r>
        <w:rPr>
          <w:rFonts w:hint="eastAsia" w:cs="宋体" w:asciiTheme="minorEastAsia" w:hAnsiTheme="minorEastAsia"/>
          <w:color w:val="333333"/>
          <w:kern w:val="0"/>
          <w:sz w:val="24"/>
        </w:rPr>
        <w:t>年，在政务公开工作方面都</w:t>
      </w:r>
      <w:r>
        <w:rPr>
          <w:rFonts w:hint="eastAsia" w:cs="宋体" w:asciiTheme="minorEastAsia" w:hAnsiTheme="minorEastAsia"/>
          <w:color w:val="333333"/>
          <w:kern w:val="0"/>
          <w:sz w:val="24"/>
          <w:lang w:eastAsia="zh-CN"/>
        </w:rPr>
        <w:t>虽然</w:t>
      </w:r>
      <w:r>
        <w:rPr>
          <w:rFonts w:hint="eastAsia" w:cs="宋体" w:asciiTheme="minorEastAsia" w:hAnsiTheme="minorEastAsia"/>
          <w:color w:val="333333"/>
          <w:kern w:val="0"/>
          <w:sz w:val="24"/>
        </w:rPr>
        <w:t>有</w:t>
      </w:r>
      <w:r>
        <w:rPr>
          <w:rFonts w:hint="eastAsia" w:cs="宋体" w:asciiTheme="minorEastAsia" w:hAnsiTheme="minorEastAsia"/>
          <w:color w:val="333333"/>
          <w:kern w:val="0"/>
          <w:sz w:val="24"/>
          <w:lang w:eastAsia="zh-CN"/>
        </w:rPr>
        <w:t>所</w:t>
      </w:r>
      <w:r>
        <w:rPr>
          <w:rFonts w:hint="eastAsia" w:cs="宋体" w:asciiTheme="minorEastAsia" w:hAnsiTheme="minorEastAsia"/>
          <w:color w:val="333333"/>
          <w:kern w:val="0"/>
          <w:sz w:val="24"/>
        </w:rPr>
        <w:t>进步，但</w:t>
      </w:r>
      <w:r>
        <w:rPr>
          <w:rFonts w:hint="eastAsia" w:cs="宋体" w:asciiTheme="minorEastAsia" w:hAnsiTheme="minorEastAsia"/>
          <w:color w:val="333333"/>
          <w:kern w:val="0"/>
          <w:sz w:val="24"/>
          <w:lang w:eastAsia="zh-CN"/>
        </w:rPr>
        <w:t>还</w:t>
      </w:r>
      <w:r>
        <w:rPr>
          <w:rFonts w:hint="eastAsia" w:cs="宋体" w:asciiTheme="minorEastAsia" w:hAnsiTheme="minorEastAsia"/>
          <w:color w:val="333333"/>
          <w:kern w:val="0"/>
          <w:sz w:val="24"/>
        </w:rPr>
        <w:t>存在许多差距和不足，比如，信息公开的力度有待加强、公开内容的</w:t>
      </w:r>
      <w:r>
        <w:rPr>
          <w:rFonts w:hint="eastAsia" w:cs="宋体" w:asciiTheme="minorEastAsia" w:hAnsiTheme="minorEastAsia"/>
          <w:color w:val="333333"/>
          <w:kern w:val="0"/>
          <w:sz w:val="24"/>
          <w:lang w:eastAsia="zh-CN"/>
        </w:rPr>
        <w:t>丰富性、</w:t>
      </w:r>
      <w:r>
        <w:rPr>
          <w:rFonts w:hint="eastAsia" w:cs="宋体" w:asciiTheme="minorEastAsia" w:hAnsiTheme="minorEastAsia"/>
          <w:color w:val="333333"/>
          <w:kern w:val="0"/>
          <w:sz w:val="24"/>
        </w:rPr>
        <w:t>规范性有待提高等。下一步，我局将紧紧围绕政府信息公开的工作要求，加强信息公开规范化建设。一是积极稳妥推动条件成熟的统计指标发布，更加全面客观反映经济社会发展。二是不断提升数据解读影响力。对统计数据、统计知识和热点回应等进行解读，满足社会公众多元化需求。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六、其他需要报告的事项</w:t>
      </w:r>
      <w:bookmarkStart w:id="0" w:name="_GoBack"/>
      <w:bookmarkEnd w:id="0"/>
    </w:p>
    <w:p>
      <w:pPr>
        <w:pStyle w:val="2"/>
        <w:widowControl/>
        <w:shd w:val="clear" w:color="auto" w:fill="FFFFFF"/>
        <w:spacing w:beforeAutospacing="0" w:afterAutospacing="0" w:line="500" w:lineRule="exact"/>
        <w:ind w:firstLine="480" w:firstLineChars="200"/>
        <w:jc w:val="both"/>
      </w:pPr>
      <w:r>
        <w:rPr>
          <w:rFonts w:hint="eastAsia" w:ascii="宋体" w:hAnsi="宋体" w:eastAsia="宋体" w:cs="仿宋_GB2312"/>
          <w:color w:val="000000"/>
          <w:shd w:val="clear" w:color="auto" w:fill="FFFFFF"/>
        </w:rPr>
        <w:t>202</w:t>
      </w:r>
      <w:r>
        <w:rPr>
          <w:rFonts w:hint="eastAsia" w:ascii="宋体" w:hAnsi="宋体" w:eastAsia="宋体" w:cs="仿宋_GB2312"/>
          <w:color w:val="000000"/>
          <w:shd w:val="clear" w:color="auto" w:fill="FFFFFF"/>
          <w:lang w:val="en-US" w:eastAsia="zh-CN"/>
        </w:rPr>
        <w:t>3</w:t>
      </w:r>
      <w:r>
        <w:rPr>
          <w:rFonts w:hint="eastAsia" w:ascii="宋体" w:hAnsi="宋体" w:eastAsia="宋体" w:cs="仿宋_GB2312"/>
          <w:color w:val="000000"/>
          <w:shd w:val="clear" w:color="auto" w:fill="FFFFFF"/>
        </w:rPr>
        <w:t>年，我局没有收取信息处理费。无其他需要报告事项。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50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2VhZWY0NzY3OWRkMmRmZjI3MWFkNjIzMDExMDk3YTgifQ=="/>
  </w:docVars>
  <w:rsids>
    <w:rsidRoot w:val="063977E7"/>
    <w:rsid w:val="063977E7"/>
    <w:rsid w:val="0C7669DF"/>
    <w:rsid w:val="0CC06645"/>
    <w:rsid w:val="18645C61"/>
    <w:rsid w:val="18E72462"/>
    <w:rsid w:val="1BD1392C"/>
    <w:rsid w:val="2D3A7792"/>
    <w:rsid w:val="32F9753D"/>
    <w:rsid w:val="37B006FF"/>
    <w:rsid w:val="401E2F1A"/>
    <w:rsid w:val="56FB7981"/>
    <w:rsid w:val="58D00F8B"/>
    <w:rsid w:val="61721CA7"/>
    <w:rsid w:val="67C9107F"/>
    <w:rsid w:val="73ED3C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autoRedefine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no"?><Relationships xmlns="http://schemas.openxmlformats.org/package/2006/relationships"><Relationship Id="rId1" Target="styles.xml" Type="http://schemas.openxmlformats.org/officeDocument/2006/relationships/styles"/><Relationship Id="rId2" Target="settings.xml" Type="http://schemas.openxmlformats.org/officeDocument/2006/relationships/settings"/><Relationship Id="rId3" Target="theme/theme1.xml" Type="http://schemas.openxmlformats.org/officeDocument/2006/relationships/theme"/><Relationship Id="rId4" Target="fontTable.xml" Type="http://schemas.openxmlformats.org/officeDocument/2006/relationships/fontTable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12</TotalTime>
  <ScaleCrop>false</ScaleCrop>
  <LinksUpToDate>false</LinksUpToDate>
  <CharactersWithSpaces>0</CharactersWithSpaces>
  <Application>WPS Office_12.1.0.16250_F1E327BC-269C-435d-A152-05C5408002CA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2022-01-06T07:29:00Z</dcterms:created>
  <dc:creator>Administrator</dc:creator>
  <cp:lastModifiedBy>happy</cp:lastModifiedBy>
  <dcterms:modified xsi:type="dcterms:W3CDTF">2024-01-19T03:46:31Z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2052-12.1.0.16250</vt:lpwstr>
  </property>
  <property fmtid="{D5CDD505-2E9C-101B-9397-08002B2CF9AE}" pid="3" name="ICV">
    <vt:lpwstr>1157CE926B71424ABCEDD46E97C11597</vt:lpwstr>
  </property>
</Properties>
</file>