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Theme="majorEastAsia" w:hAnsiTheme="majorEastAsia" w:eastAsiaTheme="majorEastAsia" w:cstheme="majorEastAsia"/>
          <w:b/>
          <w:bCs w:val="0"/>
          <w:i w:val="0"/>
          <w:caps w:val="0"/>
          <w:color w:val="333333"/>
          <w:spacing w:val="0"/>
          <w:kern w:val="44"/>
          <w:sz w:val="44"/>
          <w:szCs w:val="44"/>
          <w:u w:val="none"/>
          <w:shd w:val="clear" w:fill="FFFFFF"/>
          <w:lang w:val="en-US" w:eastAsia="zh-CN" w:bidi="ar"/>
        </w:rPr>
      </w:pPr>
      <w:r>
        <w:rPr>
          <w:rFonts w:hint="eastAsia" w:asciiTheme="majorEastAsia" w:hAnsiTheme="majorEastAsia" w:eastAsiaTheme="majorEastAsia" w:cstheme="majorEastAsia"/>
          <w:b/>
          <w:bCs w:val="0"/>
          <w:i w:val="0"/>
          <w:caps w:val="0"/>
          <w:color w:val="333333"/>
          <w:spacing w:val="0"/>
          <w:kern w:val="44"/>
          <w:sz w:val="44"/>
          <w:szCs w:val="44"/>
          <w:u w:val="none"/>
          <w:shd w:val="clear" w:fill="FFFFFF"/>
          <w:lang w:val="en-US" w:eastAsia="zh-CN" w:bidi="ar"/>
        </w:rPr>
        <w:t>宁晋县宁南筹备办事处</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Theme="majorEastAsia" w:hAnsiTheme="majorEastAsia" w:eastAsiaTheme="majorEastAsia" w:cstheme="majorEastAsia"/>
          <w:b/>
          <w:bCs w:val="0"/>
          <w:i w:val="0"/>
          <w:caps w:val="0"/>
          <w:color w:val="333333"/>
          <w:spacing w:val="0"/>
          <w:kern w:val="44"/>
          <w:sz w:val="44"/>
          <w:szCs w:val="44"/>
          <w:u w:val="none"/>
          <w:shd w:val="clear" w:fill="FFFFFF"/>
          <w:lang w:val="en-US" w:eastAsia="zh-CN" w:bidi="ar"/>
        </w:rPr>
      </w:pPr>
      <w:r>
        <w:rPr>
          <w:rFonts w:hint="eastAsia" w:asciiTheme="majorEastAsia" w:hAnsiTheme="majorEastAsia" w:eastAsiaTheme="majorEastAsia" w:cstheme="majorEastAsia"/>
          <w:b/>
          <w:bCs w:val="0"/>
          <w:i w:val="0"/>
          <w:caps w:val="0"/>
          <w:color w:val="333333"/>
          <w:spacing w:val="0"/>
          <w:kern w:val="44"/>
          <w:sz w:val="44"/>
          <w:szCs w:val="44"/>
          <w:u w:val="none"/>
          <w:shd w:val="clear" w:fill="FFFFFF"/>
          <w:lang w:val="en-US" w:eastAsia="zh-CN" w:bidi="ar"/>
        </w:rPr>
        <w:t>2023年政府信息公开工作年度报告</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Theme="majorEastAsia" w:hAnsiTheme="majorEastAsia" w:eastAsiaTheme="majorEastAsia" w:cstheme="majorEastAsia"/>
          <w:b/>
          <w:bCs w:val="0"/>
          <w:i w:val="0"/>
          <w:caps w:val="0"/>
          <w:color w:val="333333"/>
          <w:spacing w:val="0"/>
          <w:kern w:val="44"/>
          <w:sz w:val="44"/>
          <w:szCs w:val="44"/>
          <w:u w:val="none"/>
          <w:shd w:val="clear" w:fill="FFFFFF"/>
          <w:lang w:val="en-US" w:eastAsia="zh-CN" w:bidi="ar"/>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firstLine="600" w:firstLineChars="200"/>
        <w:jc w:val="left"/>
        <w:textAlignment w:val="auto"/>
        <w:rPr>
          <w:rFonts w:hint="eastAsia" w:ascii="黑体" w:hAnsi="黑体" w:eastAsia="黑体" w:cs="黑体"/>
          <w:b/>
          <w:i w:val="0"/>
          <w:caps w:val="0"/>
          <w:color w:val="333333"/>
          <w:spacing w:val="0"/>
          <w:kern w:val="44"/>
          <w:sz w:val="30"/>
          <w:szCs w:val="30"/>
          <w:u w:val="none"/>
          <w:shd w:val="clear" w:fill="FFFFFF"/>
          <w:lang w:val="en-US" w:eastAsia="zh-CN" w:bidi="ar"/>
        </w:rPr>
      </w:pPr>
      <w:r>
        <w:rPr>
          <w:rFonts w:hint="eastAsia" w:ascii="仿宋" w:hAnsi="仿宋" w:eastAsia="仿宋" w:cs="仿宋"/>
          <w:i w:val="0"/>
          <w:iCs w:val="0"/>
          <w:caps w:val="0"/>
          <w:color w:val="333333"/>
          <w:spacing w:val="0"/>
          <w:sz w:val="30"/>
          <w:szCs w:val="30"/>
          <w:shd w:val="clear" w:fill="FFFFFF"/>
          <w:lang w:val="en-US" w:eastAsia="zh-CN"/>
        </w:rPr>
        <w:t>本年度报告依据《中华人民共和国政府信息公开条例》、《中华人民共和国政府信息公开工作年度报告格式》和省、市政务公开工作要求，由宁晋县人民政府办公室编制而成。全文包括总体情况、主动公开政府信息情况、收到和处理政府信息公开申请情况、政府信息公开行政复议和行政诉讼情况、存在的主要问题及改进情况、其他需要报告的事项等内容。本年报中所列数据的统计期限为2023年1月1日至12月31日。本年报的电子版可在宁晋县人民政府网站（https://www.ningjin.gov.cn/）下载。如对本年报有任何疑问，请与宁晋县宁南筹备办事处办公室联系，联系电话：0319-5568369。</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ind w:left="0" w:right="0" w:firstLine="643" w:firstLineChars="200"/>
        <w:jc w:val="left"/>
        <w:textAlignment w:val="auto"/>
        <w:rPr>
          <w:rFonts w:hint="eastAsia" w:ascii="宋体" w:hAnsi="宋体" w:eastAsia="宋体" w:cs="宋体"/>
          <w:i w:val="0"/>
          <w:iCs w:val="0"/>
          <w:caps w:val="0"/>
          <w:color w:val="333333"/>
          <w:spacing w:val="0"/>
          <w:sz w:val="32"/>
          <w:szCs w:val="32"/>
        </w:rPr>
      </w:pPr>
      <w:r>
        <w:rPr>
          <w:rFonts w:hint="eastAsia" w:ascii="宋体" w:hAnsi="宋体" w:eastAsia="宋体" w:cs="宋体"/>
          <w:b/>
          <w:bCs/>
          <w:i w:val="0"/>
          <w:iCs w:val="0"/>
          <w:caps w:val="0"/>
          <w:color w:val="333333"/>
          <w:spacing w:val="0"/>
          <w:sz w:val="32"/>
          <w:szCs w:val="32"/>
          <w:shd w:val="clear" w:fill="FFFFFF"/>
        </w:rPr>
        <w:t>一、总体情况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firstLine="600" w:firstLineChars="200"/>
        <w:jc w:val="left"/>
        <w:textAlignment w:val="auto"/>
        <w:rPr>
          <w:rFonts w:hint="default" w:ascii="仿宋" w:hAnsi="仿宋" w:eastAsia="仿宋" w:cs="仿宋"/>
          <w:i w:val="0"/>
          <w:iCs w:val="0"/>
          <w:caps w:val="0"/>
          <w:color w:val="333333"/>
          <w:spacing w:val="0"/>
          <w:sz w:val="30"/>
          <w:szCs w:val="30"/>
          <w:shd w:val="clear" w:fill="FFFFFF"/>
          <w:lang w:val="en-US" w:eastAsia="zh-CN"/>
        </w:rPr>
      </w:pPr>
      <w:r>
        <w:rPr>
          <w:rFonts w:hint="eastAsia" w:ascii="仿宋" w:hAnsi="仿宋" w:eastAsia="仿宋" w:cs="仿宋"/>
          <w:i w:val="0"/>
          <w:iCs w:val="0"/>
          <w:caps w:val="0"/>
          <w:color w:val="333333"/>
          <w:spacing w:val="0"/>
          <w:sz w:val="30"/>
          <w:szCs w:val="30"/>
          <w:shd w:val="clear" w:fill="FFFFFF"/>
          <w:lang w:val="en-US" w:eastAsia="zh-CN"/>
        </w:rPr>
        <w:t>2023年，宁南筹备办在县委、县政府的正确领导下，认真贯彻执行《中华人民共和国政府信息公开条例》，及时、准确、全面公开政府信息。把政府信息公开工作作为建设阳光政府、透明政府、服务型政务的重要举措，增强政府公信力执行力，提升政府治理能力。</w:t>
      </w:r>
    </w:p>
    <w:p>
      <w:pPr>
        <w:spacing w:beforeLines="0" w:afterLines="0" w:line="560" w:lineRule="exact"/>
        <w:ind w:firstLine="600" w:firstLineChars="200"/>
        <w:rPr>
          <w:rFonts w:hint="eastAsia" w:ascii="仿宋" w:hAnsi="仿宋" w:eastAsia="仿宋" w:cs="仿宋"/>
          <w:i w:val="0"/>
          <w:iCs w:val="0"/>
          <w:caps w:val="0"/>
          <w:color w:val="333333"/>
          <w:spacing w:val="0"/>
          <w:kern w:val="0"/>
          <w:sz w:val="30"/>
          <w:szCs w:val="30"/>
          <w:shd w:val="clear" w:fill="FFFFFF"/>
          <w:lang w:val="en-US" w:eastAsia="zh-CN" w:bidi="ar"/>
        </w:rPr>
      </w:pPr>
      <w:r>
        <w:rPr>
          <w:rFonts w:hint="eastAsia" w:ascii="楷体_GB2312" w:hAnsi="楷体_GB2312" w:eastAsia="楷体_GB2312" w:cs="楷体_GB2312"/>
          <w:sz w:val="30"/>
          <w:szCs w:val="30"/>
        </w:rPr>
        <w:t>（一）主动公开情况。</w:t>
      </w:r>
      <w:r>
        <w:rPr>
          <w:rFonts w:hint="eastAsia" w:ascii="仿宋" w:hAnsi="仿宋" w:eastAsia="仿宋" w:cs="仿宋"/>
          <w:i w:val="0"/>
          <w:iCs w:val="0"/>
          <w:caps w:val="0"/>
          <w:color w:val="333333"/>
          <w:spacing w:val="0"/>
          <w:kern w:val="0"/>
          <w:sz w:val="30"/>
          <w:szCs w:val="30"/>
          <w:shd w:val="clear" w:fill="FFFFFF"/>
          <w:lang w:val="en-US" w:eastAsia="zh-CN" w:bidi="ar"/>
        </w:rPr>
        <w:t>2023年，通过宁晋县政府网站和政府信息公开平台发布、权责清单、行政执法、预算决算、政策解读、人大代表建议、政协提案办理情况等各类政府信息。</w:t>
      </w:r>
    </w:p>
    <w:p>
      <w:pPr>
        <w:spacing w:beforeLines="0" w:afterLines="0" w:line="560" w:lineRule="exact"/>
        <w:ind w:firstLine="600" w:firstLineChars="200"/>
        <w:rPr>
          <w:rFonts w:hint="eastAsia" w:ascii="仿宋" w:hAnsi="仿宋" w:eastAsia="仿宋" w:cs="仿宋"/>
          <w:i w:val="0"/>
          <w:iCs w:val="0"/>
          <w:caps w:val="0"/>
          <w:color w:val="333333"/>
          <w:spacing w:val="0"/>
          <w:kern w:val="0"/>
          <w:sz w:val="30"/>
          <w:szCs w:val="30"/>
          <w:shd w:val="clear" w:fill="FFFFFF"/>
          <w:lang w:val="en-US" w:eastAsia="zh-CN" w:bidi="ar"/>
        </w:rPr>
      </w:pPr>
      <w:r>
        <w:rPr>
          <w:rFonts w:hint="eastAsia" w:ascii="楷体_GB2312" w:hAnsi="楷体_GB2312" w:eastAsia="楷体_GB2312" w:cs="楷体_GB2312"/>
          <w:sz w:val="30"/>
          <w:szCs w:val="30"/>
        </w:rPr>
        <w:t>（二）依申请公开情况。</w:t>
      </w:r>
      <w:r>
        <w:rPr>
          <w:rFonts w:hint="eastAsia" w:ascii="仿宋" w:hAnsi="仿宋" w:eastAsia="仿宋" w:cs="仿宋"/>
          <w:i w:val="0"/>
          <w:iCs w:val="0"/>
          <w:caps w:val="0"/>
          <w:color w:val="333333"/>
          <w:spacing w:val="0"/>
          <w:kern w:val="0"/>
          <w:sz w:val="30"/>
          <w:szCs w:val="30"/>
          <w:shd w:val="clear" w:fill="FFFFFF"/>
          <w:lang w:val="en-US" w:eastAsia="zh-CN" w:bidi="ar"/>
        </w:rPr>
        <w:t>2023年，我办没有收到政府信息依申请公开事项，没有办理依申请公开答复。</w:t>
      </w:r>
    </w:p>
    <w:p>
      <w:pPr>
        <w:spacing w:beforeLines="0" w:afterLines="0" w:line="560" w:lineRule="exact"/>
        <w:ind w:firstLine="600" w:firstLineChars="200"/>
        <w:rPr>
          <w:rFonts w:hint="eastAsia" w:ascii="仿宋" w:hAnsi="仿宋" w:eastAsia="仿宋" w:cs="仿宋"/>
          <w:i w:val="0"/>
          <w:iCs w:val="0"/>
          <w:caps w:val="0"/>
          <w:color w:val="333333"/>
          <w:spacing w:val="0"/>
          <w:kern w:val="0"/>
          <w:sz w:val="30"/>
          <w:szCs w:val="30"/>
          <w:shd w:val="clear" w:fill="FFFFFF"/>
          <w:lang w:val="en-US" w:eastAsia="zh-CN" w:bidi="ar"/>
        </w:rPr>
      </w:pPr>
      <w:r>
        <w:rPr>
          <w:rFonts w:hint="eastAsia" w:ascii="楷体_GB2312" w:hAnsi="楷体_GB2312" w:eastAsia="楷体_GB2312" w:cs="楷体_GB2312"/>
          <w:sz w:val="30"/>
          <w:szCs w:val="30"/>
        </w:rPr>
        <w:t>（三）政府信息管理机制。</w:t>
      </w:r>
      <w:r>
        <w:rPr>
          <w:rFonts w:hint="eastAsia" w:ascii="仿宋" w:hAnsi="仿宋" w:eastAsia="仿宋" w:cs="仿宋"/>
          <w:i w:val="0"/>
          <w:iCs w:val="0"/>
          <w:caps w:val="0"/>
          <w:color w:val="333333"/>
          <w:spacing w:val="0"/>
          <w:kern w:val="0"/>
          <w:sz w:val="30"/>
          <w:szCs w:val="30"/>
          <w:shd w:val="clear" w:fill="FFFFFF"/>
          <w:lang w:val="en-US" w:eastAsia="zh-CN" w:bidi="ar"/>
        </w:rPr>
        <w:t>我办严格落实各项信息管理机制，结合本单位实际情况，建立健全相关政府信息公开工作制度，并指定专人管理此项工作，时刻关注热点信息，及时公开发布，确保政府信息公开工作规范、有序地开展。</w:t>
      </w:r>
    </w:p>
    <w:p>
      <w:pPr>
        <w:spacing w:beforeLines="0" w:afterLines="0" w:line="560" w:lineRule="exact"/>
        <w:ind w:firstLine="600" w:firstLineChars="200"/>
        <w:rPr>
          <w:rFonts w:hint="eastAsia" w:ascii="仿宋" w:hAnsi="仿宋" w:eastAsia="仿宋" w:cs="仿宋"/>
          <w:i w:val="0"/>
          <w:iCs w:val="0"/>
          <w:caps w:val="0"/>
          <w:color w:val="333333"/>
          <w:spacing w:val="0"/>
          <w:kern w:val="0"/>
          <w:sz w:val="30"/>
          <w:szCs w:val="30"/>
          <w:shd w:val="clear" w:fill="FFFFFF"/>
          <w:lang w:val="en-US" w:eastAsia="zh-CN" w:bidi="ar"/>
        </w:rPr>
      </w:pPr>
      <w:r>
        <w:rPr>
          <w:rFonts w:hint="eastAsia" w:ascii="楷体_GB2312" w:hAnsi="楷体_GB2312" w:eastAsia="楷体_GB2312" w:cs="楷体_GB2312"/>
          <w:sz w:val="30"/>
          <w:szCs w:val="30"/>
        </w:rPr>
        <w:t>（四）政府信息公开平台建设。</w:t>
      </w:r>
      <w:r>
        <w:rPr>
          <w:rFonts w:hint="eastAsia" w:ascii="仿宋" w:hAnsi="仿宋" w:eastAsia="仿宋" w:cs="仿宋"/>
          <w:i w:val="0"/>
          <w:iCs w:val="0"/>
          <w:caps w:val="0"/>
          <w:color w:val="333333"/>
          <w:spacing w:val="0"/>
          <w:kern w:val="0"/>
          <w:sz w:val="30"/>
          <w:szCs w:val="30"/>
          <w:shd w:val="clear" w:fill="FFFFFF"/>
          <w:lang w:val="en-US" w:eastAsia="zh-CN" w:bidi="ar"/>
        </w:rPr>
        <w:t>我办严格遵守政府信息公开平台建设各项工作条例，主动通过政务新媒体等渠道加强政府信息公开平台宣传，积极打造新媒体网络宣传阵地，为政府信息公开平台建设贡献力量。</w:t>
      </w:r>
    </w:p>
    <w:p>
      <w:pPr>
        <w:spacing w:beforeLines="0" w:afterLines="0" w:line="560" w:lineRule="exact"/>
        <w:ind w:firstLine="600" w:firstLineChars="200"/>
        <w:rPr>
          <w:rFonts w:hint="eastAsia" w:ascii="仿宋" w:hAnsi="仿宋" w:eastAsia="仿宋" w:cs="仿宋"/>
          <w:i w:val="0"/>
          <w:iCs w:val="0"/>
          <w:caps w:val="0"/>
          <w:color w:val="333333"/>
          <w:spacing w:val="0"/>
          <w:kern w:val="0"/>
          <w:sz w:val="30"/>
          <w:szCs w:val="30"/>
          <w:shd w:val="clear" w:fill="FFFFFF"/>
          <w:lang w:val="en-US" w:eastAsia="zh-CN" w:bidi="ar"/>
        </w:rPr>
      </w:pPr>
      <w:r>
        <w:rPr>
          <w:rFonts w:hint="eastAsia" w:ascii="楷体_GB2312" w:hAnsi="楷体_GB2312" w:eastAsia="楷体_GB2312" w:cs="楷体_GB2312"/>
          <w:sz w:val="30"/>
          <w:szCs w:val="30"/>
        </w:rPr>
        <w:t>（五）监督保障进一步强化。</w:t>
      </w:r>
      <w:r>
        <w:rPr>
          <w:rFonts w:hint="eastAsia" w:ascii="仿宋" w:hAnsi="仿宋" w:eastAsia="仿宋" w:cs="仿宋"/>
          <w:i w:val="0"/>
          <w:iCs w:val="0"/>
          <w:caps w:val="0"/>
          <w:color w:val="333333"/>
          <w:spacing w:val="0"/>
          <w:kern w:val="0"/>
          <w:sz w:val="30"/>
          <w:szCs w:val="30"/>
          <w:shd w:val="clear" w:fill="FFFFFF"/>
          <w:lang w:val="en-US" w:eastAsia="zh-CN" w:bidi="ar"/>
        </w:rPr>
        <w:t>一是积极落实信息公开制度，严格信息审查机制，加大网上巡查力度，对未按照要求公开政府信息及时进行整改到位。二是严格落实《河北省人民政府办公厅关于印发〈河北省政务公开工作考核办法〉〈河北省政务公开工作社会评议办法〉〈河北省政务公开工作责任追究办法〉的通知》文件精神，持续推进政务公开各项工作有序开展。积极培训，讲解信息公开有关规定。</w:t>
      </w:r>
    </w:p>
    <w:p>
      <w:pPr>
        <w:pStyle w:val="4"/>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主动公开政府信息情况</w:t>
      </w:r>
    </w:p>
    <w:tbl>
      <w:tblPr>
        <w:tblStyle w:val="6"/>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lang w:val="en-US"/>
              </w:rPr>
            </w:pPr>
            <w:r>
              <w:rPr>
                <w:rFonts w:hint="eastAsia" w:ascii="宋体" w:hAnsi="宋体" w:eastAsia="宋体" w:cs="宋体"/>
                <w:color w:val="auto"/>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lang w:val="en-US"/>
              </w:rPr>
            </w:pPr>
            <w:r>
              <w:rPr>
                <w:rFonts w:hint="eastAsia" w:ascii="宋体" w:hAnsi="宋体" w:eastAsia="宋体" w:cs="宋体"/>
                <w:color w:val="auto"/>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default" w:ascii="宋体" w:eastAsiaTheme="minorEastAsia"/>
                <w:sz w:val="24"/>
                <w:szCs w:val="24"/>
                <w:lang w:val="en-US" w:eastAsia="zh-CN"/>
              </w:rPr>
            </w:pPr>
            <w:r>
              <w:rPr>
                <w:rFonts w:hint="eastAsia" w:ascii="宋体"/>
                <w:sz w:val="24"/>
                <w:szCs w:val="24"/>
                <w:lang w:val="en-US" w:eastAsia="zh-CN"/>
              </w:rPr>
              <w:t>0</w:t>
            </w:r>
          </w:p>
        </w:tc>
      </w:tr>
    </w:tbl>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420" w:leftChars="0" w:right="0" w:rightChars="0"/>
        <w:jc w:val="both"/>
        <w:textAlignment w:val="auto"/>
        <w:rPr>
          <w:rFonts w:hint="eastAsia" w:ascii="黑体" w:hAnsi="黑体" w:eastAsia="黑体" w:cs="黑体"/>
          <w:b/>
          <w:bCs/>
          <w:i w:val="0"/>
          <w:iCs w:val="0"/>
          <w:caps w:val="0"/>
          <w:color w:val="333333"/>
          <w:spacing w:val="0"/>
          <w:sz w:val="32"/>
          <w:szCs w:val="32"/>
          <w:shd w:val="clear" w:fill="FFFFFF"/>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b/>
          <w:bCs/>
          <w:i w:val="0"/>
          <w:iCs w:val="0"/>
          <w:caps w:val="0"/>
          <w:color w:val="333333"/>
          <w:spacing w:val="0"/>
          <w:sz w:val="32"/>
          <w:szCs w:val="32"/>
          <w:shd w:val="clear" w:fill="FFFFFF"/>
        </w:rPr>
        <w:t>三、收到和处理政府信息公开申请情况</w:t>
      </w: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cs="Calibri" w:eastAsiaTheme="minorEastAsia"/>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lang w:val="en-US"/>
              </w:rPr>
            </w:pPr>
            <w:r>
              <w:rPr>
                <w:rFonts w:hint="default" w:ascii="Calibri" w:hAnsi="Calibri" w:cs="Calibri" w:eastAsiaTheme="minorEastAsia"/>
                <w:kern w:val="0"/>
                <w:sz w:val="20"/>
                <w:szCs w:val="20"/>
                <w:lang w:val="en-US" w:eastAsia="zh-CN" w:bidi="ar"/>
              </w:rPr>
              <w:t> </w:t>
            </w:r>
            <w:r>
              <w:rPr>
                <w:rFonts w:hint="eastAsia" w:cs="Calibri" w:eastAsiaTheme="minorEastAsia"/>
                <w:kern w:val="0"/>
                <w:sz w:val="20"/>
                <w:szCs w:val="20"/>
                <w:lang w:val="en-US" w:eastAsia="zh-CN" w:bidi="ar"/>
              </w:rPr>
              <w:t xml:space="preserve">  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宋体"/>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rPr>
                <w:rFonts w:hint="eastAsia" w:ascii="宋体"/>
                <w:sz w:val="24"/>
                <w:szCs w:val="24"/>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其他</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auto"/>
                <w:lang w:val="en-US"/>
              </w:rPr>
            </w:pP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宋体"/>
                <w:color w:val="auto"/>
                <w:lang w:val="en-US" w:eastAsia="zh-CN"/>
              </w:rPr>
            </w:pPr>
            <w:r>
              <w:rPr>
                <w:rFonts w:hint="eastAsia"/>
                <w:color w:val="auto"/>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color w:val="auto"/>
                <w:sz w:val="24"/>
                <w:szCs w:val="24"/>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lang w:val="en-US" w:eastAsia="zh-CN"/>
        </w:rPr>
        <w:t>五、</w:t>
      </w:r>
      <w:r>
        <w:rPr>
          <w:rFonts w:hint="eastAsia" w:ascii="黑体" w:hAnsi="黑体" w:eastAsia="黑体" w:cs="黑体"/>
          <w:b/>
          <w:bCs/>
          <w:i w:val="0"/>
          <w:iCs w:val="0"/>
          <w:caps w:val="0"/>
          <w:color w:val="333333"/>
          <w:spacing w:val="0"/>
          <w:sz w:val="32"/>
          <w:szCs w:val="32"/>
          <w:shd w:val="clear" w:fill="FFFFFF"/>
        </w:rPr>
        <w:t>存在的主要问题及改进情况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00" w:firstLineChars="200"/>
        <w:jc w:val="left"/>
        <w:textAlignment w:val="auto"/>
        <w:rPr>
          <w:rFonts w:hint="default" w:ascii="仿宋_GB2312" w:hAnsi="仿宋_GB2312" w:eastAsia="仿宋_GB2312" w:cs="仿宋_GB2312"/>
          <w:sz w:val="30"/>
          <w:szCs w:val="30"/>
          <w:shd w:val="clear" w:color="auto" w:fill="FFFFFF"/>
          <w:lang w:val="en-US" w:eastAsia="zh-CN"/>
        </w:rPr>
      </w:pPr>
      <w:r>
        <w:rPr>
          <w:rFonts w:hint="eastAsia" w:ascii="仿宋_GB2312" w:hAnsi="仿宋_GB2312" w:eastAsia="仿宋_GB2312" w:cs="仿宋_GB2312"/>
          <w:sz w:val="30"/>
          <w:szCs w:val="30"/>
          <w:shd w:val="clear" w:color="auto" w:fill="FFFFFF"/>
          <w:lang w:eastAsia="zh-CN"/>
        </w:rPr>
        <w:t>（</w:t>
      </w:r>
      <w:r>
        <w:rPr>
          <w:rFonts w:hint="eastAsia" w:ascii="仿宋_GB2312" w:hAnsi="仿宋_GB2312" w:eastAsia="仿宋_GB2312" w:cs="仿宋_GB2312"/>
          <w:sz w:val="30"/>
          <w:szCs w:val="30"/>
          <w:shd w:val="clear" w:color="auto" w:fill="FFFFFF"/>
          <w:lang w:val="en-US" w:eastAsia="zh-CN"/>
        </w:rPr>
        <w:t>一</w:t>
      </w:r>
      <w:r>
        <w:rPr>
          <w:rFonts w:hint="eastAsia" w:ascii="仿宋_GB2312" w:hAnsi="仿宋_GB2312" w:eastAsia="仿宋_GB2312" w:cs="仿宋_GB2312"/>
          <w:sz w:val="30"/>
          <w:szCs w:val="30"/>
          <w:shd w:val="clear" w:color="auto" w:fill="FFFFFF"/>
          <w:lang w:eastAsia="zh-CN"/>
        </w:rPr>
        <w:t>）</w:t>
      </w:r>
      <w:r>
        <w:rPr>
          <w:rFonts w:hint="eastAsia" w:ascii="仿宋_GB2312" w:hAnsi="仿宋_GB2312" w:eastAsia="仿宋_GB2312" w:cs="仿宋_GB2312"/>
          <w:sz w:val="30"/>
          <w:szCs w:val="30"/>
          <w:shd w:val="clear" w:color="auto" w:fill="FFFFFF"/>
          <w:lang w:val="en-US" w:eastAsia="zh-CN"/>
        </w:rPr>
        <w:t>存在的问题</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00" w:firstLineChars="200"/>
        <w:jc w:val="left"/>
        <w:textAlignment w:val="auto"/>
        <w:rPr>
          <w:rFonts w:hint="default" w:ascii="仿宋_GB2312" w:hAnsi="仿宋_GB2312" w:eastAsia="仿宋_GB2312" w:cs="仿宋_GB2312"/>
          <w:sz w:val="30"/>
          <w:szCs w:val="30"/>
          <w:shd w:val="clear" w:color="auto" w:fill="FFFFFF"/>
          <w:lang w:val="en-US" w:eastAsia="zh-CN"/>
        </w:rPr>
      </w:pPr>
      <w:r>
        <w:rPr>
          <w:rFonts w:hint="eastAsia" w:ascii="仿宋_GB2312" w:hAnsi="仿宋_GB2312" w:eastAsia="仿宋_GB2312" w:cs="仿宋_GB2312"/>
          <w:sz w:val="30"/>
          <w:szCs w:val="30"/>
          <w:shd w:val="clear" w:color="auto" w:fill="FFFFFF"/>
        </w:rPr>
        <w:t>202</w:t>
      </w:r>
      <w:r>
        <w:rPr>
          <w:rFonts w:hint="eastAsia" w:ascii="仿宋_GB2312" w:hAnsi="仿宋_GB2312" w:eastAsia="仿宋_GB2312" w:cs="仿宋_GB2312"/>
          <w:sz w:val="30"/>
          <w:szCs w:val="30"/>
          <w:shd w:val="clear" w:color="auto" w:fill="FFFFFF"/>
          <w:lang w:val="en-US" w:eastAsia="zh-CN"/>
        </w:rPr>
        <w:t>3</w:t>
      </w:r>
      <w:r>
        <w:rPr>
          <w:rFonts w:hint="eastAsia" w:ascii="仿宋_GB2312" w:hAnsi="仿宋_GB2312" w:eastAsia="仿宋_GB2312" w:cs="仿宋_GB2312"/>
          <w:sz w:val="30"/>
          <w:szCs w:val="30"/>
          <w:shd w:val="clear" w:color="auto" w:fill="FFFFFF"/>
        </w:rPr>
        <w:t>年,宁</w:t>
      </w:r>
      <w:r>
        <w:rPr>
          <w:rFonts w:hint="eastAsia" w:ascii="仿宋_GB2312" w:hAnsi="仿宋_GB2312" w:eastAsia="仿宋_GB2312" w:cs="仿宋_GB2312"/>
          <w:sz w:val="30"/>
          <w:szCs w:val="30"/>
          <w:shd w:val="clear" w:color="auto" w:fill="FFFFFF"/>
          <w:lang w:val="en-US" w:eastAsia="zh-CN"/>
        </w:rPr>
        <w:t>南</w:t>
      </w:r>
      <w:r>
        <w:rPr>
          <w:rFonts w:hint="eastAsia" w:ascii="仿宋_GB2312" w:hAnsi="仿宋_GB2312" w:eastAsia="仿宋_GB2312" w:cs="仿宋_GB2312"/>
          <w:sz w:val="30"/>
          <w:szCs w:val="30"/>
          <w:shd w:val="clear" w:color="auto" w:fill="FFFFFF"/>
        </w:rPr>
        <w:t>筹备办在上级有关部门的领导下推进政务公开工作取得了一些成效上</w:t>
      </w:r>
      <w:r>
        <w:rPr>
          <w:rFonts w:hint="eastAsia" w:ascii="仿宋_GB2312" w:hAnsi="仿宋_GB2312" w:eastAsia="仿宋_GB2312" w:cs="仿宋_GB2312"/>
          <w:sz w:val="30"/>
          <w:szCs w:val="30"/>
          <w:shd w:val="clear" w:color="auto" w:fill="FFFFFF"/>
          <w:lang w:eastAsia="zh-CN"/>
        </w:rPr>
        <w:t>，</w:t>
      </w:r>
      <w:r>
        <w:rPr>
          <w:rFonts w:hint="eastAsia" w:ascii="仿宋_GB2312" w:hAnsi="仿宋_GB2312" w:eastAsia="仿宋_GB2312" w:cs="仿宋_GB2312"/>
          <w:sz w:val="30"/>
          <w:szCs w:val="30"/>
          <w:shd w:val="clear" w:color="auto" w:fill="FFFFFF"/>
          <w:lang w:val="en-US" w:eastAsia="zh-CN"/>
        </w:rPr>
        <w:t>但仍</w:t>
      </w:r>
      <w:r>
        <w:rPr>
          <w:rFonts w:hint="eastAsia" w:ascii="仿宋_GB2312" w:hAnsi="仿宋_GB2312" w:eastAsia="仿宋_GB2312" w:cs="仿宋_GB2312"/>
          <w:sz w:val="30"/>
          <w:szCs w:val="30"/>
          <w:shd w:val="clear" w:color="auto" w:fill="FFFFFF"/>
        </w:rPr>
        <w:t>存在问题和不足,主要表现在以下两个方面:</w:t>
      </w:r>
      <w:r>
        <w:rPr>
          <w:rFonts w:hint="eastAsia" w:ascii="仿宋_GB2312" w:hAnsi="仿宋_GB2312" w:eastAsia="仿宋_GB2312" w:cs="仿宋_GB2312"/>
          <w:sz w:val="30"/>
          <w:szCs w:val="30"/>
          <w:shd w:val="clear" w:color="auto" w:fill="FFFFFF"/>
          <w:lang w:val="en-US" w:eastAsia="zh-CN"/>
        </w:rPr>
        <w:t>一是政务公开方式方法单一，缺乏创新，公开形式有待拓展。二是对政府政务公开意识强弱不一，认识有待进一步提高。</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00" w:firstLineChars="200"/>
        <w:jc w:val="left"/>
        <w:textAlignment w:val="auto"/>
        <w:rPr>
          <w:rFonts w:hint="default" w:ascii="仿宋_GB2312" w:hAnsi="仿宋_GB2312" w:eastAsia="仿宋_GB2312" w:cs="仿宋_GB2312"/>
          <w:sz w:val="30"/>
          <w:szCs w:val="30"/>
          <w:shd w:val="clear" w:color="auto" w:fill="FFFFFF"/>
          <w:lang w:val="en-US" w:eastAsia="zh-CN"/>
        </w:rPr>
      </w:pPr>
      <w:r>
        <w:rPr>
          <w:rFonts w:hint="eastAsia" w:ascii="仿宋_GB2312" w:hAnsi="仿宋_GB2312" w:eastAsia="仿宋_GB2312" w:cs="仿宋_GB2312"/>
          <w:sz w:val="30"/>
          <w:szCs w:val="30"/>
          <w:shd w:val="clear" w:color="auto" w:fill="FFFFFF"/>
          <w:lang w:val="en-US" w:eastAsia="zh-CN"/>
        </w:rPr>
        <w:t>（二）改进情况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00" w:firstLineChars="200"/>
        <w:jc w:val="left"/>
        <w:textAlignment w:val="auto"/>
        <w:rPr>
          <w:rFonts w:hint="default" w:ascii="仿宋_GB2312" w:hAnsi="仿宋_GB2312" w:eastAsia="仿宋_GB2312" w:cs="仿宋_GB2312"/>
          <w:sz w:val="30"/>
          <w:szCs w:val="30"/>
          <w:shd w:val="clear" w:color="auto" w:fill="FFFFFF"/>
          <w:lang w:val="en-US" w:eastAsia="zh-CN"/>
        </w:rPr>
      </w:pPr>
      <w:r>
        <w:rPr>
          <w:rFonts w:hint="eastAsia" w:ascii="仿宋_GB2312" w:hAnsi="仿宋_GB2312" w:eastAsia="仿宋_GB2312" w:cs="仿宋_GB2312"/>
          <w:sz w:val="30"/>
          <w:szCs w:val="30"/>
          <w:shd w:val="clear" w:color="auto" w:fill="FFFFFF"/>
          <w:lang w:val="en-US" w:eastAsia="zh-CN"/>
        </w:rPr>
        <w:t>为此，宁南筹备办下一步重点：一是要创新政务公开形式，利用三微一端等公众知晓的途径对政务新闻信息进行发布；运用微信、广播、宣传栏等形式扩大政务公开影响力。二是提高机关工作人员信息公开意识，加强培训，开展交流。</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六、其他需要报告的事项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00" w:firstLineChars="200"/>
        <w:jc w:val="left"/>
        <w:textAlignment w:val="auto"/>
        <w:rPr>
          <w:rFonts w:hint="default" w:ascii="仿宋_GB2312" w:hAnsi="仿宋_GB2312" w:eastAsia="仿宋_GB2312" w:cs="仿宋_GB2312"/>
          <w:sz w:val="30"/>
          <w:szCs w:val="30"/>
          <w:shd w:val="clear" w:color="auto" w:fill="FFFFFF"/>
          <w:lang w:val="en-US" w:eastAsia="zh-CN"/>
        </w:rPr>
      </w:pPr>
      <w:r>
        <w:rPr>
          <w:rFonts w:hint="eastAsia" w:ascii="仿宋_GB2312" w:hAnsi="仿宋_GB2312" w:eastAsia="仿宋_GB2312" w:cs="仿宋_GB2312"/>
          <w:sz w:val="30"/>
          <w:szCs w:val="30"/>
          <w:shd w:val="clear" w:color="auto" w:fill="FFFFFF"/>
          <w:lang w:val="en-US" w:eastAsia="zh-CN"/>
        </w:rPr>
        <w:t>2023年，宁南筹备办事处认真贯彻执行国务院办</w:t>
      </w:r>
      <w:bookmarkStart w:id="0" w:name="_GoBack"/>
      <w:bookmarkEnd w:id="0"/>
      <w:r>
        <w:rPr>
          <w:rFonts w:hint="eastAsia" w:ascii="仿宋_GB2312" w:hAnsi="仿宋_GB2312" w:eastAsia="仿宋_GB2312" w:cs="仿宋_GB2312"/>
          <w:sz w:val="30"/>
          <w:szCs w:val="30"/>
          <w:shd w:val="clear" w:color="auto" w:fill="FFFFFF"/>
          <w:lang w:val="en-US" w:eastAsia="zh-CN"/>
        </w:rPr>
        <w:t>公厅《政府信息公开信息处理费管理办法》和《关于政府信息公开处理费管理有关事项的通知》，没有收取信息处理费。无其他需要报告事项。</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56664A"/>
    <w:multiLevelType w:val="singleLevel"/>
    <w:tmpl w:val="A556664A"/>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Y3OTNlZmMxMTQwZThhYzBmZjExMWVmYjI2NTNhMDIifQ=="/>
  </w:docVars>
  <w:rsids>
    <w:rsidRoot w:val="00172A27"/>
    <w:rsid w:val="063977E7"/>
    <w:rsid w:val="094C3236"/>
    <w:rsid w:val="1BD1392C"/>
    <w:rsid w:val="2D3A7792"/>
    <w:rsid w:val="2EDE1A0D"/>
    <w:rsid w:val="31691F39"/>
    <w:rsid w:val="3B182016"/>
    <w:rsid w:val="48EA23F9"/>
    <w:rsid w:val="4AA966D8"/>
    <w:rsid w:val="4F293ABD"/>
    <w:rsid w:val="506A44CF"/>
    <w:rsid w:val="5484416C"/>
    <w:rsid w:val="56FB7981"/>
    <w:rsid w:val="58D00F8B"/>
    <w:rsid w:val="64F949B0"/>
    <w:rsid w:val="65031CA2"/>
    <w:rsid w:val="782C21D0"/>
    <w:rsid w:val="7AE626A4"/>
    <w:rsid w:val="7FFB43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autoRedefine/>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7">
    <w:name w:val="Default Paragraph Font"/>
    <w:autoRedefine/>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3">
    <w:name w:val="Body Text Indent"/>
    <w:basedOn w:val="1"/>
    <w:autoRedefine/>
    <w:unhideWhenUsed/>
    <w:qFormat/>
    <w:uiPriority w:val="99"/>
    <w:pPr>
      <w:spacing w:line="560" w:lineRule="exact"/>
      <w:ind w:firstLine="739" w:firstLineChars="231"/>
    </w:pPr>
    <w:rPr>
      <w:rFonts w:ascii="Times New Roman" w:hAnsi="Times New Roman" w:eastAsia="仿宋_GB2312" w:cs="Times New Roman"/>
      <w:sz w:val="32"/>
      <w:szCs w:val="32"/>
    </w:rPr>
  </w:style>
  <w:style w:type="paragraph" w:styleId="4">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styleId="5">
    <w:name w:val="Body Text First Indent 2"/>
    <w:basedOn w:val="3"/>
    <w:autoRedefine/>
    <w:unhideWhenUsed/>
    <w:qFormat/>
    <w:uiPriority w:val="99"/>
    <w:pPr>
      <w:ind w:firstLine="42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1901</Words>
  <Characters>1980</Characters>
  <Lines>0</Lines>
  <Paragraphs>0</Paragraphs>
  <TotalTime>24</TotalTime>
  <ScaleCrop>false</ScaleCrop>
  <LinksUpToDate>false</LinksUpToDate>
  <CharactersWithSpaces>2135</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WPS_1645070399</cp:lastModifiedBy>
  <dcterms:modified xsi:type="dcterms:W3CDTF">2024-01-23T08:07:40Z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5D0291391DEB45DFAAD23E5A38442959</vt:lpwstr>
  </property>
</Properties>
</file>