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before="0" w:after="0" w:line="240" w:lineRule="auto"/>
        <w:ind w:firstLine="0"/>
        <w:jc w:val="center"/>
        <w:outlineLvl w:val="0"/>
        <w:rPr>
          <w:rFonts w:ascii="黑体" w:hAnsi="黑体" w:eastAsia="黑体" w:cs="黑体"/>
          <w:b/>
          <w:color w:val="000000"/>
          <w:kern w:val="0"/>
          <w:sz w:val="44"/>
          <w:lang w:eastAsia="uk-UA"/>
        </w:rPr>
      </w:pPr>
      <w:bookmarkStart w:id="3" w:name="_GoBack"/>
      <w:bookmarkEnd w:id="3"/>
      <w:bookmarkStart w:id="0" w:name="_Toc18464"/>
      <w:bookmarkStart w:id="1" w:name="_Toc18028"/>
      <w:bookmarkStart w:id="2" w:name="_Toc_4_4_0000000019"/>
      <w:r>
        <w:rPr>
          <w:rFonts w:ascii="黑体" w:hAnsi="黑体" w:eastAsia="黑体" w:cs="黑体"/>
          <w:b/>
          <w:color w:val="000000"/>
          <w:kern w:val="0"/>
          <w:sz w:val="44"/>
          <w:lang w:eastAsia="uk-UA"/>
        </w:rPr>
        <w:t>2023 年单位预算信息公开目录</w:t>
      </w:r>
      <w:bookmarkEnd w:id="0"/>
      <w:bookmarkEnd w:id="1"/>
    </w:p>
    <w:sdt>
      <w:sdtPr>
        <w:rPr>
          <w:rFonts w:ascii="宋体" w:hAnsi="宋体" w:eastAsia="宋体" w:cstheme="minorBidi"/>
          <w:kern w:val="2"/>
          <w:sz w:val="21"/>
          <w:szCs w:val="24"/>
          <w:lang w:val="en-US" w:eastAsia="zh-CN" w:bidi="ar-SA"/>
        </w:rPr>
        <w:id w:val="147452046"/>
        <w15:color w:val="DBDBDB"/>
        <w:docPartObj>
          <w:docPartGallery w:val="Table of Contents"/>
          <w:docPartUnique/>
        </w:docPartObj>
      </w:sdtPr>
      <w:sdtEndPr>
        <w:rPr>
          <w:rFonts w:ascii="方正小标宋_GBK" w:hAnsi="方正小标宋_GBK" w:eastAsia="方正小标宋_GBK" w:cs="方正小标宋_GBK"/>
          <w:color w:val="000000"/>
          <w:kern w:val="2"/>
          <w:sz w:val="21"/>
          <w:szCs w:val="24"/>
          <w:lang w:val="en-US" w:eastAsia="zh-CN" w:bidi="ar-SA"/>
        </w:rPr>
      </w:sdtEndPr>
      <w:sdtContent>
        <w:p>
          <w:pPr>
            <w:spacing w:before="0" w:beforeLines="0" w:after="0" w:afterLines="0" w:line="240" w:lineRule="auto"/>
            <w:ind w:left="0" w:leftChars="0" w:right="0" w:rightChars="0" w:firstLine="0" w:firstLineChars="0"/>
            <w:jc w:val="center"/>
          </w:pPr>
        </w:p>
        <w:p>
          <w:pPr>
            <w:pStyle w:val="4"/>
            <w:tabs>
              <w:tab w:val="right" w:leader="dot" w:pos="14800"/>
            </w:tabs>
          </w:pPr>
          <w:r>
            <w:rPr>
              <w:rFonts w:ascii="方正小标宋_GBK" w:hAnsi="方正小标宋_GBK" w:eastAsia="方正小标宋_GBK" w:cs="方正小标宋_GBK"/>
              <w:b w:val="0"/>
              <w:color w:val="000000"/>
              <w:sz w:val="44"/>
            </w:rPr>
            <w:fldChar w:fldCharType="begin"/>
          </w:r>
          <w:r>
            <w:rPr>
              <w:rFonts w:ascii="方正小标宋_GBK" w:hAnsi="方正小标宋_GBK" w:eastAsia="方正小标宋_GBK" w:cs="方正小标宋_GBK"/>
              <w:b w:val="0"/>
              <w:color w:val="000000"/>
              <w:sz w:val="44"/>
            </w:rPr>
            <w:instrText xml:space="preserve">TOC \o "1-3" \h \u </w:instrText>
          </w:r>
          <w:r>
            <w:rPr>
              <w:rFonts w:ascii="方正小标宋_GBK" w:hAnsi="方正小标宋_GBK" w:eastAsia="方正小标宋_GBK" w:cs="方正小标宋_GBK"/>
              <w:b w:val="0"/>
              <w:color w:val="000000"/>
              <w:sz w:val="44"/>
            </w:rPr>
            <w:fldChar w:fldCharType="separate"/>
          </w:r>
          <w:r>
            <w:rPr>
              <w:rFonts w:ascii="Times New Roman" w:hAnsi="Times New Roman" w:eastAsia="方正仿宋_GBK" w:cs="Times New Roman"/>
              <w:color w:val="000000"/>
              <w:kern w:val="0"/>
              <w:sz w:val="28"/>
              <w:lang w:eastAsia="uk-UA"/>
            </w:rPr>
            <w:fldChar w:fldCharType="begin"/>
          </w:r>
          <w:r>
            <w:rPr>
              <w:rFonts w:ascii="Times New Roman" w:hAnsi="Times New Roman" w:eastAsia="方正仿宋_GBK" w:cs="Times New Roman"/>
              <w:color w:val="000000"/>
              <w:kern w:val="0"/>
              <w:sz w:val="28"/>
              <w:lang w:eastAsia="uk-UA"/>
            </w:rPr>
            <w:instrText xml:space="preserve"> HYPERLINK \l _Toc18028 </w:instrText>
          </w:r>
          <w:r>
            <w:rPr>
              <w:rFonts w:ascii="Times New Roman" w:hAnsi="Times New Roman" w:eastAsia="方正仿宋_GBK" w:cs="Times New Roman"/>
              <w:color w:val="000000"/>
              <w:kern w:val="0"/>
              <w:sz w:val="28"/>
              <w:lang w:eastAsia="uk-UA"/>
            </w:rPr>
            <w:fldChar w:fldCharType="separate"/>
          </w:r>
          <w:r>
            <w:rPr>
              <w:rFonts w:hint="eastAsia" w:ascii="Times New Roman" w:hAnsi="Times New Roman" w:eastAsia="方正仿宋_GBK" w:cs="Times New Roman"/>
              <w:color w:val="000000"/>
              <w:kern w:val="0"/>
              <w:sz w:val="28"/>
              <w:lang w:val="en-US" w:eastAsia="zh-CN"/>
            </w:rPr>
            <w:t>中国共产党宁晋县委员会党校本级收支预算</w:t>
          </w:r>
          <w:r>
            <w:rPr>
              <w:rFonts w:ascii="Times New Roman" w:hAnsi="Times New Roman" w:eastAsia="方正仿宋_GBK" w:cs="Times New Roman"/>
              <w:color w:val="000000"/>
              <w:kern w:val="0"/>
              <w:sz w:val="28"/>
              <w:lang w:eastAsia="uk-UA"/>
            </w:rPr>
            <w:tab/>
          </w:r>
          <w:r>
            <w:rPr>
              <w:rFonts w:hint="eastAsia" w:ascii="Times New Roman" w:hAnsi="Times New Roman" w:eastAsia="方正仿宋_GBK" w:cs="Times New Roman"/>
              <w:color w:val="000000"/>
              <w:kern w:val="0"/>
              <w:sz w:val="28"/>
              <w:lang w:val="en-US" w:eastAsia="zh-CN"/>
            </w:rPr>
            <w:t>2</w:t>
          </w:r>
          <w:r>
            <w:rPr>
              <w:rFonts w:ascii="Times New Roman" w:hAnsi="Times New Roman" w:eastAsia="方正仿宋_GBK" w:cs="Times New Roman"/>
              <w:color w:val="000000"/>
              <w:kern w:val="0"/>
              <w:sz w:val="28"/>
              <w:lang w:eastAsia="uk-UA"/>
            </w:rPr>
            <w:fldChar w:fldCharType="end"/>
          </w:r>
        </w:p>
        <w:p>
          <w:pPr>
            <w:spacing w:before="0" w:after="0"/>
            <w:ind w:firstLine="0"/>
            <w:jc w:val="center"/>
            <w:outlineLvl w:val="0"/>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color w:val="000000"/>
            </w:rPr>
            <w:fldChar w:fldCharType="end"/>
          </w:r>
        </w:p>
      </w:sdtContent>
    </w:sdt>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both"/>
        <w:outlineLvl w:val="3"/>
        <w:rPr>
          <w:rFonts w:ascii="方正小标宋_GBK" w:hAnsi="方正小标宋_GBK" w:eastAsia="方正小标宋_GBK" w:cs="方正小标宋_GBK"/>
          <w:b w:val="0"/>
          <w:color w:val="000000"/>
          <w:sz w:val="44"/>
        </w:rPr>
        <w:sectPr>
          <w:footerReference r:id="rId3" w:type="default"/>
          <w:pgSz w:w="16840" w:h="11900" w:orient="landscape"/>
          <w:pgMar w:top="1361" w:right="1020" w:bottom="1134" w:left="1020" w:header="720" w:footer="720" w:gutter="0"/>
          <w:pgNumType w:fmt="decimal" w:start="1"/>
          <w:cols w:space="720" w:num="1"/>
        </w:sectPr>
      </w:pPr>
    </w:p>
    <w:p>
      <w:pPr>
        <w:spacing w:before="0" w:after="0"/>
        <w:ind w:firstLine="0"/>
        <w:jc w:val="center"/>
        <w:outlineLvl w:val="3"/>
      </w:pPr>
      <w:r>
        <w:rPr>
          <w:rFonts w:ascii="方正小标宋_GBK" w:hAnsi="方正小标宋_GBK" w:eastAsia="方正小标宋_GBK" w:cs="方正小标宋_GBK"/>
          <w:b w:val="0"/>
          <w:color w:val="000000"/>
          <w:sz w:val="44"/>
        </w:rPr>
        <w:t>一、中国共产党宁晋县委员会党校本级收支预算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2959" w:type="dxa"/>
            <w:tcBorders>
              <w:top w:val="single" w:color="FFFFFF" w:sz="6" w:space="0"/>
              <w:left w:val="single" w:color="FFFFFF" w:sz="6" w:space="0"/>
              <w:right w:val="single" w:color="FFFFFF" w:sz="6" w:space="0"/>
            </w:tcBorders>
            <w:vAlign w:val="center"/>
          </w:tcPr>
          <w:p>
            <w:pPr>
              <w:pStyle w:val="8"/>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235.92</w:t>
            </w:r>
          </w:p>
        </w:tc>
        <w:tc>
          <w:tcPr>
            <w:tcW w:w="2959" w:type="dxa"/>
            <w:vAlign w:val="center"/>
          </w:tcPr>
          <w:p>
            <w:pPr>
              <w:pStyle w:val="12"/>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r>
              <w:t>186.56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r>
              <w:t>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二十七、灾害防治及应急管理共同财政事权转移支付支出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三十二、人行科目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4"/>
            </w:pPr>
            <w:r>
              <w:t>本年收入合计</w:t>
            </w:r>
          </w:p>
        </w:tc>
        <w:tc>
          <w:tcPr>
            <w:tcW w:w="2959" w:type="dxa"/>
            <w:vAlign w:val="center"/>
          </w:tcPr>
          <w:p>
            <w:pPr>
              <w:pStyle w:val="15"/>
            </w:pPr>
            <w:r>
              <w:t>235.92</w:t>
            </w:r>
          </w:p>
        </w:tc>
        <w:tc>
          <w:tcPr>
            <w:tcW w:w="2959" w:type="dxa"/>
            <w:vAlign w:val="center"/>
          </w:tcPr>
          <w:p>
            <w:pPr>
              <w:pStyle w:val="14"/>
            </w:pPr>
            <w:r>
              <w:t>本年支出合计</w:t>
            </w:r>
          </w:p>
        </w:tc>
        <w:tc>
          <w:tcPr>
            <w:tcW w:w="2959" w:type="dxa"/>
            <w:vAlign w:val="center"/>
          </w:tcPr>
          <w:p>
            <w:pPr>
              <w:pStyle w:val="15"/>
            </w:pPr>
            <w:r>
              <w:t>235.92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34</w:t>
            </w:r>
          </w:p>
        </w:tc>
        <w:tc>
          <w:tcPr>
            <w:tcW w:w="2959" w:type="dxa"/>
            <w:vAlign w:val="center"/>
          </w:tcPr>
          <w:p>
            <w:pPr>
              <w:pStyle w:val="12"/>
            </w:pPr>
            <w:r>
              <w:t>上年结转结余</w:t>
            </w:r>
          </w:p>
        </w:tc>
        <w:tc>
          <w:tcPr>
            <w:tcW w:w="2959" w:type="dxa"/>
            <w:vAlign w:val="center"/>
          </w:tcPr>
          <w:p>
            <w:pPr>
              <w:pStyle w:val="13"/>
            </w:pP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35</w:t>
            </w:r>
          </w:p>
        </w:tc>
        <w:tc>
          <w:tcPr>
            <w:tcW w:w="2959" w:type="dxa"/>
            <w:vAlign w:val="center"/>
          </w:tcPr>
          <w:p>
            <w:pPr>
              <w:pStyle w:val="14"/>
            </w:pPr>
            <w:r>
              <w:t>收入总计</w:t>
            </w:r>
          </w:p>
        </w:tc>
        <w:tc>
          <w:tcPr>
            <w:tcW w:w="2959" w:type="dxa"/>
            <w:vAlign w:val="center"/>
          </w:tcPr>
          <w:p>
            <w:pPr>
              <w:pStyle w:val="15"/>
            </w:pPr>
            <w:r>
              <w:t>235.92</w:t>
            </w:r>
          </w:p>
        </w:tc>
        <w:tc>
          <w:tcPr>
            <w:tcW w:w="2959" w:type="dxa"/>
            <w:vAlign w:val="center"/>
          </w:tcPr>
          <w:p>
            <w:pPr>
              <w:pStyle w:val="14"/>
            </w:pPr>
            <w:r>
              <w:t>支出总计</w:t>
            </w:r>
          </w:p>
        </w:tc>
        <w:tc>
          <w:tcPr>
            <w:tcW w:w="2959" w:type="dxa"/>
            <w:vAlign w:val="center"/>
          </w:tcPr>
          <w:p>
            <w:pPr>
              <w:pStyle w:val="15"/>
            </w:pPr>
            <w:r>
              <w:t>235.92</w:t>
            </w:r>
          </w:p>
        </w:tc>
      </w:tr>
    </w:tbl>
    <w:p>
      <w:pPr>
        <w:sectPr>
          <w:footerReference r:id="rId4" w:type="default"/>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235.92</w:t>
            </w:r>
          </w:p>
        </w:tc>
        <w:tc>
          <w:tcPr>
            <w:tcW w:w="758" w:type="dxa"/>
            <w:vAlign w:val="center"/>
          </w:tcPr>
          <w:p>
            <w:pPr>
              <w:pStyle w:val="15"/>
            </w:pPr>
            <w:r>
              <w:t>235.92</w:t>
            </w:r>
          </w:p>
        </w:tc>
        <w:tc>
          <w:tcPr>
            <w:tcW w:w="758" w:type="dxa"/>
            <w:vAlign w:val="center"/>
          </w:tcPr>
          <w:p>
            <w:pPr>
              <w:pStyle w:val="15"/>
            </w:pPr>
            <w:r>
              <w:t>235.92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205</w:t>
            </w:r>
          </w:p>
        </w:tc>
        <w:tc>
          <w:tcPr>
            <w:tcW w:w="758" w:type="dxa"/>
            <w:vAlign w:val="center"/>
          </w:tcPr>
          <w:p>
            <w:pPr>
              <w:pStyle w:val="12"/>
            </w:pPr>
            <w:r>
              <w:t>教育支出</w:t>
            </w:r>
          </w:p>
        </w:tc>
        <w:tc>
          <w:tcPr>
            <w:tcW w:w="758" w:type="dxa"/>
            <w:vAlign w:val="center"/>
          </w:tcPr>
          <w:p>
            <w:pPr>
              <w:pStyle w:val="13"/>
            </w:pPr>
            <w:r>
              <w:t>186.56</w:t>
            </w:r>
          </w:p>
        </w:tc>
        <w:tc>
          <w:tcPr>
            <w:tcW w:w="758" w:type="dxa"/>
            <w:vAlign w:val="center"/>
          </w:tcPr>
          <w:p>
            <w:pPr>
              <w:pStyle w:val="13"/>
            </w:pPr>
            <w:r>
              <w:t>186.56</w:t>
            </w:r>
          </w:p>
        </w:tc>
        <w:tc>
          <w:tcPr>
            <w:tcW w:w="758" w:type="dxa"/>
            <w:vAlign w:val="center"/>
          </w:tcPr>
          <w:p>
            <w:pPr>
              <w:pStyle w:val="13"/>
            </w:pPr>
            <w:r>
              <w:t>186.56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20501</w:t>
            </w:r>
          </w:p>
        </w:tc>
        <w:tc>
          <w:tcPr>
            <w:tcW w:w="758" w:type="dxa"/>
            <w:vAlign w:val="center"/>
          </w:tcPr>
          <w:p>
            <w:pPr>
              <w:pStyle w:val="12"/>
            </w:pPr>
            <w:r>
              <w:t>教育管理事务</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2050101</w:t>
            </w:r>
          </w:p>
        </w:tc>
        <w:tc>
          <w:tcPr>
            <w:tcW w:w="758" w:type="dxa"/>
            <w:vAlign w:val="center"/>
          </w:tcPr>
          <w:p>
            <w:pPr>
              <w:pStyle w:val="12"/>
            </w:pPr>
            <w:r>
              <w:t>行政运行</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r>
              <w:t>88.28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20508</w:t>
            </w:r>
          </w:p>
        </w:tc>
        <w:tc>
          <w:tcPr>
            <w:tcW w:w="758" w:type="dxa"/>
            <w:vAlign w:val="center"/>
          </w:tcPr>
          <w:p>
            <w:pPr>
              <w:pStyle w:val="12"/>
            </w:pPr>
            <w:r>
              <w:t>进修及培训</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2050802</w:t>
            </w:r>
          </w:p>
        </w:tc>
        <w:tc>
          <w:tcPr>
            <w:tcW w:w="758" w:type="dxa"/>
            <w:vAlign w:val="center"/>
          </w:tcPr>
          <w:p>
            <w:pPr>
              <w:pStyle w:val="12"/>
            </w:pPr>
            <w:r>
              <w:t>干部教育</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r>
              <w:t>98.28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36.46</w:t>
            </w:r>
          </w:p>
        </w:tc>
        <w:tc>
          <w:tcPr>
            <w:tcW w:w="758" w:type="dxa"/>
            <w:vAlign w:val="center"/>
          </w:tcPr>
          <w:p>
            <w:pPr>
              <w:pStyle w:val="13"/>
            </w:pPr>
            <w:r>
              <w:t>36.46</w:t>
            </w:r>
          </w:p>
        </w:tc>
        <w:tc>
          <w:tcPr>
            <w:tcW w:w="758" w:type="dxa"/>
            <w:vAlign w:val="center"/>
          </w:tcPr>
          <w:p>
            <w:pPr>
              <w:pStyle w:val="13"/>
            </w:pPr>
            <w:r>
              <w:t>36.46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3"/>
            </w:pPr>
            <w:r>
              <w:t>34.16</w:t>
            </w:r>
          </w:p>
        </w:tc>
        <w:tc>
          <w:tcPr>
            <w:tcW w:w="758" w:type="dxa"/>
            <w:vAlign w:val="center"/>
          </w:tcPr>
          <w:p>
            <w:pPr>
              <w:pStyle w:val="13"/>
            </w:pPr>
            <w:r>
              <w:t>34.16</w:t>
            </w:r>
          </w:p>
        </w:tc>
        <w:tc>
          <w:tcPr>
            <w:tcW w:w="758" w:type="dxa"/>
            <w:vAlign w:val="center"/>
          </w:tcPr>
          <w:p>
            <w:pPr>
              <w:pStyle w:val="13"/>
            </w:pPr>
            <w:r>
              <w:t>34.16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3"/>
            </w:pPr>
            <w:r>
              <w:t>23.30</w:t>
            </w:r>
          </w:p>
        </w:tc>
        <w:tc>
          <w:tcPr>
            <w:tcW w:w="758" w:type="dxa"/>
            <w:vAlign w:val="center"/>
          </w:tcPr>
          <w:p>
            <w:pPr>
              <w:pStyle w:val="13"/>
            </w:pPr>
            <w:r>
              <w:t>23.30</w:t>
            </w:r>
          </w:p>
        </w:tc>
        <w:tc>
          <w:tcPr>
            <w:tcW w:w="758" w:type="dxa"/>
            <w:vAlign w:val="center"/>
          </w:tcPr>
          <w:p>
            <w:pPr>
              <w:pStyle w:val="13"/>
            </w:pPr>
            <w:r>
              <w:t>23.30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3"/>
            </w:pPr>
            <w:r>
              <w:t>10.86</w:t>
            </w:r>
          </w:p>
        </w:tc>
        <w:tc>
          <w:tcPr>
            <w:tcW w:w="758" w:type="dxa"/>
            <w:vAlign w:val="center"/>
          </w:tcPr>
          <w:p>
            <w:pPr>
              <w:pStyle w:val="13"/>
            </w:pPr>
            <w:r>
              <w:t>10.86</w:t>
            </w:r>
          </w:p>
        </w:tc>
        <w:tc>
          <w:tcPr>
            <w:tcW w:w="758" w:type="dxa"/>
            <w:vAlign w:val="center"/>
          </w:tcPr>
          <w:p>
            <w:pPr>
              <w:pStyle w:val="13"/>
            </w:pPr>
            <w:r>
              <w:t>10.86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20808</w:t>
            </w:r>
          </w:p>
        </w:tc>
        <w:tc>
          <w:tcPr>
            <w:tcW w:w="758" w:type="dxa"/>
            <w:vAlign w:val="center"/>
          </w:tcPr>
          <w:p>
            <w:pPr>
              <w:pStyle w:val="12"/>
            </w:pPr>
            <w:r>
              <w:t>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2080801</w:t>
            </w:r>
          </w:p>
        </w:tc>
        <w:tc>
          <w:tcPr>
            <w:tcW w:w="758" w:type="dxa"/>
            <w:vAlign w:val="center"/>
          </w:tcPr>
          <w:p>
            <w:pPr>
              <w:pStyle w:val="12"/>
            </w:pPr>
            <w:r>
              <w:t>死亡抚恤</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13</w:t>
            </w:r>
          </w:p>
        </w:tc>
        <w:tc>
          <w:tcPr>
            <w:tcW w:w="758" w:type="dxa"/>
            <w:vAlign w:val="center"/>
          </w:tcPr>
          <w:p>
            <w:pPr>
              <w:pStyle w:val="12"/>
            </w:pPr>
            <w:r>
              <w:t>20827</w:t>
            </w:r>
          </w:p>
        </w:tc>
        <w:tc>
          <w:tcPr>
            <w:tcW w:w="758" w:type="dxa"/>
            <w:vAlign w:val="center"/>
          </w:tcPr>
          <w:p>
            <w:pPr>
              <w:pStyle w:val="12"/>
            </w:pPr>
            <w:r>
              <w:t>财政对其他社会保险基金的补助</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14</w:t>
            </w:r>
          </w:p>
        </w:tc>
        <w:tc>
          <w:tcPr>
            <w:tcW w:w="758" w:type="dxa"/>
            <w:vAlign w:val="center"/>
          </w:tcPr>
          <w:p>
            <w:pPr>
              <w:pStyle w:val="12"/>
            </w:pPr>
            <w:r>
              <w:t>2082702</w:t>
            </w:r>
          </w:p>
        </w:tc>
        <w:tc>
          <w:tcPr>
            <w:tcW w:w="758" w:type="dxa"/>
            <w:vAlign w:val="center"/>
          </w:tcPr>
          <w:p>
            <w:pPr>
              <w:pStyle w:val="12"/>
            </w:pPr>
            <w:r>
              <w:t>财政对工伤保险基金的补助</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r>
              <w:t>0.30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15</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16</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17</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r>
              <w:t>4.31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18</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19</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20</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r>
              <w:t>8.59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235.92</w:t>
            </w:r>
          </w:p>
        </w:tc>
        <w:tc>
          <w:tcPr>
            <w:tcW w:w="1095" w:type="dxa"/>
            <w:vAlign w:val="center"/>
          </w:tcPr>
          <w:p>
            <w:pPr>
              <w:pStyle w:val="15"/>
            </w:pPr>
            <w:r>
              <w:t>137.64</w:t>
            </w:r>
          </w:p>
        </w:tc>
        <w:tc>
          <w:tcPr>
            <w:tcW w:w="1095" w:type="dxa"/>
            <w:vAlign w:val="center"/>
          </w:tcPr>
          <w:p>
            <w:pPr>
              <w:pStyle w:val="15"/>
            </w:pPr>
            <w:r>
              <w:t>98.28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205</w:t>
            </w:r>
          </w:p>
        </w:tc>
        <w:tc>
          <w:tcPr>
            <w:tcW w:w="1095" w:type="dxa"/>
            <w:vAlign w:val="center"/>
          </w:tcPr>
          <w:p>
            <w:pPr>
              <w:pStyle w:val="12"/>
            </w:pPr>
            <w:r>
              <w:t>教育支出</w:t>
            </w:r>
          </w:p>
        </w:tc>
        <w:tc>
          <w:tcPr>
            <w:tcW w:w="1095" w:type="dxa"/>
            <w:vAlign w:val="center"/>
          </w:tcPr>
          <w:p>
            <w:pPr>
              <w:pStyle w:val="13"/>
            </w:pPr>
            <w:r>
              <w:t>186.56</w:t>
            </w:r>
          </w:p>
        </w:tc>
        <w:tc>
          <w:tcPr>
            <w:tcW w:w="1095" w:type="dxa"/>
            <w:vAlign w:val="center"/>
          </w:tcPr>
          <w:p>
            <w:pPr>
              <w:pStyle w:val="13"/>
            </w:pPr>
            <w:r>
              <w:t>88.28</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20501</w:t>
            </w:r>
          </w:p>
        </w:tc>
        <w:tc>
          <w:tcPr>
            <w:tcW w:w="1095" w:type="dxa"/>
            <w:vAlign w:val="center"/>
          </w:tcPr>
          <w:p>
            <w:pPr>
              <w:pStyle w:val="12"/>
            </w:pPr>
            <w:r>
              <w:t>教育管理事务</w:t>
            </w:r>
          </w:p>
        </w:tc>
        <w:tc>
          <w:tcPr>
            <w:tcW w:w="1095" w:type="dxa"/>
            <w:vAlign w:val="center"/>
          </w:tcPr>
          <w:p>
            <w:pPr>
              <w:pStyle w:val="13"/>
            </w:pPr>
            <w:r>
              <w:t>88.28</w:t>
            </w:r>
          </w:p>
        </w:tc>
        <w:tc>
          <w:tcPr>
            <w:tcW w:w="1095" w:type="dxa"/>
            <w:vAlign w:val="center"/>
          </w:tcPr>
          <w:p>
            <w:pPr>
              <w:pStyle w:val="13"/>
            </w:pPr>
            <w:r>
              <w:t>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2050101</w:t>
            </w:r>
          </w:p>
        </w:tc>
        <w:tc>
          <w:tcPr>
            <w:tcW w:w="1095" w:type="dxa"/>
            <w:vAlign w:val="center"/>
          </w:tcPr>
          <w:p>
            <w:pPr>
              <w:pStyle w:val="12"/>
            </w:pPr>
            <w:r>
              <w:t>行政运行</w:t>
            </w:r>
          </w:p>
        </w:tc>
        <w:tc>
          <w:tcPr>
            <w:tcW w:w="1095" w:type="dxa"/>
            <w:vAlign w:val="center"/>
          </w:tcPr>
          <w:p>
            <w:pPr>
              <w:pStyle w:val="13"/>
            </w:pPr>
            <w:r>
              <w:t>88.28</w:t>
            </w:r>
          </w:p>
        </w:tc>
        <w:tc>
          <w:tcPr>
            <w:tcW w:w="1095" w:type="dxa"/>
            <w:vAlign w:val="center"/>
          </w:tcPr>
          <w:p>
            <w:pPr>
              <w:pStyle w:val="13"/>
            </w:pPr>
            <w:r>
              <w:t>88.28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20508</w:t>
            </w:r>
          </w:p>
        </w:tc>
        <w:tc>
          <w:tcPr>
            <w:tcW w:w="1095" w:type="dxa"/>
            <w:vAlign w:val="center"/>
          </w:tcPr>
          <w:p>
            <w:pPr>
              <w:pStyle w:val="12"/>
            </w:pPr>
            <w:r>
              <w:t>进修及培训</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2050802</w:t>
            </w:r>
          </w:p>
        </w:tc>
        <w:tc>
          <w:tcPr>
            <w:tcW w:w="1095" w:type="dxa"/>
            <w:vAlign w:val="center"/>
          </w:tcPr>
          <w:p>
            <w:pPr>
              <w:pStyle w:val="12"/>
            </w:pPr>
            <w:r>
              <w:t>干部教育</w:t>
            </w: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r>
              <w:t>98.28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36.46</w:t>
            </w:r>
          </w:p>
        </w:tc>
        <w:tc>
          <w:tcPr>
            <w:tcW w:w="1095" w:type="dxa"/>
            <w:vAlign w:val="center"/>
          </w:tcPr>
          <w:p>
            <w:pPr>
              <w:pStyle w:val="13"/>
            </w:pPr>
            <w:r>
              <w:t>36.46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3"/>
            </w:pPr>
            <w:r>
              <w:t>34.16</w:t>
            </w:r>
          </w:p>
        </w:tc>
        <w:tc>
          <w:tcPr>
            <w:tcW w:w="1095" w:type="dxa"/>
            <w:vAlign w:val="center"/>
          </w:tcPr>
          <w:p>
            <w:pPr>
              <w:pStyle w:val="13"/>
            </w:pPr>
            <w:r>
              <w:t>34.16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3"/>
            </w:pPr>
            <w:r>
              <w:t>23.30</w:t>
            </w:r>
          </w:p>
        </w:tc>
        <w:tc>
          <w:tcPr>
            <w:tcW w:w="1095" w:type="dxa"/>
            <w:vAlign w:val="center"/>
          </w:tcPr>
          <w:p>
            <w:pPr>
              <w:pStyle w:val="13"/>
            </w:pPr>
            <w:r>
              <w:t>23.30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3"/>
            </w:pPr>
            <w:r>
              <w:t>10.86</w:t>
            </w:r>
          </w:p>
        </w:tc>
        <w:tc>
          <w:tcPr>
            <w:tcW w:w="1095" w:type="dxa"/>
            <w:vAlign w:val="center"/>
          </w:tcPr>
          <w:p>
            <w:pPr>
              <w:pStyle w:val="13"/>
            </w:pPr>
            <w:r>
              <w:t>10.86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20808</w:t>
            </w:r>
          </w:p>
        </w:tc>
        <w:tc>
          <w:tcPr>
            <w:tcW w:w="1095" w:type="dxa"/>
            <w:vAlign w:val="center"/>
          </w:tcPr>
          <w:p>
            <w:pPr>
              <w:pStyle w:val="12"/>
            </w:pPr>
            <w:r>
              <w:t>抚恤</w:t>
            </w:r>
          </w:p>
        </w:tc>
        <w:tc>
          <w:tcPr>
            <w:tcW w:w="1095" w:type="dxa"/>
            <w:vAlign w:val="center"/>
          </w:tcPr>
          <w:p>
            <w:pPr>
              <w:pStyle w:val="13"/>
            </w:pPr>
            <w:r>
              <w:t>2.00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2080801</w:t>
            </w:r>
          </w:p>
        </w:tc>
        <w:tc>
          <w:tcPr>
            <w:tcW w:w="1095" w:type="dxa"/>
            <w:vAlign w:val="center"/>
          </w:tcPr>
          <w:p>
            <w:pPr>
              <w:pStyle w:val="12"/>
            </w:pPr>
            <w:r>
              <w:t>死亡抚恤</w:t>
            </w:r>
          </w:p>
        </w:tc>
        <w:tc>
          <w:tcPr>
            <w:tcW w:w="1095" w:type="dxa"/>
            <w:vAlign w:val="center"/>
          </w:tcPr>
          <w:p>
            <w:pPr>
              <w:pStyle w:val="13"/>
            </w:pPr>
            <w:r>
              <w:t>2.00</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20827</w:t>
            </w:r>
          </w:p>
        </w:tc>
        <w:tc>
          <w:tcPr>
            <w:tcW w:w="1095" w:type="dxa"/>
            <w:vAlign w:val="center"/>
          </w:tcPr>
          <w:p>
            <w:pPr>
              <w:pStyle w:val="12"/>
            </w:pPr>
            <w:r>
              <w:t>财政对其他社会保险基金的补助</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2082702</w:t>
            </w:r>
          </w:p>
        </w:tc>
        <w:tc>
          <w:tcPr>
            <w:tcW w:w="1095" w:type="dxa"/>
            <w:vAlign w:val="center"/>
          </w:tcPr>
          <w:p>
            <w:pPr>
              <w:pStyle w:val="12"/>
            </w:pPr>
            <w:r>
              <w:t>财政对工伤保险基金的补助</w:t>
            </w:r>
          </w:p>
        </w:tc>
        <w:tc>
          <w:tcPr>
            <w:tcW w:w="1095" w:type="dxa"/>
            <w:vAlign w:val="center"/>
          </w:tcPr>
          <w:p>
            <w:pPr>
              <w:pStyle w:val="13"/>
            </w:pPr>
            <w:r>
              <w:t>0.30</w:t>
            </w:r>
          </w:p>
        </w:tc>
        <w:tc>
          <w:tcPr>
            <w:tcW w:w="1095" w:type="dxa"/>
            <w:vAlign w:val="center"/>
          </w:tcPr>
          <w:p>
            <w:pPr>
              <w:pStyle w:val="13"/>
            </w:pPr>
            <w:r>
              <w:t>0.30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3"/>
            </w:pPr>
            <w:r>
              <w:t>4.31</w:t>
            </w:r>
          </w:p>
        </w:tc>
        <w:tc>
          <w:tcPr>
            <w:tcW w:w="1095" w:type="dxa"/>
            <w:vAlign w:val="center"/>
          </w:tcPr>
          <w:p>
            <w:pPr>
              <w:pStyle w:val="13"/>
            </w:pPr>
            <w:r>
              <w:t>4.31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18</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19</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20</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3"/>
            </w:pPr>
            <w:r>
              <w:t>8.59</w:t>
            </w:r>
          </w:p>
        </w:tc>
        <w:tc>
          <w:tcPr>
            <w:tcW w:w="1095" w:type="dxa"/>
            <w:vAlign w:val="center"/>
          </w:tcPr>
          <w:p>
            <w:pPr>
              <w:pStyle w:val="13"/>
            </w:pPr>
            <w:r>
              <w:t>8.59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1232" w:type="dxa"/>
            <w:tcBorders>
              <w:top w:val="single" w:color="FFFFFF" w:sz="6" w:space="0"/>
              <w:left w:val="single" w:color="FFFFFF" w:sz="6" w:space="0"/>
              <w:right w:val="single" w:color="FFFFFF" w:sz="6" w:space="0"/>
            </w:tcBorders>
            <w:vAlign w:val="center"/>
          </w:tcPr>
          <w:p>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235.92</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r>
              <w:t>186.56</w:t>
            </w:r>
          </w:p>
        </w:tc>
        <w:tc>
          <w:tcPr>
            <w:tcW w:w="1232" w:type="dxa"/>
            <w:vAlign w:val="center"/>
          </w:tcPr>
          <w:p>
            <w:pPr>
              <w:pStyle w:val="13"/>
            </w:pPr>
            <w:r>
              <w:t>186.56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r>
              <w:t>36.46</w:t>
            </w:r>
          </w:p>
        </w:tc>
        <w:tc>
          <w:tcPr>
            <w:tcW w:w="1232" w:type="dxa"/>
            <w:vAlign w:val="center"/>
          </w:tcPr>
          <w:p>
            <w:pPr>
              <w:pStyle w:val="13"/>
            </w:pPr>
            <w:r>
              <w:t>36.46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r>
              <w:t>4.31</w:t>
            </w:r>
          </w:p>
        </w:tc>
        <w:tc>
          <w:tcPr>
            <w:tcW w:w="1232" w:type="dxa"/>
            <w:vAlign w:val="center"/>
          </w:tcPr>
          <w:p>
            <w:pPr>
              <w:pStyle w:val="13"/>
            </w:pPr>
            <w:r>
              <w:t>4.31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r>
              <w:t>8.59</w:t>
            </w:r>
          </w:p>
        </w:tc>
        <w:tc>
          <w:tcPr>
            <w:tcW w:w="1232" w:type="dxa"/>
            <w:vAlign w:val="center"/>
          </w:tcPr>
          <w:p>
            <w:pPr>
              <w:pStyle w:val="13"/>
            </w:pPr>
            <w:r>
              <w:t>8.59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二十七、灾害防治及应急管理共同财政事权转移支付支出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三十二、人行科目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4"/>
            </w:pPr>
            <w:r>
              <w:t>本年收入合计</w:t>
            </w:r>
          </w:p>
        </w:tc>
        <w:tc>
          <w:tcPr>
            <w:tcW w:w="1232" w:type="dxa"/>
            <w:vAlign w:val="center"/>
          </w:tcPr>
          <w:p>
            <w:pPr>
              <w:pStyle w:val="15"/>
            </w:pPr>
            <w:r>
              <w:t>235.92</w:t>
            </w:r>
          </w:p>
        </w:tc>
        <w:tc>
          <w:tcPr>
            <w:tcW w:w="1232" w:type="dxa"/>
            <w:vAlign w:val="center"/>
          </w:tcPr>
          <w:p>
            <w:pPr>
              <w:pStyle w:val="14"/>
            </w:pPr>
            <w:r>
              <w:t>本年支出合计</w:t>
            </w:r>
          </w:p>
        </w:tc>
        <w:tc>
          <w:tcPr>
            <w:tcW w:w="1232" w:type="dxa"/>
            <w:vAlign w:val="center"/>
          </w:tcPr>
          <w:p>
            <w:pPr>
              <w:pStyle w:val="15"/>
            </w:pPr>
            <w:r>
              <w:t>235.92</w:t>
            </w:r>
          </w:p>
        </w:tc>
        <w:tc>
          <w:tcPr>
            <w:tcW w:w="1232" w:type="dxa"/>
            <w:vAlign w:val="center"/>
          </w:tcPr>
          <w:p>
            <w:pPr>
              <w:pStyle w:val="15"/>
            </w:pPr>
            <w:r>
              <w:t>235.92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38</w:t>
            </w:r>
          </w:p>
        </w:tc>
        <w:tc>
          <w:tcPr>
            <w:tcW w:w="1232" w:type="dxa"/>
            <w:vAlign w:val="center"/>
          </w:tcPr>
          <w:p>
            <w:pPr>
              <w:pStyle w:val="14"/>
            </w:pPr>
            <w:r>
              <w:t>收入总计</w:t>
            </w:r>
          </w:p>
        </w:tc>
        <w:tc>
          <w:tcPr>
            <w:tcW w:w="1232" w:type="dxa"/>
            <w:vAlign w:val="center"/>
          </w:tcPr>
          <w:p>
            <w:pPr>
              <w:pStyle w:val="15"/>
            </w:pPr>
            <w:r>
              <w:t>235.92</w:t>
            </w:r>
          </w:p>
        </w:tc>
        <w:tc>
          <w:tcPr>
            <w:tcW w:w="1232" w:type="dxa"/>
            <w:vAlign w:val="center"/>
          </w:tcPr>
          <w:p>
            <w:pPr>
              <w:pStyle w:val="14"/>
            </w:pPr>
            <w:r>
              <w:t>支出总计</w:t>
            </w:r>
          </w:p>
        </w:tc>
        <w:tc>
          <w:tcPr>
            <w:tcW w:w="1232" w:type="dxa"/>
            <w:vAlign w:val="center"/>
          </w:tcPr>
          <w:p>
            <w:pPr>
              <w:pStyle w:val="15"/>
            </w:pPr>
            <w:r>
              <w:t>235.92</w:t>
            </w:r>
          </w:p>
        </w:tc>
        <w:tc>
          <w:tcPr>
            <w:tcW w:w="1232" w:type="dxa"/>
            <w:vAlign w:val="center"/>
          </w:tcPr>
          <w:p>
            <w:pPr>
              <w:pStyle w:val="15"/>
            </w:pPr>
            <w:r>
              <w:t>235.92</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235.92</w:t>
            </w:r>
          </w:p>
        </w:tc>
        <w:tc>
          <w:tcPr>
            <w:tcW w:w="1643" w:type="dxa"/>
            <w:vAlign w:val="center"/>
          </w:tcPr>
          <w:p>
            <w:pPr>
              <w:pStyle w:val="15"/>
            </w:pPr>
            <w:r>
              <w:t>137.64</w:t>
            </w:r>
          </w:p>
        </w:tc>
        <w:tc>
          <w:tcPr>
            <w:tcW w:w="1643" w:type="dxa"/>
            <w:vAlign w:val="center"/>
          </w:tcPr>
          <w:p>
            <w:pPr>
              <w:pStyle w:val="15"/>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205</w:t>
            </w:r>
          </w:p>
        </w:tc>
        <w:tc>
          <w:tcPr>
            <w:tcW w:w="1643" w:type="dxa"/>
            <w:vAlign w:val="center"/>
          </w:tcPr>
          <w:p>
            <w:pPr>
              <w:pStyle w:val="12"/>
            </w:pPr>
            <w:r>
              <w:t>教育支出</w:t>
            </w:r>
          </w:p>
        </w:tc>
        <w:tc>
          <w:tcPr>
            <w:tcW w:w="1643" w:type="dxa"/>
            <w:vAlign w:val="center"/>
          </w:tcPr>
          <w:p>
            <w:pPr>
              <w:pStyle w:val="13"/>
            </w:pPr>
            <w:r>
              <w:t>186.56</w:t>
            </w:r>
          </w:p>
        </w:tc>
        <w:tc>
          <w:tcPr>
            <w:tcW w:w="1643" w:type="dxa"/>
            <w:vAlign w:val="center"/>
          </w:tcPr>
          <w:p>
            <w:pPr>
              <w:pStyle w:val="13"/>
            </w:pPr>
            <w:r>
              <w:t>88.28</w:t>
            </w: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20501</w:t>
            </w:r>
          </w:p>
        </w:tc>
        <w:tc>
          <w:tcPr>
            <w:tcW w:w="1643" w:type="dxa"/>
            <w:vAlign w:val="center"/>
          </w:tcPr>
          <w:p>
            <w:pPr>
              <w:pStyle w:val="12"/>
            </w:pPr>
            <w:r>
              <w:t>教育管理事务</w:t>
            </w:r>
          </w:p>
        </w:tc>
        <w:tc>
          <w:tcPr>
            <w:tcW w:w="1643" w:type="dxa"/>
            <w:vAlign w:val="center"/>
          </w:tcPr>
          <w:p>
            <w:pPr>
              <w:pStyle w:val="13"/>
            </w:pPr>
            <w:r>
              <w:t>88.28</w:t>
            </w:r>
          </w:p>
        </w:tc>
        <w:tc>
          <w:tcPr>
            <w:tcW w:w="1643" w:type="dxa"/>
            <w:vAlign w:val="center"/>
          </w:tcPr>
          <w:p>
            <w:pPr>
              <w:pStyle w:val="13"/>
            </w:pPr>
            <w:r>
              <w:t>88.28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2050101</w:t>
            </w:r>
          </w:p>
        </w:tc>
        <w:tc>
          <w:tcPr>
            <w:tcW w:w="1643" w:type="dxa"/>
            <w:vAlign w:val="center"/>
          </w:tcPr>
          <w:p>
            <w:pPr>
              <w:pStyle w:val="12"/>
            </w:pPr>
            <w:r>
              <w:t>行政运行</w:t>
            </w:r>
          </w:p>
        </w:tc>
        <w:tc>
          <w:tcPr>
            <w:tcW w:w="1643" w:type="dxa"/>
            <w:vAlign w:val="center"/>
          </w:tcPr>
          <w:p>
            <w:pPr>
              <w:pStyle w:val="13"/>
            </w:pPr>
            <w:r>
              <w:t>88.28</w:t>
            </w:r>
          </w:p>
        </w:tc>
        <w:tc>
          <w:tcPr>
            <w:tcW w:w="1643" w:type="dxa"/>
            <w:vAlign w:val="center"/>
          </w:tcPr>
          <w:p>
            <w:pPr>
              <w:pStyle w:val="13"/>
            </w:pPr>
            <w:r>
              <w:t>88.28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20508</w:t>
            </w:r>
          </w:p>
        </w:tc>
        <w:tc>
          <w:tcPr>
            <w:tcW w:w="1643" w:type="dxa"/>
            <w:vAlign w:val="center"/>
          </w:tcPr>
          <w:p>
            <w:pPr>
              <w:pStyle w:val="12"/>
            </w:pPr>
            <w:r>
              <w:t>进修及培训</w:t>
            </w:r>
          </w:p>
        </w:tc>
        <w:tc>
          <w:tcPr>
            <w:tcW w:w="1643" w:type="dxa"/>
            <w:vAlign w:val="center"/>
          </w:tcPr>
          <w:p>
            <w:pPr>
              <w:pStyle w:val="13"/>
            </w:pPr>
            <w:r>
              <w:t>98.28</w:t>
            </w:r>
          </w:p>
        </w:tc>
        <w:tc>
          <w:tcPr>
            <w:tcW w:w="1643" w:type="dxa"/>
            <w:vAlign w:val="center"/>
          </w:tcPr>
          <w:p>
            <w:pPr>
              <w:pStyle w:val="13"/>
            </w:pP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2050802</w:t>
            </w:r>
          </w:p>
        </w:tc>
        <w:tc>
          <w:tcPr>
            <w:tcW w:w="1643" w:type="dxa"/>
            <w:vAlign w:val="center"/>
          </w:tcPr>
          <w:p>
            <w:pPr>
              <w:pStyle w:val="12"/>
            </w:pPr>
            <w:r>
              <w:t>干部教育</w:t>
            </w:r>
          </w:p>
        </w:tc>
        <w:tc>
          <w:tcPr>
            <w:tcW w:w="1643" w:type="dxa"/>
            <w:vAlign w:val="center"/>
          </w:tcPr>
          <w:p>
            <w:pPr>
              <w:pStyle w:val="13"/>
            </w:pPr>
            <w:r>
              <w:t>98.28</w:t>
            </w:r>
          </w:p>
        </w:tc>
        <w:tc>
          <w:tcPr>
            <w:tcW w:w="1643" w:type="dxa"/>
            <w:vAlign w:val="center"/>
          </w:tcPr>
          <w:p>
            <w:pPr>
              <w:pStyle w:val="13"/>
            </w:pPr>
          </w:p>
        </w:tc>
        <w:tc>
          <w:tcPr>
            <w:tcW w:w="1643" w:type="dxa"/>
            <w:vAlign w:val="center"/>
          </w:tcPr>
          <w:p>
            <w:pPr>
              <w:pStyle w:val="13"/>
            </w:pPr>
            <w:r>
              <w:t>98.28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36.46</w:t>
            </w:r>
          </w:p>
        </w:tc>
        <w:tc>
          <w:tcPr>
            <w:tcW w:w="1643" w:type="dxa"/>
            <w:vAlign w:val="center"/>
          </w:tcPr>
          <w:p>
            <w:pPr>
              <w:pStyle w:val="13"/>
            </w:pPr>
            <w:r>
              <w:t>36.46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3"/>
            </w:pPr>
            <w:r>
              <w:t>34.16</w:t>
            </w:r>
          </w:p>
        </w:tc>
        <w:tc>
          <w:tcPr>
            <w:tcW w:w="1643" w:type="dxa"/>
            <w:vAlign w:val="center"/>
          </w:tcPr>
          <w:p>
            <w:pPr>
              <w:pStyle w:val="13"/>
            </w:pPr>
            <w:r>
              <w:t>34.16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3"/>
            </w:pPr>
            <w:r>
              <w:t>23.30</w:t>
            </w:r>
          </w:p>
        </w:tc>
        <w:tc>
          <w:tcPr>
            <w:tcW w:w="1643" w:type="dxa"/>
            <w:vAlign w:val="center"/>
          </w:tcPr>
          <w:p>
            <w:pPr>
              <w:pStyle w:val="13"/>
            </w:pPr>
            <w:r>
              <w:t>23.30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3"/>
            </w:pPr>
            <w:r>
              <w:t>10.86</w:t>
            </w:r>
          </w:p>
        </w:tc>
        <w:tc>
          <w:tcPr>
            <w:tcW w:w="1643" w:type="dxa"/>
            <w:vAlign w:val="center"/>
          </w:tcPr>
          <w:p>
            <w:pPr>
              <w:pStyle w:val="13"/>
            </w:pPr>
            <w:r>
              <w:t>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20808</w:t>
            </w:r>
          </w:p>
        </w:tc>
        <w:tc>
          <w:tcPr>
            <w:tcW w:w="1643" w:type="dxa"/>
            <w:vAlign w:val="center"/>
          </w:tcPr>
          <w:p>
            <w:pPr>
              <w:pStyle w:val="12"/>
            </w:pPr>
            <w:r>
              <w:t>抚恤</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2080801</w:t>
            </w:r>
          </w:p>
        </w:tc>
        <w:tc>
          <w:tcPr>
            <w:tcW w:w="1643" w:type="dxa"/>
            <w:vAlign w:val="center"/>
          </w:tcPr>
          <w:p>
            <w:pPr>
              <w:pStyle w:val="12"/>
            </w:pPr>
            <w:r>
              <w:t>死亡抚恤</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20827</w:t>
            </w:r>
          </w:p>
        </w:tc>
        <w:tc>
          <w:tcPr>
            <w:tcW w:w="1643" w:type="dxa"/>
            <w:vAlign w:val="center"/>
          </w:tcPr>
          <w:p>
            <w:pPr>
              <w:pStyle w:val="12"/>
            </w:pPr>
            <w:r>
              <w:t>财政对其他社会保险基金的补助</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2082702</w:t>
            </w:r>
          </w:p>
        </w:tc>
        <w:tc>
          <w:tcPr>
            <w:tcW w:w="1643" w:type="dxa"/>
            <w:vAlign w:val="center"/>
          </w:tcPr>
          <w:p>
            <w:pPr>
              <w:pStyle w:val="12"/>
            </w:pPr>
            <w:r>
              <w:t>财政对工伤保险基金的补助</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137.64</w:t>
            </w:r>
          </w:p>
        </w:tc>
        <w:tc>
          <w:tcPr>
            <w:tcW w:w="1643" w:type="dxa"/>
            <w:vAlign w:val="center"/>
          </w:tcPr>
          <w:p>
            <w:pPr>
              <w:pStyle w:val="15"/>
            </w:pPr>
            <w:r>
              <w:t>126.16</w:t>
            </w:r>
          </w:p>
        </w:tc>
        <w:tc>
          <w:tcPr>
            <w:tcW w:w="1643" w:type="dxa"/>
            <w:vAlign w:val="center"/>
          </w:tcPr>
          <w:p>
            <w:pPr>
              <w:pStyle w:val="15"/>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100.86</w:t>
            </w:r>
          </w:p>
        </w:tc>
        <w:tc>
          <w:tcPr>
            <w:tcW w:w="1643" w:type="dxa"/>
            <w:vAlign w:val="center"/>
          </w:tcPr>
          <w:p>
            <w:pPr>
              <w:pStyle w:val="13"/>
            </w:pPr>
            <w:r>
              <w:t>100.86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50.88</w:t>
            </w:r>
          </w:p>
        </w:tc>
        <w:tc>
          <w:tcPr>
            <w:tcW w:w="1643" w:type="dxa"/>
            <w:vAlign w:val="center"/>
          </w:tcPr>
          <w:p>
            <w:pPr>
              <w:pStyle w:val="13"/>
            </w:pPr>
            <w:r>
              <w:t>50.88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16.30</w:t>
            </w:r>
          </w:p>
        </w:tc>
        <w:tc>
          <w:tcPr>
            <w:tcW w:w="1643" w:type="dxa"/>
            <w:vAlign w:val="center"/>
          </w:tcPr>
          <w:p>
            <w:pPr>
              <w:pStyle w:val="13"/>
            </w:pPr>
            <w:r>
              <w:t>16.30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5.22</w:t>
            </w:r>
          </w:p>
        </w:tc>
        <w:tc>
          <w:tcPr>
            <w:tcW w:w="1643" w:type="dxa"/>
            <w:vAlign w:val="center"/>
          </w:tcPr>
          <w:p>
            <w:pPr>
              <w:pStyle w:val="13"/>
            </w:pPr>
            <w:r>
              <w:t>5.22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10.86</w:t>
            </w:r>
          </w:p>
        </w:tc>
        <w:tc>
          <w:tcPr>
            <w:tcW w:w="1643" w:type="dxa"/>
            <w:vAlign w:val="center"/>
          </w:tcPr>
          <w:p>
            <w:pPr>
              <w:pStyle w:val="13"/>
            </w:pPr>
            <w:r>
              <w:t>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4.31</w:t>
            </w:r>
          </w:p>
        </w:tc>
        <w:tc>
          <w:tcPr>
            <w:tcW w:w="1643" w:type="dxa"/>
            <w:vAlign w:val="center"/>
          </w:tcPr>
          <w:p>
            <w:pPr>
              <w:pStyle w:val="13"/>
            </w:pPr>
            <w:r>
              <w:t>4.31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8.59</w:t>
            </w:r>
          </w:p>
        </w:tc>
        <w:tc>
          <w:tcPr>
            <w:tcW w:w="1643" w:type="dxa"/>
            <w:vAlign w:val="center"/>
          </w:tcPr>
          <w:p>
            <w:pPr>
              <w:pStyle w:val="13"/>
            </w:pPr>
            <w:r>
              <w:t>8.59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11.48</w:t>
            </w:r>
          </w:p>
        </w:tc>
        <w:tc>
          <w:tcPr>
            <w:tcW w:w="1643" w:type="dxa"/>
            <w:vAlign w:val="center"/>
          </w:tcPr>
          <w:p>
            <w:pPr>
              <w:pStyle w:val="13"/>
            </w:pPr>
          </w:p>
        </w:tc>
        <w:tc>
          <w:tcPr>
            <w:tcW w:w="1643" w:type="dxa"/>
            <w:vAlign w:val="center"/>
          </w:tcPr>
          <w:p>
            <w:pPr>
              <w:pStyle w:val="13"/>
            </w:pPr>
            <w:r>
              <w:t>11.48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2.37</w:t>
            </w:r>
          </w:p>
        </w:tc>
        <w:tc>
          <w:tcPr>
            <w:tcW w:w="1643" w:type="dxa"/>
            <w:vAlign w:val="center"/>
          </w:tcPr>
          <w:p>
            <w:pPr>
              <w:pStyle w:val="13"/>
            </w:pPr>
          </w:p>
        </w:tc>
        <w:tc>
          <w:tcPr>
            <w:tcW w:w="1643" w:type="dxa"/>
            <w:vAlign w:val="center"/>
          </w:tcPr>
          <w:p>
            <w:pPr>
              <w:pStyle w:val="13"/>
            </w:pPr>
            <w:r>
              <w:t>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30205</w:t>
            </w:r>
          </w:p>
        </w:tc>
        <w:tc>
          <w:tcPr>
            <w:tcW w:w="1643" w:type="dxa"/>
            <w:vAlign w:val="center"/>
          </w:tcPr>
          <w:p>
            <w:pPr>
              <w:pStyle w:val="12"/>
            </w:pPr>
            <w:r>
              <w:t>水费</w:t>
            </w:r>
          </w:p>
        </w:tc>
        <w:tc>
          <w:tcPr>
            <w:tcW w:w="1643" w:type="dxa"/>
            <w:vAlign w:val="center"/>
          </w:tcPr>
          <w:p>
            <w:pPr>
              <w:pStyle w:val="13"/>
            </w:pPr>
            <w:r>
              <w:t>0.04</w:t>
            </w:r>
          </w:p>
        </w:tc>
        <w:tc>
          <w:tcPr>
            <w:tcW w:w="1643" w:type="dxa"/>
            <w:vAlign w:val="center"/>
          </w:tcPr>
          <w:p>
            <w:pPr>
              <w:pStyle w:val="13"/>
            </w:pPr>
          </w:p>
        </w:tc>
        <w:tc>
          <w:tcPr>
            <w:tcW w:w="1643" w:type="dxa"/>
            <w:vAlign w:val="center"/>
          </w:tcPr>
          <w:p>
            <w:pPr>
              <w:pStyle w:val="13"/>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30206</w:t>
            </w:r>
          </w:p>
        </w:tc>
        <w:tc>
          <w:tcPr>
            <w:tcW w:w="1643" w:type="dxa"/>
            <w:vAlign w:val="center"/>
          </w:tcPr>
          <w:p>
            <w:pPr>
              <w:pStyle w:val="12"/>
            </w:pPr>
            <w:r>
              <w:t>电费</w:t>
            </w:r>
          </w:p>
        </w:tc>
        <w:tc>
          <w:tcPr>
            <w:tcW w:w="1643" w:type="dxa"/>
            <w:vAlign w:val="center"/>
          </w:tcPr>
          <w:p>
            <w:pPr>
              <w:pStyle w:val="13"/>
            </w:pPr>
            <w:r>
              <w:t>0.07</w:t>
            </w:r>
          </w:p>
        </w:tc>
        <w:tc>
          <w:tcPr>
            <w:tcW w:w="1643" w:type="dxa"/>
            <w:vAlign w:val="center"/>
          </w:tcPr>
          <w:p>
            <w:pPr>
              <w:pStyle w:val="13"/>
            </w:pPr>
          </w:p>
        </w:tc>
        <w:tc>
          <w:tcPr>
            <w:tcW w:w="1643"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30211</w:t>
            </w:r>
          </w:p>
        </w:tc>
        <w:tc>
          <w:tcPr>
            <w:tcW w:w="1643" w:type="dxa"/>
            <w:vAlign w:val="center"/>
          </w:tcPr>
          <w:p>
            <w:pPr>
              <w:pStyle w:val="12"/>
            </w:pPr>
            <w:r>
              <w:t>差旅费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30213</w:t>
            </w:r>
          </w:p>
        </w:tc>
        <w:tc>
          <w:tcPr>
            <w:tcW w:w="1643" w:type="dxa"/>
            <w:vAlign w:val="center"/>
          </w:tcPr>
          <w:p>
            <w:pPr>
              <w:pStyle w:val="12"/>
            </w:pPr>
            <w:r>
              <w:t>维修(护)费</w:t>
            </w:r>
          </w:p>
        </w:tc>
        <w:tc>
          <w:tcPr>
            <w:tcW w:w="1643" w:type="dxa"/>
            <w:vAlign w:val="center"/>
          </w:tcPr>
          <w:p>
            <w:pPr>
              <w:pStyle w:val="13"/>
            </w:pPr>
            <w:r>
              <w:t>0.05</w:t>
            </w:r>
          </w:p>
        </w:tc>
        <w:tc>
          <w:tcPr>
            <w:tcW w:w="1643" w:type="dxa"/>
            <w:vAlign w:val="center"/>
          </w:tcPr>
          <w:p>
            <w:pPr>
              <w:pStyle w:val="13"/>
            </w:pPr>
          </w:p>
        </w:tc>
        <w:tc>
          <w:tcPr>
            <w:tcW w:w="1643"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30217</w:t>
            </w:r>
          </w:p>
        </w:tc>
        <w:tc>
          <w:tcPr>
            <w:tcW w:w="1643" w:type="dxa"/>
            <w:vAlign w:val="center"/>
          </w:tcPr>
          <w:p>
            <w:pPr>
              <w:pStyle w:val="12"/>
            </w:pPr>
            <w:r>
              <w:t>公务接待费</w:t>
            </w:r>
          </w:p>
        </w:tc>
        <w:tc>
          <w:tcPr>
            <w:tcW w:w="1643" w:type="dxa"/>
            <w:vAlign w:val="center"/>
          </w:tcPr>
          <w:p>
            <w:pPr>
              <w:pStyle w:val="13"/>
            </w:pPr>
            <w:r>
              <w:t>0.03</w:t>
            </w:r>
          </w:p>
        </w:tc>
        <w:tc>
          <w:tcPr>
            <w:tcW w:w="1643" w:type="dxa"/>
            <w:vAlign w:val="center"/>
          </w:tcPr>
          <w:p>
            <w:pPr>
              <w:pStyle w:val="13"/>
            </w:pPr>
          </w:p>
        </w:tc>
        <w:tc>
          <w:tcPr>
            <w:tcW w:w="1643"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0.92</w:t>
            </w:r>
          </w:p>
        </w:tc>
        <w:tc>
          <w:tcPr>
            <w:tcW w:w="1643" w:type="dxa"/>
            <w:vAlign w:val="center"/>
          </w:tcPr>
          <w:p>
            <w:pPr>
              <w:pStyle w:val="13"/>
            </w:pPr>
          </w:p>
        </w:tc>
        <w:tc>
          <w:tcPr>
            <w:tcW w:w="1643" w:type="dxa"/>
            <w:vAlign w:val="center"/>
          </w:tcPr>
          <w:p>
            <w:pPr>
              <w:pStyle w:val="13"/>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20</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1.40</w:t>
            </w:r>
          </w:p>
        </w:tc>
        <w:tc>
          <w:tcPr>
            <w:tcW w:w="1643" w:type="dxa"/>
            <w:vAlign w:val="center"/>
          </w:tcPr>
          <w:p>
            <w:pPr>
              <w:pStyle w:val="13"/>
            </w:pPr>
          </w:p>
        </w:tc>
        <w:tc>
          <w:tcPr>
            <w:tcW w:w="1643" w:type="dxa"/>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21</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22</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23</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25.30</w:t>
            </w:r>
          </w:p>
        </w:tc>
        <w:tc>
          <w:tcPr>
            <w:tcW w:w="1643" w:type="dxa"/>
            <w:vAlign w:val="center"/>
          </w:tcPr>
          <w:p>
            <w:pPr>
              <w:pStyle w:val="13"/>
            </w:pPr>
            <w:r>
              <w:t>25.30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24</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3"/>
            </w:pPr>
            <w:r>
              <w:t>23.30</w:t>
            </w:r>
          </w:p>
        </w:tc>
        <w:tc>
          <w:tcPr>
            <w:tcW w:w="1643" w:type="dxa"/>
            <w:vAlign w:val="center"/>
          </w:tcPr>
          <w:p>
            <w:pPr>
              <w:pStyle w:val="13"/>
            </w:pPr>
            <w:r>
              <w:t>23.30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25</w:t>
            </w:r>
          </w:p>
        </w:tc>
        <w:tc>
          <w:tcPr>
            <w:tcW w:w="1643" w:type="dxa"/>
            <w:vAlign w:val="center"/>
          </w:tcPr>
          <w:p>
            <w:pPr>
              <w:pStyle w:val="12"/>
            </w:pPr>
            <w:r>
              <w:t>30304</w:t>
            </w:r>
          </w:p>
        </w:tc>
        <w:tc>
          <w:tcPr>
            <w:tcW w:w="1643" w:type="dxa"/>
            <w:vAlign w:val="center"/>
          </w:tcPr>
          <w:p>
            <w:pPr>
              <w:pStyle w:val="12"/>
            </w:pPr>
            <w:r>
              <w:t>抚恤金</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rPr>
                <w:rFonts w:hint="eastAsia" w:eastAsia="方正书宋_GBK"/>
                <w:lang w:val="en-US" w:eastAsia="zh-CN"/>
              </w:rPr>
            </w:pPr>
            <w:r>
              <w:rPr>
                <w:rFonts w:hint="eastAsia"/>
                <w:lang w:val="en-US" w:eastAsia="zh-CN"/>
              </w:rPr>
              <w:t>1</w:t>
            </w:r>
          </w:p>
        </w:tc>
        <w:tc>
          <w:tcPr>
            <w:tcW w:w="1643" w:type="dxa"/>
            <w:vAlign w:val="center"/>
          </w:tcPr>
          <w:p>
            <w:pPr>
              <w:pStyle w:val="12"/>
              <w:rPr>
                <w:rFonts w:hint="default" w:eastAsia="方正书宋_GBK"/>
                <w:lang w:val="en-US" w:eastAsia="zh-CN"/>
              </w:rPr>
            </w:pPr>
            <w:r>
              <w:rPr>
                <w:rFonts w:hint="eastAsia"/>
                <w:lang w:val="en-US" w:eastAsia="zh-CN"/>
              </w:rPr>
              <w:t>公务接待费</w:t>
            </w:r>
          </w:p>
        </w:tc>
        <w:tc>
          <w:tcPr>
            <w:tcW w:w="1643" w:type="dxa"/>
            <w:vAlign w:val="center"/>
          </w:tcPr>
          <w:p>
            <w:pPr>
              <w:pStyle w:val="13"/>
              <w:rPr>
                <w:rFonts w:hint="default" w:eastAsia="方正书宋_GBK"/>
                <w:lang w:val="en-US" w:eastAsia="zh-CN"/>
              </w:rPr>
            </w:pPr>
            <w:r>
              <w:rPr>
                <w:rFonts w:hint="eastAsia"/>
                <w:lang w:val="en-US" w:eastAsia="zh-CN"/>
              </w:rPr>
              <w:t>0.03</w:t>
            </w:r>
          </w:p>
        </w:tc>
        <w:tc>
          <w:tcPr>
            <w:tcW w:w="1643" w:type="dxa"/>
            <w:vAlign w:val="center"/>
          </w:tcPr>
          <w:p>
            <w:pPr>
              <w:pStyle w:val="13"/>
              <w:rPr>
                <w:rFonts w:hint="default" w:eastAsia="方正书宋_GBK"/>
                <w:lang w:val="en-US" w:eastAsia="zh-CN"/>
              </w:rPr>
            </w:pPr>
            <w:r>
              <w:rPr>
                <w:rFonts w:hint="eastAsia"/>
                <w:lang w:val="en-US" w:eastAsia="zh-CN"/>
              </w:rPr>
              <w:t>0.03</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rPr>
                <w:rFonts w:hint="default"/>
                <w:lang w:val="en-US" w:eastAsia="zh-CN"/>
              </w:rPr>
            </w:pPr>
            <w:r>
              <w:rPr>
                <w:rFonts w:hint="eastAsia"/>
                <w:lang w:val="en-US" w:eastAsia="zh-CN"/>
              </w:rPr>
              <w:t>2</w:t>
            </w:r>
          </w:p>
        </w:tc>
        <w:tc>
          <w:tcPr>
            <w:tcW w:w="1643" w:type="dxa"/>
            <w:vAlign w:val="center"/>
          </w:tcPr>
          <w:p>
            <w:pPr>
              <w:pStyle w:val="12"/>
              <w:rPr>
                <w:rFonts w:hint="default"/>
                <w:lang w:val="en-US" w:eastAsia="zh-CN"/>
              </w:rPr>
            </w:pPr>
            <w:r>
              <w:rPr>
                <w:rFonts w:hint="eastAsia"/>
                <w:lang w:val="en-US" w:eastAsia="zh-CN"/>
              </w:rPr>
              <w:t>公务用车运行维护费</w:t>
            </w:r>
          </w:p>
        </w:tc>
        <w:tc>
          <w:tcPr>
            <w:tcW w:w="1643" w:type="dxa"/>
            <w:vAlign w:val="center"/>
          </w:tcPr>
          <w:p>
            <w:pPr>
              <w:pStyle w:val="13"/>
              <w:rPr>
                <w:rFonts w:hint="default"/>
                <w:lang w:val="en-US" w:eastAsia="zh-CN"/>
              </w:rPr>
            </w:pPr>
            <w:r>
              <w:rPr>
                <w:rFonts w:hint="eastAsia"/>
                <w:lang w:val="en-US" w:eastAsia="zh-CN"/>
              </w:rPr>
              <w:t>2</w:t>
            </w:r>
          </w:p>
        </w:tc>
        <w:tc>
          <w:tcPr>
            <w:tcW w:w="1643" w:type="dxa"/>
            <w:vAlign w:val="center"/>
          </w:tcPr>
          <w:p>
            <w:pPr>
              <w:pStyle w:val="13"/>
              <w:rPr>
                <w:rFonts w:hint="default"/>
                <w:lang w:val="en-US" w:eastAsia="zh-CN"/>
              </w:rPr>
            </w:pPr>
            <w:r>
              <w:rPr>
                <w:rFonts w:hint="eastAsia"/>
                <w:lang w:val="en-US" w:eastAsia="zh-CN"/>
              </w:rPr>
              <w:t>2</w:t>
            </w: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中国共产党宁晋县委员会党校本级2023年单位预算信息公开情况说明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ascii="Times New Roman" w:hAnsi="Times New Roman"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、《地方预决算公开操作规程》和《关于进一步推进预算公开工作的实施意见》规定，现将中国共产党宁晋县委员会党校本级2023年单位预算公开如下：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17"/>
      </w:pPr>
      <w:r>
        <w:t>1、学习、研究和宣传马克思列宁主义、毛泽东思想、邓小平理论、“三个代表”重要思想、科学发展观以及习近平新时代中国特色社会主义思想等重大战略思想。</w:t>
      </w:r>
    </w:p>
    <w:p>
      <w:pPr>
        <w:pStyle w:val="17"/>
      </w:pPr>
      <w:r>
        <w:t>2、轮训副科乡级干部和基层党员干部。</w:t>
      </w:r>
    </w:p>
    <w:p>
      <w:pPr>
        <w:pStyle w:val="17"/>
      </w:pPr>
      <w:r>
        <w:t>3、培训中青年党员领导干部和后备干部，培训意识形态部门的领导干部和理论骨干</w:t>
      </w:r>
    </w:p>
    <w:p>
      <w:pPr>
        <w:pStyle w:val="17"/>
      </w:pPr>
      <w:r>
        <w:t>4、协调组织人事部门，对学员在校期间进行考核考察</w:t>
      </w:r>
    </w:p>
    <w:p>
      <w:pPr>
        <w:pStyle w:val="17"/>
      </w:pPr>
      <w:r>
        <w:t>5、对乡（镇）党校进行业务指导。</w:t>
      </w:r>
    </w:p>
    <w:p>
      <w:pPr>
        <w:pStyle w:val="17"/>
      </w:pPr>
      <w:r>
        <w:t>6、完成县委、县政府交办的其他任务。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中国共产党宁晋县委员会党校本级</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pageBreakBefore w:val="0"/>
        <w:widowControl/>
        <w:kinsoku/>
        <w:wordWrap/>
        <w:overflowPunct/>
        <w:topLinePunct w:val="0"/>
        <w:autoSpaceDE/>
        <w:autoSpaceDN/>
        <w:bidi w:val="0"/>
        <w:adjustRightInd/>
        <w:snapToGrid/>
        <w:spacing w:before="0" w:after="0" w:line="500" w:lineRule="exact"/>
        <w:ind w:firstLine="560" w:firstLineChars="200"/>
        <w:jc w:val="left"/>
        <w:textAlignment w:val="auto"/>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按照预算管理有关规定，目前我省部门预算的编制实行综合预算管理，即全部收入和支出都反映在预算中。中国共产党宁晋县委员会党校机关及所属事业单位的收支包含在部门预算中。</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pPr>
      <w:r>
        <w:t>(一）预算收入主要内容</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pPr>
      <w:r>
        <w:t>收入预算235.924万元，其中一般公共预算收入235.924万元，政府性基金预算收入0万元，国有资本经营预算收入0万元，事业单位经营收入0万元，其他收入0万元</w:t>
      </w:r>
      <w:r>
        <w:rPr>
          <w:rFonts w:hint="eastAsia"/>
          <w:lang w:eastAsia="zh-CN"/>
        </w:rPr>
        <w:t>，</w:t>
      </w:r>
      <w:r>
        <w:t>202</w:t>
      </w:r>
      <w:r>
        <w:rPr>
          <w:rFonts w:hint="eastAsia"/>
          <w:lang w:val="en-US" w:eastAsia="zh-CN"/>
        </w:rPr>
        <w:t>3</w:t>
      </w:r>
      <w:r>
        <w:t>年预算收入总额为235.924万元。</w:t>
      </w:r>
    </w:p>
    <w:p>
      <w:pPr>
        <w:pStyle w:val="18"/>
        <w:keepNext w:val="0"/>
        <w:keepLines w:val="0"/>
        <w:pageBreakBefore w:val="0"/>
        <w:widowControl/>
        <w:kinsoku/>
        <w:wordWrap/>
        <w:overflowPunct/>
        <w:topLinePunct w:val="0"/>
        <w:autoSpaceDE/>
        <w:autoSpaceDN/>
        <w:bidi w:val="0"/>
        <w:adjustRightInd/>
        <w:snapToGrid/>
        <w:ind w:left="0" w:leftChars="0" w:firstLine="560" w:firstLineChars="200"/>
        <w:textAlignment w:val="auto"/>
      </w:pPr>
      <w:r>
        <w:t>（二）预算支出主要内容</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pPr>
      <w:r>
        <w:t>202</w:t>
      </w:r>
      <w:r>
        <w:rPr>
          <w:rFonts w:hint="eastAsia"/>
          <w:lang w:val="en-US" w:eastAsia="zh-CN"/>
        </w:rPr>
        <w:t>3</w:t>
      </w:r>
      <w:r>
        <w:t>年总支出预算为235.92</w:t>
      </w:r>
      <w:r>
        <w:rPr>
          <w:rFonts w:hint="eastAsia"/>
          <w:lang w:val="en-US" w:eastAsia="zh-CN"/>
        </w:rPr>
        <w:t>4</w:t>
      </w:r>
      <w:r>
        <w:t>万元，其中，基本支出预算安排为137.64万元，包括人员经费支出126.16万元和日常公用经费支出11.48万元；项目支出预算安排为98.284万元。</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t>（三）</w:t>
      </w:r>
      <w:r>
        <w:rPr>
          <w:rFonts w:hint="eastAsia"/>
        </w:rPr>
        <w:t>比上年增减情况</w:t>
      </w:r>
    </w:p>
    <w:p>
      <w:pPr>
        <w:pStyle w:val="18"/>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202</w:t>
      </w:r>
      <w:r>
        <w:rPr>
          <w:rFonts w:hint="eastAsia"/>
          <w:lang w:val="en-US" w:eastAsia="zh-CN"/>
        </w:rPr>
        <w:t>3</w:t>
      </w:r>
      <w:r>
        <w:rPr>
          <w:rFonts w:hint="eastAsia"/>
        </w:rPr>
        <w:t>年部门预算较202</w:t>
      </w:r>
      <w:r>
        <w:rPr>
          <w:rFonts w:hint="eastAsia"/>
          <w:lang w:val="en-US" w:eastAsia="zh-CN"/>
        </w:rPr>
        <w:t>2</w:t>
      </w:r>
      <w:r>
        <w:rPr>
          <w:rFonts w:hint="eastAsia"/>
        </w:rPr>
        <w:t>年预算</w:t>
      </w:r>
      <w:r>
        <w:rPr>
          <w:rFonts w:hint="eastAsia"/>
          <w:lang w:eastAsia="zh-CN"/>
        </w:rPr>
        <w:t>减少</w:t>
      </w:r>
      <w:r>
        <w:rPr>
          <w:rFonts w:hint="eastAsia"/>
          <w:lang w:val="en-US" w:eastAsia="zh-CN"/>
        </w:rPr>
        <w:t>37.14598</w:t>
      </w:r>
      <w:r>
        <w:rPr>
          <w:rFonts w:hint="eastAsia"/>
        </w:rPr>
        <w:t>万元，其中：基本支出比上年预算</w:t>
      </w:r>
      <w:r>
        <w:rPr>
          <w:rFonts w:hint="eastAsia"/>
          <w:lang w:eastAsia="zh-CN"/>
        </w:rPr>
        <w:t>增加</w:t>
      </w:r>
      <w:r>
        <w:rPr>
          <w:rFonts w:hint="eastAsia"/>
        </w:rPr>
        <w:t>了</w:t>
      </w:r>
      <w:r>
        <w:rPr>
          <w:rFonts w:hint="eastAsia"/>
          <w:lang w:val="en-US" w:eastAsia="zh-CN"/>
        </w:rPr>
        <w:t>23.51146</w:t>
      </w:r>
      <w:r>
        <w:rPr>
          <w:rFonts w:hint="eastAsia"/>
        </w:rPr>
        <w:t>万元，</w:t>
      </w:r>
      <w:r>
        <w:rPr>
          <w:rFonts w:hint="eastAsia"/>
          <w:lang w:eastAsia="zh-CN"/>
        </w:rPr>
        <w:t>增加</w:t>
      </w:r>
      <w:r>
        <w:rPr>
          <w:rFonts w:hint="eastAsia"/>
        </w:rPr>
        <w:t>的主要原因是</w:t>
      </w:r>
      <w:r>
        <w:rPr>
          <w:rFonts w:hint="eastAsia"/>
          <w:lang w:eastAsia="zh-CN"/>
        </w:rPr>
        <w:t>新录入两名公务员</w:t>
      </w:r>
      <w:r>
        <w:rPr>
          <w:rFonts w:hint="eastAsia"/>
        </w:rPr>
        <w:t>。项目支出比上年预算</w:t>
      </w:r>
      <w:r>
        <w:rPr>
          <w:rFonts w:hint="eastAsia"/>
          <w:lang w:eastAsia="zh-CN"/>
        </w:rPr>
        <w:t>减少</w:t>
      </w:r>
      <w:r>
        <w:rPr>
          <w:rFonts w:hint="eastAsia"/>
        </w:rPr>
        <w:t>了</w:t>
      </w:r>
      <w:r>
        <w:rPr>
          <w:rFonts w:hint="eastAsia"/>
          <w:lang w:val="en-US" w:eastAsia="zh-CN"/>
        </w:rPr>
        <w:t>60.65744</w:t>
      </w:r>
      <w:r>
        <w:rPr>
          <w:rFonts w:hint="eastAsia"/>
        </w:rPr>
        <w:t>万元，</w:t>
      </w:r>
      <w:r>
        <w:rPr>
          <w:rFonts w:hint="eastAsia"/>
          <w:lang w:eastAsia="zh-CN"/>
        </w:rPr>
        <w:t>减少</w:t>
      </w:r>
      <w:r>
        <w:rPr>
          <w:rFonts w:hint="eastAsia"/>
        </w:rPr>
        <w:t>的主要原因是项目数量和项目资金</w:t>
      </w:r>
      <w:r>
        <w:rPr>
          <w:rFonts w:hint="eastAsia"/>
          <w:lang w:eastAsia="zh-CN"/>
        </w:rPr>
        <w:t>减少</w:t>
      </w:r>
      <w:r>
        <w:rPr>
          <w:rFonts w:hint="eastAsia"/>
        </w:rPr>
        <w:t>。</w:t>
      </w:r>
    </w:p>
    <w:p>
      <w:pPr>
        <w:pStyle w:val="19"/>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keepNext w:val="0"/>
        <w:keepLines w:val="0"/>
        <w:pageBreakBefore w:val="0"/>
        <w:widowControl/>
        <w:kinsoku/>
        <w:wordWrap/>
        <w:overflowPunct/>
        <w:topLinePunct w:val="0"/>
        <w:autoSpaceDE/>
        <w:autoSpaceDN/>
        <w:bidi w:val="0"/>
        <w:adjustRightInd/>
        <w:snapToGrid/>
        <w:ind w:firstLine="560" w:firstLineChars="200"/>
        <w:textAlignment w:val="auto"/>
      </w:pPr>
      <w:r>
        <w:t>机关运行经费预算支出11.48万元，主要用于保障单位运行，用于购买货物和服务。</w:t>
      </w:r>
    </w:p>
    <w:p>
      <w:pPr>
        <w:pStyle w:val="21"/>
        <w:ind w:left="0" w:leftChars="0" w:firstLine="0" w:firstLineChars="0"/>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pPr>
      <w:r>
        <w:t>（一）因公出国（境）经费预算</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因公出国（境）经费预算项目支出安排0万元，与上年相比无变化。</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 xml:space="preserve">  （二）公务接待费用预算</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宁晋县委党校公务接待费用0.03万元，与上年相比无变化。</w:t>
      </w:r>
    </w:p>
    <w:p>
      <w:pPr>
        <w:pStyle w:val="22"/>
        <w:keepNext w:val="0"/>
        <w:keepLines w:val="0"/>
        <w:pageBreakBefore w:val="0"/>
        <w:widowControl/>
        <w:kinsoku/>
        <w:wordWrap/>
        <w:overflowPunct/>
        <w:topLinePunct w:val="0"/>
        <w:autoSpaceDE/>
        <w:autoSpaceDN/>
        <w:bidi w:val="0"/>
        <w:adjustRightInd/>
        <w:snapToGrid/>
        <w:textAlignment w:val="auto"/>
        <w:rPr>
          <w:rFonts w:hint="eastAsia"/>
        </w:rPr>
      </w:pPr>
      <w:r>
        <w:rPr>
          <w:rFonts w:hint="eastAsia"/>
        </w:rPr>
        <w:t>（</w:t>
      </w:r>
      <w:r>
        <w:rPr>
          <w:rFonts w:hint="eastAsia"/>
          <w:lang w:val="en-US" w:eastAsia="zh-CN"/>
        </w:rPr>
        <w:t>三</w:t>
      </w:r>
      <w:r>
        <w:rPr>
          <w:rFonts w:hint="eastAsia"/>
        </w:rPr>
        <w:t>）公务用车购置及运行维护费预算</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default" w:eastAsia="方正仿宋_GBK"/>
          <w:lang w:val="en-US" w:eastAsia="zh-CN"/>
        </w:rPr>
      </w:pPr>
      <w:r>
        <w:rPr>
          <w:rFonts w:hint="eastAsia"/>
        </w:rPr>
        <w:t>宁晋县委党校有车辆编制数1辆，公务</w:t>
      </w:r>
      <w:r>
        <w:rPr>
          <w:rFonts w:hint="eastAsia"/>
          <w:lang w:eastAsia="zh-CN"/>
        </w:rPr>
        <w:t>用</w:t>
      </w:r>
      <w:r>
        <w:rPr>
          <w:rFonts w:hint="eastAsia"/>
        </w:rPr>
        <w:t>车</w:t>
      </w:r>
      <w:r>
        <w:rPr>
          <w:rFonts w:hint="eastAsia"/>
          <w:lang w:eastAsia="zh-CN"/>
        </w:rPr>
        <w:t>运行维护</w:t>
      </w:r>
      <w:r>
        <w:rPr>
          <w:rFonts w:hint="eastAsia"/>
        </w:rPr>
        <w:t>费预算2万元</w:t>
      </w:r>
      <w:r>
        <w:rPr>
          <w:rFonts w:hint="eastAsia"/>
          <w:lang w:eastAsia="zh-CN"/>
        </w:rPr>
        <w:t>，</w:t>
      </w:r>
      <w:r>
        <w:rPr>
          <w:rFonts w:hint="eastAsia"/>
          <w:lang w:val="en-US" w:eastAsia="zh-CN"/>
        </w:rPr>
        <w:t>2022年新购置公务用车一辆。</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（四）会议及培训费</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rPr>
      </w:pPr>
      <w:r>
        <w:rPr>
          <w:rFonts w:hint="eastAsia"/>
        </w:rPr>
        <w:t>会议费0万元，与上年度持平。</w:t>
      </w:r>
    </w:p>
    <w:p>
      <w:pPr>
        <w:pStyle w:val="22"/>
        <w:keepNext w:val="0"/>
        <w:keepLines w:val="0"/>
        <w:pageBreakBefore w:val="0"/>
        <w:widowControl/>
        <w:kinsoku/>
        <w:wordWrap/>
        <w:overflowPunct/>
        <w:topLinePunct w:val="0"/>
        <w:autoSpaceDE/>
        <w:autoSpaceDN/>
        <w:bidi w:val="0"/>
        <w:adjustRightInd/>
        <w:snapToGrid/>
        <w:ind w:firstLine="560" w:firstLineChars="200"/>
        <w:textAlignment w:val="auto"/>
      </w:pPr>
      <w:r>
        <w:rPr>
          <w:rFonts w:hint="eastAsia"/>
        </w:rPr>
        <w:t>培训费5</w:t>
      </w:r>
      <w:r>
        <w:rPr>
          <w:rFonts w:hint="eastAsia"/>
          <w:lang w:val="en-US" w:eastAsia="zh-CN"/>
        </w:rPr>
        <w:t>0</w:t>
      </w:r>
      <w:r>
        <w:rPr>
          <w:rFonts w:hint="eastAsia"/>
        </w:rPr>
        <w:t>万元，比上年度</w:t>
      </w:r>
      <w:r>
        <w:rPr>
          <w:rFonts w:hint="eastAsia"/>
          <w:lang w:eastAsia="zh-CN"/>
        </w:rPr>
        <w:t>减少</w:t>
      </w:r>
      <w:r>
        <w:rPr>
          <w:rFonts w:hint="eastAsia"/>
          <w:lang w:val="en-US" w:eastAsia="zh-CN"/>
        </w:rPr>
        <w:t>2.98</w:t>
      </w:r>
      <w:r>
        <w:rPr>
          <w:rFonts w:hint="eastAsia"/>
        </w:rPr>
        <w:t>万元，用于开展“新时代 宁晋高质量赶超发展大讲堂”和</w:t>
      </w:r>
      <w:r>
        <w:rPr>
          <w:rFonts w:hint="eastAsia"/>
          <w:lang w:eastAsia="zh-CN"/>
        </w:rPr>
        <w:t>党员干部</w:t>
      </w:r>
      <w:r>
        <w:rPr>
          <w:rFonts w:hint="eastAsia"/>
        </w:rPr>
        <w:t>培训。</w:t>
      </w:r>
    </w:p>
    <w:p>
      <w:pPr>
        <w:pStyle w:val="23"/>
        <w:ind w:left="0" w:leftChars="0" w:firstLine="0" w:firstLineChars="0"/>
      </w:pP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1、党校信息化建设绩效目标表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一年完成全部支出</w:t>
            </w:r>
          </w:p>
        </w:tc>
        <w:tc>
          <w:tcPr>
            <w:tcW w:w="2466" w:type="dxa"/>
            <w:vAlign w:val="center"/>
          </w:tcPr>
          <w:p>
            <w:pPr>
              <w:pStyle w:val="12"/>
            </w:pPr>
            <w:r>
              <w:t>支出全部经费</w:t>
            </w:r>
          </w:p>
        </w:tc>
        <w:tc>
          <w:tcPr>
            <w:tcW w:w="2466" w:type="dxa"/>
            <w:vAlign w:val="center"/>
          </w:tcPr>
          <w:p>
            <w:pPr>
              <w:pStyle w:val="12"/>
            </w:pPr>
            <w:r>
              <w:t>≥5万元</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≤5万元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≥97百分比</w:t>
            </w:r>
          </w:p>
        </w:tc>
        <w:tc>
          <w:tcPr>
            <w:tcW w:w="2466"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保障工作完成</w:t>
            </w:r>
          </w:p>
        </w:tc>
        <w:tc>
          <w:tcPr>
            <w:tcW w:w="2466" w:type="dxa"/>
            <w:vAlign w:val="center"/>
          </w:tcPr>
          <w:p>
            <w:pPr>
              <w:pStyle w:val="12"/>
            </w:pPr>
            <w:r>
              <w:t>保障工作完成</w:t>
            </w:r>
          </w:p>
        </w:tc>
        <w:tc>
          <w:tcPr>
            <w:tcW w:w="2466" w:type="dxa"/>
            <w:vAlign w:val="center"/>
          </w:tcPr>
          <w:p>
            <w:pPr>
              <w:pStyle w:val="12"/>
            </w:pPr>
            <w:r>
              <w:t>≥98百分比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群众满意</w:t>
            </w:r>
          </w:p>
        </w:tc>
        <w:tc>
          <w:tcPr>
            <w:tcW w:w="2466" w:type="dxa"/>
            <w:vAlign w:val="center"/>
          </w:tcPr>
          <w:p>
            <w:pPr>
              <w:pStyle w:val="12"/>
            </w:pPr>
            <w:r>
              <w:t>≥95百分比</w:t>
            </w:r>
          </w:p>
        </w:tc>
        <w:tc>
          <w:tcPr>
            <w:tcW w:w="2466" w:type="dxa"/>
            <w:vAlign w:val="center"/>
          </w:tcPr>
          <w:p>
            <w:pPr>
              <w:pStyle w:val="12"/>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2、党员干部培训绩效目标表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一年完成全部支出</w:t>
            </w:r>
          </w:p>
        </w:tc>
        <w:tc>
          <w:tcPr>
            <w:tcW w:w="2466" w:type="dxa"/>
            <w:vAlign w:val="center"/>
          </w:tcPr>
          <w:p>
            <w:pPr>
              <w:pStyle w:val="12"/>
            </w:pPr>
            <w:r>
              <w:t>支出全部经费</w:t>
            </w:r>
          </w:p>
        </w:tc>
        <w:tc>
          <w:tcPr>
            <w:tcW w:w="2466" w:type="dxa"/>
            <w:vAlign w:val="center"/>
          </w:tcPr>
          <w:p>
            <w:pPr>
              <w:pStyle w:val="12"/>
            </w:pPr>
            <w:r>
              <w:t>≥10万元</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≤10万元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≥97百分比</w:t>
            </w:r>
          </w:p>
        </w:tc>
        <w:tc>
          <w:tcPr>
            <w:tcW w:w="2466"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保障工作完成</w:t>
            </w:r>
          </w:p>
        </w:tc>
        <w:tc>
          <w:tcPr>
            <w:tcW w:w="2466" w:type="dxa"/>
            <w:vAlign w:val="center"/>
          </w:tcPr>
          <w:p>
            <w:pPr>
              <w:pStyle w:val="12"/>
            </w:pPr>
            <w:r>
              <w:t>保障工作完成</w:t>
            </w:r>
          </w:p>
        </w:tc>
        <w:tc>
          <w:tcPr>
            <w:tcW w:w="2466" w:type="dxa"/>
            <w:vAlign w:val="center"/>
          </w:tcPr>
          <w:p>
            <w:pPr>
              <w:pStyle w:val="12"/>
            </w:pPr>
            <w:r>
              <w:t>≥98百分比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群众满意</w:t>
            </w:r>
          </w:p>
        </w:tc>
        <w:tc>
          <w:tcPr>
            <w:tcW w:w="2466" w:type="dxa"/>
            <w:vAlign w:val="center"/>
          </w:tcPr>
          <w:p>
            <w:pPr>
              <w:pStyle w:val="12"/>
            </w:pPr>
            <w:r>
              <w:t>≥95百分比</w:t>
            </w:r>
          </w:p>
        </w:tc>
        <w:tc>
          <w:tcPr>
            <w:tcW w:w="2466" w:type="dxa"/>
            <w:vAlign w:val="center"/>
          </w:tcPr>
          <w:p>
            <w:pPr>
              <w:pStyle w:val="12"/>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3、冬季取暖和夏季空调费绩效目标表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1.提高培训质量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一年完成全部支出</w:t>
            </w:r>
          </w:p>
        </w:tc>
        <w:tc>
          <w:tcPr>
            <w:tcW w:w="2466" w:type="dxa"/>
            <w:vAlign w:val="center"/>
          </w:tcPr>
          <w:p>
            <w:pPr>
              <w:pStyle w:val="12"/>
            </w:pPr>
            <w:r>
              <w:t>支出全部经费</w:t>
            </w:r>
          </w:p>
        </w:tc>
        <w:tc>
          <w:tcPr>
            <w:tcW w:w="2466" w:type="dxa"/>
            <w:vAlign w:val="center"/>
          </w:tcPr>
          <w:p>
            <w:pPr>
              <w:pStyle w:val="12"/>
            </w:pPr>
            <w:r>
              <w:t>≥5万元</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≤5万元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≥97百分比</w:t>
            </w:r>
          </w:p>
        </w:tc>
        <w:tc>
          <w:tcPr>
            <w:tcW w:w="2466"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保障工作完成</w:t>
            </w:r>
          </w:p>
        </w:tc>
        <w:tc>
          <w:tcPr>
            <w:tcW w:w="2466" w:type="dxa"/>
            <w:vAlign w:val="center"/>
          </w:tcPr>
          <w:p>
            <w:pPr>
              <w:pStyle w:val="12"/>
            </w:pPr>
            <w:r>
              <w:t>保障工作完成</w:t>
            </w:r>
          </w:p>
        </w:tc>
        <w:tc>
          <w:tcPr>
            <w:tcW w:w="2466" w:type="dxa"/>
            <w:vAlign w:val="center"/>
          </w:tcPr>
          <w:p>
            <w:pPr>
              <w:pStyle w:val="12"/>
            </w:pPr>
            <w:r>
              <w:t>≥98百分比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群众满意</w:t>
            </w:r>
          </w:p>
        </w:tc>
        <w:tc>
          <w:tcPr>
            <w:tcW w:w="2466" w:type="dxa"/>
            <w:vAlign w:val="center"/>
          </w:tcPr>
          <w:p>
            <w:pPr>
              <w:pStyle w:val="12"/>
            </w:pPr>
            <w:r>
              <w:t>≥95百分比</w:t>
            </w:r>
          </w:p>
        </w:tc>
        <w:tc>
          <w:tcPr>
            <w:tcW w:w="2466" w:type="dxa"/>
            <w:vAlign w:val="center"/>
          </w:tcPr>
          <w:p>
            <w:pPr>
              <w:pStyle w:val="12"/>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4、公益岗补贴绩效目标表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保障单位人员工资发放人数</w:t>
            </w:r>
          </w:p>
        </w:tc>
        <w:tc>
          <w:tcPr>
            <w:tcW w:w="2466" w:type="dxa"/>
            <w:vAlign w:val="center"/>
          </w:tcPr>
          <w:p>
            <w:pPr>
              <w:pStyle w:val="12"/>
            </w:pPr>
            <w:r>
              <w:t>保证单位人员工资发放的人数</w:t>
            </w:r>
          </w:p>
        </w:tc>
        <w:tc>
          <w:tcPr>
            <w:tcW w:w="2466" w:type="dxa"/>
            <w:vAlign w:val="center"/>
          </w:tcPr>
          <w:p>
            <w:pPr>
              <w:pStyle w:val="12"/>
            </w:pPr>
            <w:r>
              <w:t>14</w:t>
            </w:r>
          </w:p>
        </w:tc>
        <w:tc>
          <w:tcPr>
            <w:tcW w:w="2466"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工资发放计算准确率</w:t>
            </w:r>
          </w:p>
        </w:tc>
        <w:tc>
          <w:tcPr>
            <w:tcW w:w="2466" w:type="dxa"/>
            <w:vAlign w:val="center"/>
          </w:tcPr>
          <w:p>
            <w:pPr>
              <w:pStyle w:val="12"/>
            </w:pPr>
            <w:r>
              <w:t>实际发放工资额/应发放工资额*100%</w:t>
            </w:r>
          </w:p>
        </w:tc>
        <w:tc>
          <w:tcPr>
            <w:tcW w:w="2466" w:type="dxa"/>
            <w:vAlign w:val="center"/>
          </w:tcPr>
          <w:p>
            <w:pPr>
              <w:pStyle w:val="12"/>
            </w:pPr>
            <w:r>
              <w:t>100</w:t>
            </w:r>
          </w:p>
        </w:tc>
        <w:tc>
          <w:tcPr>
            <w:tcW w:w="2466"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按政策按时发放到位率</w:t>
            </w:r>
          </w:p>
        </w:tc>
        <w:tc>
          <w:tcPr>
            <w:tcW w:w="2466" w:type="dxa"/>
            <w:vAlign w:val="center"/>
          </w:tcPr>
          <w:p>
            <w:pPr>
              <w:pStyle w:val="12"/>
            </w:pPr>
            <w:r>
              <w:t>实际按规定发放时间次数/全部发放次数*100%</w:t>
            </w:r>
          </w:p>
        </w:tc>
        <w:tc>
          <w:tcPr>
            <w:tcW w:w="2466" w:type="dxa"/>
            <w:vAlign w:val="center"/>
          </w:tcPr>
          <w:p>
            <w:pPr>
              <w:pStyle w:val="12"/>
            </w:pPr>
            <w:r>
              <w:t>≥90</w:t>
            </w:r>
          </w:p>
        </w:tc>
        <w:tc>
          <w:tcPr>
            <w:tcW w:w="2466"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工资成本</w:t>
            </w:r>
          </w:p>
        </w:tc>
        <w:tc>
          <w:tcPr>
            <w:tcW w:w="2466" w:type="dxa"/>
            <w:vAlign w:val="center"/>
          </w:tcPr>
          <w:p>
            <w:pPr>
              <w:pStyle w:val="12"/>
            </w:pPr>
            <w:r>
              <w:t>人均经费达到政策要求</w:t>
            </w:r>
          </w:p>
        </w:tc>
        <w:tc>
          <w:tcPr>
            <w:tcW w:w="2466" w:type="dxa"/>
            <w:vAlign w:val="center"/>
          </w:tcPr>
          <w:p>
            <w:pPr>
              <w:pStyle w:val="12"/>
            </w:pPr>
            <w:r>
              <w:t>≥5000</w:t>
            </w:r>
          </w:p>
        </w:tc>
        <w:tc>
          <w:tcPr>
            <w:tcW w:w="2466" w:type="dxa"/>
            <w:vAlign w:val="center"/>
          </w:tcPr>
          <w:p>
            <w:pPr>
              <w:pStyle w:val="12"/>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职工评价</w:t>
            </w:r>
          </w:p>
        </w:tc>
        <w:tc>
          <w:tcPr>
            <w:tcW w:w="2466" w:type="dxa"/>
            <w:vAlign w:val="center"/>
          </w:tcPr>
          <w:p>
            <w:pPr>
              <w:pStyle w:val="12"/>
            </w:pPr>
            <w:r>
              <w:t>职工对工资发放工作的评价</w:t>
            </w:r>
          </w:p>
        </w:tc>
        <w:tc>
          <w:tcPr>
            <w:tcW w:w="2466" w:type="dxa"/>
            <w:vAlign w:val="center"/>
          </w:tcPr>
          <w:p>
            <w:pPr>
              <w:pStyle w:val="12"/>
            </w:pPr>
            <w:r>
              <w:t>≥90</w:t>
            </w:r>
          </w:p>
        </w:tc>
        <w:tc>
          <w:tcPr>
            <w:tcW w:w="246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重点工作完成率</w:t>
            </w:r>
          </w:p>
        </w:tc>
        <w:tc>
          <w:tcPr>
            <w:tcW w:w="2466" w:type="dxa"/>
            <w:vAlign w:val="center"/>
          </w:tcPr>
          <w:p>
            <w:pPr>
              <w:pStyle w:val="12"/>
            </w:pPr>
            <w:r>
              <w:t>重点工作完成的占全部重点工作的比重</w:t>
            </w:r>
          </w:p>
        </w:tc>
        <w:tc>
          <w:tcPr>
            <w:tcW w:w="2466" w:type="dxa"/>
            <w:vAlign w:val="center"/>
          </w:tcPr>
          <w:p>
            <w:pPr>
              <w:pStyle w:val="12"/>
            </w:pPr>
            <w:r>
              <w:t>≥100</w:t>
            </w:r>
          </w:p>
        </w:tc>
        <w:tc>
          <w:tcPr>
            <w:tcW w:w="246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年终考核成绩</w:t>
            </w:r>
          </w:p>
        </w:tc>
        <w:tc>
          <w:tcPr>
            <w:tcW w:w="2466" w:type="dxa"/>
            <w:vAlign w:val="center"/>
          </w:tcPr>
          <w:p>
            <w:pPr>
              <w:pStyle w:val="12"/>
            </w:pPr>
            <w:r>
              <w:t>单位人员年终考核成绩</w:t>
            </w:r>
          </w:p>
        </w:tc>
        <w:tc>
          <w:tcPr>
            <w:tcW w:w="2466" w:type="dxa"/>
            <w:vAlign w:val="center"/>
          </w:tcPr>
          <w:p>
            <w:pPr>
              <w:pStyle w:val="12"/>
            </w:pPr>
            <w:r>
              <w:t>全部良以上</w:t>
            </w:r>
          </w:p>
        </w:tc>
        <w:tc>
          <w:tcPr>
            <w:tcW w:w="2466"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生态保护影响力</w:t>
            </w:r>
          </w:p>
        </w:tc>
        <w:tc>
          <w:tcPr>
            <w:tcW w:w="2466" w:type="dxa"/>
            <w:vAlign w:val="center"/>
          </w:tcPr>
          <w:p>
            <w:pPr>
              <w:pStyle w:val="12"/>
            </w:pPr>
            <w:r>
              <w:t>促进本单位持续、稳定发展</w:t>
            </w:r>
          </w:p>
        </w:tc>
        <w:tc>
          <w:tcPr>
            <w:tcW w:w="2466" w:type="dxa"/>
            <w:vAlign w:val="center"/>
          </w:tcPr>
          <w:p>
            <w:pPr>
              <w:pStyle w:val="12"/>
            </w:pPr>
            <w:r>
              <w:t>全部良以上</w:t>
            </w:r>
          </w:p>
        </w:tc>
        <w:tc>
          <w:tcPr>
            <w:tcW w:w="2466"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社会评价</w:t>
            </w:r>
          </w:p>
        </w:tc>
        <w:tc>
          <w:tcPr>
            <w:tcW w:w="2466" w:type="dxa"/>
            <w:vAlign w:val="center"/>
          </w:tcPr>
          <w:p>
            <w:pPr>
              <w:pStyle w:val="12"/>
            </w:pPr>
            <w:r>
              <w:t>社会公众满意度</w:t>
            </w:r>
          </w:p>
        </w:tc>
        <w:tc>
          <w:tcPr>
            <w:tcW w:w="2466" w:type="dxa"/>
            <w:vAlign w:val="center"/>
          </w:tcPr>
          <w:p>
            <w:pPr>
              <w:pStyle w:val="12"/>
            </w:pPr>
            <w:r>
              <w:t>≥90</w:t>
            </w:r>
          </w:p>
        </w:tc>
        <w:tc>
          <w:tcPr>
            <w:tcW w:w="2466" w:type="dxa"/>
            <w:vAlign w:val="center"/>
          </w:tcPr>
          <w:p>
            <w:pPr>
              <w:pStyle w:val="12"/>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5、举办2023年度“新时代·宁晋县高质量发展大讲堂”绩效目标表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1.保障培训质量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资金全部支出</w:t>
            </w:r>
          </w:p>
        </w:tc>
        <w:tc>
          <w:tcPr>
            <w:tcW w:w="2466" w:type="dxa"/>
            <w:vAlign w:val="center"/>
          </w:tcPr>
          <w:p>
            <w:pPr>
              <w:pStyle w:val="12"/>
            </w:pPr>
            <w:r>
              <w:t>支出全部经费</w:t>
            </w:r>
          </w:p>
        </w:tc>
        <w:tc>
          <w:tcPr>
            <w:tcW w:w="2466" w:type="dxa"/>
            <w:vAlign w:val="center"/>
          </w:tcPr>
          <w:p>
            <w:pPr>
              <w:pStyle w:val="12"/>
            </w:pPr>
            <w:r>
              <w:t>≥40万元（支出全部经费）</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≥95百分比（培训质量提高）</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资金成本</w:t>
            </w:r>
          </w:p>
        </w:tc>
        <w:tc>
          <w:tcPr>
            <w:tcW w:w="2466" w:type="dxa"/>
            <w:vAlign w:val="center"/>
          </w:tcPr>
          <w:p>
            <w:pPr>
              <w:pStyle w:val="12"/>
            </w:pPr>
            <w:r>
              <w:t>≤40万元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≥98百分比</w:t>
            </w:r>
          </w:p>
        </w:tc>
        <w:tc>
          <w:tcPr>
            <w:tcW w:w="2466" w:type="dxa"/>
            <w:vAlign w:val="center"/>
          </w:tcPr>
          <w:p>
            <w:pPr>
              <w:pStyle w:val="12"/>
            </w:pPr>
            <w:r>
              <w:t>业能力增强务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提高支出效率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提高培训质量</w:t>
            </w:r>
          </w:p>
        </w:tc>
        <w:tc>
          <w:tcPr>
            <w:tcW w:w="2466" w:type="dxa"/>
            <w:vAlign w:val="center"/>
          </w:tcPr>
          <w:p>
            <w:pPr>
              <w:pStyle w:val="12"/>
            </w:pPr>
            <w:r>
              <w:t>培训质量</w:t>
            </w:r>
          </w:p>
        </w:tc>
        <w:tc>
          <w:tcPr>
            <w:tcW w:w="2466" w:type="dxa"/>
            <w:vAlign w:val="center"/>
          </w:tcPr>
          <w:p>
            <w:pPr>
              <w:pStyle w:val="12"/>
            </w:pPr>
            <w:r>
              <w:t>≥98百分比</w:t>
            </w:r>
          </w:p>
        </w:tc>
        <w:tc>
          <w:tcPr>
            <w:tcW w:w="2466" w:type="dxa"/>
            <w:vAlign w:val="center"/>
          </w:tcPr>
          <w:p>
            <w:pPr>
              <w:pStyle w:val="12"/>
            </w:pPr>
            <w:r>
              <w:t>提高质量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培训对象满意</w:t>
            </w:r>
          </w:p>
        </w:tc>
        <w:tc>
          <w:tcPr>
            <w:tcW w:w="2466" w:type="dxa"/>
            <w:vAlign w:val="center"/>
          </w:tcPr>
          <w:p>
            <w:pPr>
              <w:pStyle w:val="12"/>
            </w:pPr>
            <w:r>
              <w:t>培训对象满意</w:t>
            </w:r>
          </w:p>
        </w:tc>
        <w:tc>
          <w:tcPr>
            <w:tcW w:w="2466" w:type="dxa"/>
            <w:vAlign w:val="center"/>
          </w:tcPr>
          <w:p>
            <w:pPr>
              <w:pStyle w:val="12"/>
            </w:pPr>
            <w:r>
              <w:t>≥95百分比</w:t>
            </w:r>
          </w:p>
        </w:tc>
        <w:tc>
          <w:tcPr>
            <w:tcW w:w="2466" w:type="dxa"/>
            <w:vAlign w:val="center"/>
          </w:tcPr>
          <w:p>
            <w:pPr>
              <w:pStyle w:val="12"/>
            </w:pPr>
            <w:r>
              <w:t>满意率</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6、科研经费绩效目标表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1.提高科研水平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一年完成全部支出</w:t>
            </w:r>
          </w:p>
        </w:tc>
        <w:tc>
          <w:tcPr>
            <w:tcW w:w="2466" w:type="dxa"/>
            <w:vAlign w:val="center"/>
          </w:tcPr>
          <w:p>
            <w:pPr>
              <w:pStyle w:val="12"/>
            </w:pPr>
            <w:r>
              <w:t>支出全部经费</w:t>
            </w:r>
          </w:p>
        </w:tc>
        <w:tc>
          <w:tcPr>
            <w:tcW w:w="2466" w:type="dxa"/>
            <w:vAlign w:val="center"/>
          </w:tcPr>
          <w:p>
            <w:pPr>
              <w:pStyle w:val="12"/>
            </w:pPr>
            <w:r>
              <w:t>≥20万元</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≤20万元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≥97百分比</w:t>
            </w:r>
          </w:p>
        </w:tc>
        <w:tc>
          <w:tcPr>
            <w:tcW w:w="2466"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保障工作完成</w:t>
            </w:r>
          </w:p>
        </w:tc>
        <w:tc>
          <w:tcPr>
            <w:tcW w:w="2466" w:type="dxa"/>
            <w:vAlign w:val="center"/>
          </w:tcPr>
          <w:p>
            <w:pPr>
              <w:pStyle w:val="12"/>
            </w:pPr>
            <w:r>
              <w:t>保障工作完成</w:t>
            </w:r>
          </w:p>
        </w:tc>
        <w:tc>
          <w:tcPr>
            <w:tcW w:w="2466" w:type="dxa"/>
            <w:vAlign w:val="center"/>
          </w:tcPr>
          <w:p>
            <w:pPr>
              <w:pStyle w:val="12"/>
            </w:pPr>
            <w:r>
              <w:t>≥98百分比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群众满意</w:t>
            </w:r>
          </w:p>
        </w:tc>
        <w:tc>
          <w:tcPr>
            <w:tcW w:w="2466" w:type="dxa"/>
            <w:vAlign w:val="center"/>
          </w:tcPr>
          <w:p>
            <w:pPr>
              <w:pStyle w:val="12"/>
            </w:pPr>
            <w:r>
              <w:t>≥95百分比</w:t>
            </w:r>
          </w:p>
        </w:tc>
        <w:tc>
          <w:tcPr>
            <w:tcW w:w="2466" w:type="dxa"/>
            <w:vAlign w:val="center"/>
          </w:tcPr>
          <w:p>
            <w:pPr>
              <w:pStyle w:val="12"/>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7、图书馆和四史教育展馆提升建设绩效目标表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1.按时支出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一年完成全部支出</w:t>
            </w:r>
          </w:p>
        </w:tc>
        <w:tc>
          <w:tcPr>
            <w:tcW w:w="2466" w:type="dxa"/>
            <w:vAlign w:val="center"/>
          </w:tcPr>
          <w:p>
            <w:pPr>
              <w:pStyle w:val="12"/>
            </w:pPr>
            <w:r>
              <w:t>支出全部经费</w:t>
            </w:r>
          </w:p>
        </w:tc>
        <w:tc>
          <w:tcPr>
            <w:tcW w:w="2466" w:type="dxa"/>
            <w:vAlign w:val="center"/>
          </w:tcPr>
          <w:p>
            <w:pPr>
              <w:pStyle w:val="12"/>
            </w:pPr>
            <w:r>
              <w:t>≥5万元</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≤5万元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≥97百分比</w:t>
            </w:r>
          </w:p>
        </w:tc>
        <w:tc>
          <w:tcPr>
            <w:tcW w:w="2466"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保障工作完成</w:t>
            </w:r>
          </w:p>
        </w:tc>
        <w:tc>
          <w:tcPr>
            <w:tcW w:w="2466" w:type="dxa"/>
            <w:vAlign w:val="center"/>
          </w:tcPr>
          <w:p>
            <w:pPr>
              <w:pStyle w:val="12"/>
            </w:pPr>
            <w:r>
              <w:t>保障工作完成</w:t>
            </w:r>
          </w:p>
        </w:tc>
        <w:tc>
          <w:tcPr>
            <w:tcW w:w="2466" w:type="dxa"/>
            <w:vAlign w:val="center"/>
          </w:tcPr>
          <w:p>
            <w:pPr>
              <w:pStyle w:val="12"/>
            </w:pPr>
            <w:r>
              <w:t>≥98百分比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群众满意</w:t>
            </w:r>
          </w:p>
        </w:tc>
        <w:tc>
          <w:tcPr>
            <w:tcW w:w="2466" w:type="dxa"/>
            <w:vAlign w:val="center"/>
          </w:tcPr>
          <w:p>
            <w:pPr>
              <w:pStyle w:val="12"/>
            </w:pPr>
            <w:r>
              <w:t>≥95百分比</w:t>
            </w:r>
          </w:p>
        </w:tc>
        <w:tc>
          <w:tcPr>
            <w:tcW w:w="2466" w:type="dxa"/>
            <w:vAlign w:val="center"/>
          </w:tcPr>
          <w:p>
            <w:pPr>
              <w:pStyle w:val="12"/>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8、乡镇党校建设绩效目标表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1.按时支出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一年完成全部支出</w:t>
            </w:r>
          </w:p>
        </w:tc>
        <w:tc>
          <w:tcPr>
            <w:tcW w:w="2466" w:type="dxa"/>
            <w:vAlign w:val="center"/>
          </w:tcPr>
          <w:p>
            <w:pPr>
              <w:pStyle w:val="12"/>
            </w:pPr>
            <w:r>
              <w:t>支出全部经费</w:t>
            </w:r>
          </w:p>
        </w:tc>
        <w:tc>
          <w:tcPr>
            <w:tcW w:w="2466" w:type="dxa"/>
            <w:vAlign w:val="center"/>
          </w:tcPr>
          <w:p>
            <w:pPr>
              <w:pStyle w:val="12"/>
            </w:pPr>
            <w:r>
              <w:t>≥0.5万元</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≥100百分比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≤0.5万元</w:t>
            </w:r>
          </w:p>
        </w:tc>
        <w:tc>
          <w:tcPr>
            <w:tcW w:w="246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持续高质量完成</w:t>
            </w:r>
          </w:p>
        </w:tc>
        <w:tc>
          <w:tcPr>
            <w:tcW w:w="2466" w:type="dxa"/>
            <w:vAlign w:val="center"/>
          </w:tcPr>
          <w:p>
            <w:pPr>
              <w:pStyle w:val="12"/>
            </w:pPr>
            <w:r>
              <w:t>高质量完成</w:t>
            </w:r>
          </w:p>
        </w:tc>
        <w:tc>
          <w:tcPr>
            <w:tcW w:w="2466" w:type="dxa"/>
            <w:vAlign w:val="center"/>
          </w:tcPr>
          <w:p>
            <w:pPr>
              <w:pStyle w:val="12"/>
            </w:pPr>
            <w:r>
              <w:t>≥97百分比</w:t>
            </w:r>
          </w:p>
        </w:tc>
        <w:tc>
          <w:tcPr>
            <w:tcW w:w="2466" w:type="dxa"/>
            <w:vAlign w:val="center"/>
          </w:tcPr>
          <w:p>
            <w:pPr>
              <w:pStyle w:val="12"/>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提高效率</w:t>
            </w:r>
          </w:p>
        </w:tc>
        <w:tc>
          <w:tcPr>
            <w:tcW w:w="2466" w:type="dxa"/>
            <w:vAlign w:val="center"/>
          </w:tcPr>
          <w:p>
            <w:pPr>
              <w:pStyle w:val="12"/>
            </w:pPr>
            <w:r>
              <w:t>提高效率</w:t>
            </w:r>
          </w:p>
        </w:tc>
        <w:tc>
          <w:tcPr>
            <w:tcW w:w="2466" w:type="dxa"/>
            <w:vAlign w:val="center"/>
          </w:tcPr>
          <w:p>
            <w:pPr>
              <w:pStyle w:val="12"/>
            </w:pPr>
            <w:r>
              <w:t>≥98百分比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保障工作完成</w:t>
            </w:r>
          </w:p>
        </w:tc>
        <w:tc>
          <w:tcPr>
            <w:tcW w:w="2466" w:type="dxa"/>
            <w:vAlign w:val="center"/>
          </w:tcPr>
          <w:p>
            <w:pPr>
              <w:pStyle w:val="12"/>
            </w:pPr>
            <w:r>
              <w:t>保障工作完成</w:t>
            </w:r>
          </w:p>
        </w:tc>
        <w:tc>
          <w:tcPr>
            <w:tcW w:w="2466" w:type="dxa"/>
            <w:vAlign w:val="center"/>
          </w:tcPr>
          <w:p>
            <w:pPr>
              <w:pStyle w:val="12"/>
            </w:pPr>
            <w:r>
              <w:t>≥98百分比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节约成本</w:t>
            </w:r>
          </w:p>
        </w:tc>
        <w:tc>
          <w:tcPr>
            <w:tcW w:w="2466" w:type="dxa"/>
            <w:vAlign w:val="center"/>
          </w:tcPr>
          <w:p>
            <w:pPr>
              <w:pStyle w:val="12"/>
            </w:pPr>
            <w:r>
              <w:t>节约成本</w:t>
            </w:r>
          </w:p>
        </w:tc>
        <w:tc>
          <w:tcPr>
            <w:tcW w:w="2466" w:type="dxa"/>
            <w:vAlign w:val="center"/>
          </w:tcPr>
          <w:p>
            <w:pPr>
              <w:pStyle w:val="12"/>
            </w:pPr>
            <w:r>
              <w:t>≥95百分比</w:t>
            </w:r>
          </w:p>
        </w:tc>
        <w:tc>
          <w:tcPr>
            <w:tcW w:w="2466" w:type="dxa"/>
            <w:vAlign w:val="center"/>
          </w:tcPr>
          <w:p>
            <w:pPr>
              <w:pStyle w:val="12"/>
            </w:pPr>
            <w:r>
              <w:t>节约成本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群众满意</w:t>
            </w:r>
          </w:p>
        </w:tc>
        <w:tc>
          <w:tcPr>
            <w:tcW w:w="2466" w:type="dxa"/>
            <w:vAlign w:val="center"/>
          </w:tcPr>
          <w:p>
            <w:pPr>
              <w:pStyle w:val="12"/>
            </w:pPr>
            <w:r>
              <w:t>群众满意</w:t>
            </w:r>
          </w:p>
        </w:tc>
        <w:tc>
          <w:tcPr>
            <w:tcW w:w="2466" w:type="dxa"/>
            <w:vAlign w:val="center"/>
          </w:tcPr>
          <w:p>
            <w:pPr>
              <w:pStyle w:val="12"/>
            </w:pPr>
            <w:r>
              <w:t>≥95百分比</w:t>
            </w:r>
          </w:p>
        </w:tc>
        <w:tc>
          <w:tcPr>
            <w:tcW w:w="2466" w:type="dxa"/>
            <w:vAlign w:val="center"/>
          </w:tcPr>
          <w:p>
            <w:pPr>
              <w:pStyle w:val="12"/>
            </w:pPr>
            <w:r>
              <w:t>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9、校园维修美化物业费绩效目标表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1.美化校园环境，提高教学质量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资金全部支出</w:t>
            </w:r>
          </w:p>
        </w:tc>
        <w:tc>
          <w:tcPr>
            <w:tcW w:w="2466" w:type="dxa"/>
            <w:vAlign w:val="center"/>
          </w:tcPr>
          <w:p>
            <w:pPr>
              <w:pStyle w:val="12"/>
            </w:pPr>
            <w:r>
              <w:t>资金全部支出</w:t>
            </w:r>
          </w:p>
        </w:tc>
        <w:tc>
          <w:tcPr>
            <w:tcW w:w="2466" w:type="dxa"/>
            <w:vAlign w:val="center"/>
          </w:tcPr>
          <w:p>
            <w:pPr>
              <w:pStyle w:val="12"/>
            </w:pPr>
            <w:r>
              <w:t>≥10万元</w:t>
            </w:r>
          </w:p>
        </w:tc>
        <w:tc>
          <w:tcPr>
            <w:tcW w:w="2466" w:type="dxa"/>
            <w:vAlign w:val="center"/>
          </w:tcPr>
          <w:p>
            <w:pPr>
              <w:pStyle w:val="12"/>
            </w:pPr>
            <w:r>
              <w:t>支出数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≥97百分比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资金成本</w:t>
            </w:r>
          </w:p>
        </w:tc>
        <w:tc>
          <w:tcPr>
            <w:tcW w:w="2466" w:type="dxa"/>
            <w:vAlign w:val="center"/>
          </w:tcPr>
          <w:p>
            <w:pPr>
              <w:pStyle w:val="12"/>
            </w:pPr>
            <w:r>
              <w:t>资金成本</w:t>
            </w:r>
          </w:p>
        </w:tc>
        <w:tc>
          <w:tcPr>
            <w:tcW w:w="2466" w:type="dxa"/>
            <w:vAlign w:val="center"/>
          </w:tcPr>
          <w:p>
            <w:pPr>
              <w:pStyle w:val="12"/>
            </w:pPr>
            <w:r>
              <w:t>≤10万元</w:t>
            </w:r>
          </w:p>
        </w:tc>
        <w:tc>
          <w:tcPr>
            <w:tcW w:w="2466" w:type="dxa"/>
            <w:vAlign w:val="center"/>
          </w:tcPr>
          <w:p>
            <w:pPr>
              <w:pStyle w:val="12"/>
            </w:pPr>
            <w:r>
              <w:t>成本数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可持续使用</w:t>
            </w:r>
          </w:p>
        </w:tc>
        <w:tc>
          <w:tcPr>
            <w:tcW w:w="2466" w:type="dxa"/>
            <w:vAlign w:val="center"/>
          </w:tcPr>
          <w:p>
            <w:pPr>
              <w:pStyle w:val="12"/>
            </w:pPr>
            <w:r>
              <w:t>可持续使用率</w:t>
            </w:r>
          </w:p>
        </w:tc>
        <w:tc>
          <w:tcPr>
            <w:tcW w:w="2466" w:type="dxa"/>
            <w:vAlign w:val="center"/>
          </w:tcPr>
          <w:p>
            <w:pPr>
              <w:pStyle w:val="12"/>
            </w:pPr>
            <w:r>
              <w:t>≥98百分比</w:t>
            </w:r>
          </w:p>
        </w:tc>
        <w:tc>
          <w:tcPr>
            <w:tcW w:w="2466" w:type="dxa"/>
            <w:vAlign w:val="center"/>
          </w:tcPr>
          <w:p>
            <w:pPr>
              <w:pStyle w:val="12"/>
            </w:pPr>
            <w:r>
              <w:t>持续使用率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项目工程完成情况</w:t>
            </w:r>
          </w:p>
        </w:tc>
        <w:tc>
          <w:tcPr>
            <w:tcW w:w="2466" w:type="dxa"/>
            <w:vAlign w:val="center"/>
          </w:tcPr>
          <w:p>
            <w:pPr>
              <w:pStyle w:val="12"/>
            </w:pPr>
            <w:r>
              <w:t>完成率</w:t>
            </w:r>
          </w:p>
        </w:tc>
        <w:tc>
          <w:tcPr>
            <w:tcW w:w="2466" w:type="dxa"/>
            <w:vAlign w:val="center"/>
          </w:tcPr>
          <w:p>
            <w:pPr>
              <w:pStyle w:val="12"/>
            </w:pPr>
            <w:r>
              <w:t>≥97百分比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节能环保减排</w:t>
            </w:r>
          </w:p>
        </w:tc>
        <w:tc>
          <w:tcPr>
            <w:tcW w:w="2466" w:type="dxa"/>
            <w:vAlign w:val="center"/>
          </w:tcPr>
          <w:p>
            <w:pPr>
              <w:pStyle w:val="12"/>
            </w:pPr>
            <w:r>
              <w:t>节能环保减排</w:t>
            </w:r>
          </w:p>
        </w:tc>
        <w:tc>
          <w:tcPr>
            <w:tcW w:w="2466" w:type="dxa"/>
            <w:vAlign w:val="center"/>
          </w:tcPr>
          <w:p>
            <w:pPr>
              <w:pStyle w:val="12"/>
            </w:pPr>
            <w:r>
              <w:t>≥97百分比</w:t>
            </w:r>
          </w:p>
        </w:tc>
        <w:tc>
          <w:tcPr>
            <w:tcW w:w="2466" w:type="dxa"/>
            <w:vAlign w:val="center"/>
          </w:tcPr>
          <w:p>
            <w:pPr>
              <w:pStyle w:val="12"/>
            </w:pPr>
            <w:r>
              <w:t>环境保护率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提高培训质量</w:t>
            </w:r>
          </w:p>
        </w:tc>
        <w:tc>
          <w:tcPr>
            <w:tcW w:w="2466" w:type="dxa"/>
            <w:vAlign w:val="center"/>
          </w:tcPr>
          <w:p>
            <w:pPr>
              <w:pStyle w:val="12"/>
            </w:pPr>
            <w:r>
              <w:t>提高培训质量</w:t>
            </w:r>
          </w:p>
        </w:tc>
        <w:tc>
          <w:tcPr>
            <w:tcW w:w="2466" w:type="dxa"/>
            <w:vAlign w:val="center"/>
          </w:tcPr>
          <w:p>
            <w:pPr>
              <w:pStyle w:val="12"/>
            </w:pPr>
            <w:r>
              <w:t>≥96百分比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使用者满意度</w:t>
            </w:r>
          </w:p>
        </w:tc>
        <w:tc>
          <w:tcPr>
            <w:tcW w:w="2466" w:type="dxa"/>
            <w:vAlign w:val="center"/>
          </w:tcPr>
          <w:p>
            <w:pPr>
              <w:pStyle w:val="12"/>
            </w:pPr>
            <w:r>
              <w:t>满意率</w:t>
            </w:r>
          </w:p>
        </w:tc>
        <w:tc>
          <w:tcPr>
            <w:tcW w:w="2466" w:type="dxa"/>
            <w:vAlign w:val="center"/>
          </w:tcPr>
          <w:p>
            <w:pPr>
              <w:pStyle w:val="12"/>
            </w:pPr>
            <w:r>
              <w:t>≥97百分比</w:t>
            </w:r>
          </w:p>
        </w:tc>
        <w:tc>
          <w:tcPr>
            <w:tcW w:w="2466" w:type="dxa"/>
            <w:vAlign w:val="center"/>
          </w:tcPr>
          <w:p>
            <w:pPr>
              <w:pStyle w:val="12"/>
            </w:pPr>
            <w:r>
              <w:t>满意率</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10、云视频系统网络费绩效目标表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1.保障培训质量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资金全部支出</w:t>
            </w:r>
          </w:p>
        </w:tc>
        <w:tc>
          <w:tcPr>
            <w:tcW w:w="2466" w:type="dxa"/>
            <w:vAlign w:val="center"/>
          </w:tcPr>
          <w:p>
            <w:pPr>
              <w:pStyle w:val="12"/>
            </w:pPr>
            <w:r>
              <w:t>资金全部支出</w:t>
            </w:r>
          </w:p>
        </w:tc>
        <w:tc>
          <w:tcPr>
            <w:tcW w:w="2466" w:type="dxa"/>
            <w:vAlign w:val="center"/>
          </w:tcPr>
          <w:p>
            <w:pPr>
              <w:pStyle w:val="12"/>
            </w:pPr>
            <w:r>
              <w:t>≥1.44万元</w:t>
            </w:r>
          </w:p>
        </w:tc>
        <w:tc>
          <w:tcPr>
            <w:tcW w:w="2466" w:type="dxa"/>
            <w:vAlign w:val="center"/>
          </w:tcPr>
          <w:p>
            <w:pPr>
              <w:pStyle w:val="12"/>
            </w:pPr>
            <w:r>
              <w:t>支出率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高质量支出</w:t>
            </w:r>
          </w:p>
        </w:tc>
        <w:tc>
          <w:tcPr>
            <w:tcW w:w="2466" w:type="dxa"/>
            <w:vAlign w:val="center"/>
          </w:tcPr>
          <w:p>
            <w:pPr>
              <w:pStyle w:val="12"/>
            </w:pPr>
            <w:r>
              <w:t>高质量支出</w:t>
            </w:r>
          </w:p>
        </w:tc>
        <w:tc>
          <w:tcPr>
            <w:tcW w:w="2466" w:type="dxa"/>
            <w:vAlign w:val="center"/>
          </w:tcPr>
          <w:p>
            <w:pPr>
              <w:pStyle w:val="12"/>
            </w:pPr>
            <w:r>
              <w:t>≥95百分比</w:t>
            </w:r>
          </w:p>
        </w:tc>
        <w:tc>
          <w:tcPr>
            <w:tcW w:w="2466" w:type="dxa"/>
            <w:vAlign w:val="center"/>
          </w:tcPr>
          <w:p>
            <w:pPr>
              <w:pStyle w:val="12"/>
            </w:pPr>
            <w:r>
              <w:t>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按时支出</w:t>
            </w:r>
          </w:p>
        </w:tc>
        <w:tc>
          <w:tcPr>
            <w:tcW w:w="2466" w:type="dxa"/>
            <w:vAlign w:val="center"/>
          </w:tcPr>
          <w:p>
            <w:pPr>
              <w:pStyle w:val="12"/>
            </w:pPr>
            <w:r>
              <w:t>按时支出</w:t>
            </w:r>
          </w:p>
        </w:tc>
        <w:tc>
          <w:tcPr>
            <w:tcW w:w="2466" w:type="dxa"/>
            <w:vAlign w:val="center"/>
          </w:tcPr>
          <w:p>
            <w:pPr>
              <w:pStyle w:val="12"/>
            </w:pPr>
            <w:r>
              <w:t>≥97百分比</w:t>
            </w:r>
          </w:p>
        </w:tc>
        <w:tc>
          <w:tcPr>
            <w:tcW w:w="2466" w:type="dxa"/>
            <w:vAlign w:val="center"/>
          </w:tcPr>
          <w:p>
            <w:pPr>
              <w:pStyle w:val="12"/>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资金成本</w:t>
            </w:r>
          </w:p>
        </w:tc>
        <w:tc>
          <w:tcPr>
            <w:tcW w:w="2466" w:type="dxa"/>
            <w:vAlign w:val="center"/>
          </w:tcPr>
          <w:p>
            <w:pPr>
              <w:pStyle w:val="12"/>
            </w:pPr>
            <w:r>
              <w:t>资金成本</w:t>
            </w:r>
          </w:p>
        </w:tc>
        <w:tc>
          <w:tcPr>
            <w:tcW w:w="2466" w:type="dxa"/>
            <w:vAlign w:val="center"/>
          </w:tcPr>
          <w:p>
            <w:pPr>
              <w:pStyle w:val="12"/>
            </w:pPr>
            <w:r>
              <w:t>≤1.44万元</w:t>
            </w:r>
          </w:p>
        </w:tc>
        <w:tc>
          <w:tcPr>
            <w:tcW w:w="2466" w:type="dxa"/>
            <w:vAlign w:val="center"/>
          </w:tcPr>
          <w:p>
            <w:pPr>
              <w:pStyle w:val="12"/>
            </w:pPr>
            <w:r>
              <w:t>成本数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可持续影响指标</w:t>
            </w:r>
          </w:p>
        </w:tc>
        <w:tc>
          <w:tcPr>
            <w:tcW w:w="2466" w:type="dxa"/>
            <w:vAlign w:val="center"/>
          </w:tcPr>
          <w:p>
            <w:pPr>
              <w:pStyle w:val="12"/>
            </w:pPr>
            <w:r>
              <w:t>可持续使用</w:t>
            </w:r>
          </w:p>
        </w:tc>
        <w:tc>
          <w:tcPr>
            <w:tcW w:w="2466" w:type="dxa"/>
            <w:vAlign w:val="center"/>
          </w:tcPr>
          <w:p>
            <w:pPr>
              <w:pStyle w:val="12"/>
            </w:pPr>
            <w:r>
              <w:t>可持续使用率</w:t>
            </w:r>
          </w:p>
        </w:tc>
        <w:tc>
          <w:tcPr>
            <w:tcW w:w="2466" w:type="dxa"/>
            <w:vAlign w:val="center"/>
          </w:tcPr>
          <w:p>
            <w:pPr>
              <w:pStyle w:val="12"/>
            </w:pPr>
            <w:r>
              <w:t>≥98百分比</w:t>
            </w:r>
          </w:p>
        </w:tc>
        <w:tc>
          <w:tcPr>
            <w:tcW w:w="2466" w:type="dxa"/>
            <w:vAlign w:val="center"/>
          </w:tcPr>
          <w:p>
            <w:pPr>
              <w:pStyle w:val="12"/>
            </w:pPr>
            <w:r>
              <w:t>持续使用率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项目工程完成情况</w:t>
            </w:r>
          </w:p>
        </w:tc>
        <w:tc>
          <w:tcPr>
            <w:tcW w:w="2466" w:type="dxa"/>
            <w:vAlign w:val="center"/>
          </w:tcPr>
          <w:p>
            <w:pPr>
              <w:pStyle w:val="12"/>
            </w:pPr>
            <w:r>
              <w:t>完成率</w:t>
            </w:r>
          </w:p>
        </w:tc>
        <w:tc>
          <w:tcPr>
            <w:tcW w:w="2466" w:type="dxa"/>
            <w:vAlign w:val="center"/>
          </w:tcPr>
          <w:p>
            <w:pPr>
              <w:pStyle w:val="12"/>
            </w:pPr>
            <w:r>
              <w:t>≥97百分比</w:t>
            </w:r>
          </w:p>
        </w:tc>
        <w:tc>
          <w:tcPr>
            <w:tcW w:w="2466" w:type="dxa"/>
            <w:vAlign w:val="center"/>
          </w:tcPr>
          <w:p>
            <w:pPr>
              <w:pStyle w:val="12"/>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社会效益指标</w:t>
            </w:r>
          </w:p>
        </w:tc>
        <w:tc>
          <w:tcPr>
            <w:tcW w:w="2466" w:type="dxa"/>
            <w:vAlign w:val="center"/>
          </w:tcPr>
          <w:p>
            <w:pPr>
              <w:pStyle w:val="12"/>
            </w:pPr>
            <w:r>
              <w:t>节能环保减排</w:t>
            </w:r>
          </w:p>
        </w:tc>
        <w:tc>
          <w:tcPr>
            <w:tcW w:w="2466" w:type="dxa"/>
            <w:vAlign w:val="center"/>
          </w:tcPr>
          <w:p>
            <w:pPr>
              <w:pStyle w:val="12"/>
            </w:pPr>
            <w:r>
              <w:t>节能环保减排</w:t>
            </w:r>
          </w:p>
        </w:tc>
        <w:tc>
          <w:tcPr>
            <w:tcW w:w="2466" w:type="dxa"/>
            <w:vAlign w:val="center"/>
          </w:tcPr>
          <w:p>
            <w:pPr>
              <w:pStyle w:val="12"/>
            </w:pPr>
            <w:r>
              <w:t>≥97百分比</w:t>
            </w:r>
          </w:p>
        </w:tc>
        <w:tc>
          <w:tcPr>
            <w:tcW w:w="2466" w:type="dxa"/>
            <w:vAlign w:val="center"/>
          </w:tcPr>
          <w:p>
            <w:pPr>
              <w:pStyle w:val="12"/>
            </w:pPr>
            <w:r>
              <w:t>环境保护率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提高培训质量</w:t>
            </w:r>
          </w:p>
        </w:tc>
        <w:tc>
          <w:tcPr>
            <w:tcW w:w="2466" w:type="dxa"/>
            <w:vAlign w:val="center"/>
          </w:tcPr>
          <w:p>
            <w:pPr>
              <w:pStyle w:val="12"/>
            </w:pPr>
            <w:r>
              <w:t>提高培训质量</w:t>
            </w:r>
          </w:p>
        </w:tc>
        <w:tc>
          <w:tcPr>
            <w:tcW w:w="2466" w:type="dxa"/>
            <w:vAlign w:val="center"/>
          </w:tcPr>
          <w:p>
            <w:pPr>
              <w:pStyle w:val="12"/>
            </w:pPr>
            <w:r>
              <w:t>≥96百分比</w:t>
            </w:r>
          </w:p>
        </w:tc>
        <w:tc>
          <w:tcPr>
            <w:tcW w:w="2466" w:type="dxa"/>
            <w:vAlign w:val="center"/>
          </w:tcPr>
          <w:p>
            <w:pPr>
              <w:pStyle w:val="12"/>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使用者满意度</w:t>
            </w:r>
          </w:p>
        </w:tc>
        <w:tc>
          <w:tcPr>
            <w:tcW w:w="2466" w:type="dxa"/>
            <w:vAlign w:val="center"/>
          </w:tcPr>
          <w:p>
            <w:pPr>
              <w:pStyle w:val="12"/>
            </w:pPr>
            <w:r>
              <w:t>满意率</w:t>
            </w:r>
          </w:p>
        </w:tc>
        <w:tc>
          <w:tcPr>
            <w:tcW w:w="2466" w:type="dxa"/>
            <w:vAlign w:val="center"/>
          </w:tcPr>
          <w:p>
            <w:pPr>
              <w:pStyle w:val="12"/>
            </w:pPr>
            <w:r>
              <w:t>≥97百分比</w:t>
            </w:r>
          </w:p>
        </w:tc>
        <w:tc>
          <w:tcPr>
            <w:tcW w:w="2466" w:type="dxa"/>
            <w:vAlign w:val="center"/>
          </w:tcPr>
          <w:p>
            <w:pPr>
              <w:pStyle w:val="12"/>
            </w:pPr>
            <w:r>
              <w:t>满意率</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2023年，中国共产党宁晋县委员会党校本级安排政府采购预算0.00万元。具体内容见下表。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中国共产党宁晋县委员会党校本级上年末固定资产金额为0.00万元（详见下表）。本年度拟购置固定资产总额为0.00万元，已按要求列入政府采购预算，详见政府采购预算表。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281001中国共产党宁晋县委员会党校本级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1"/>
            </w:pPr>
          </w:p>
        </w:tc>
        <w:tc>
          <w:tcPr>
            <w:tcW w:w="493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NjOWIzNzEzYWFhNTcxMWI0YWFjOWVhYzRhMTlhNmEifQ=="/>
  </w:docVars>
  <w:rsids>
    <w:rsidRoot w:val="0DAF474F"/>
    <w:rsid w:val="0DAF474F"/>
    <w:rsid w:val="3FCC7B39"/>
    <w:rsid w:val="6F4A4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uiPriority w:val="0"/>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2023-09-06T07:42:00Z</dcterms:created>
  <dc:creator>WPS_1663223393</dc:creator>
  <cp:lastModifiedBy>elsa112233</cp:lastModifiedBy>
  <dcterms:modified xsi:type="dcterms:W3CDTF">2024-01-31T07:43:42Z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5CD8C61DB6CE43E9A9A1A67BC7B67FDD</vt:lpwstr>
  </property>
</Properties>
</file>