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eastAsia="zh-CN"/>
        </w:rPr>
        <w:t>唐邱镇人民政府单位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1</w:t>
      </w:r>
    </w:p>
    <w:p>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0</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w:t>
      </w:r>
      <w:r>
        <w:rPr>
          <w:rFonts w:hint="eastAsia"/>
          <w:lang w:val="en-US" w:eastAsia="zh-CN"/>
        </w:rPr>
        <w:t>1</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val="en-US" w:eastAsia="zh-CN"/>
        </w:rPr>
        <w:t>2</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0</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1</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72"/>
          <w:lang w:eastAsia="zh-CN"/>
        </w:rPr>
        <w:t>唐邱镇人民政府</w:t>
      </w:r>
      <w:r>
        <w:rPr>
          <w:rFonts w:ascii="方正小标宋_GBK" w:hAnsi="方正小标宋_GBK" w:eastAsia="方正小标宋_GBK" w:cs="方正小标宋_GBK"/>
          <w:color w:val="000000"/>
          <w:sz w:val="72"/>
        </w:rPr>
        <w:t>单位预算</w:t>
      </w:r>
    </w:p>
    <w:p>
      <w:pPr>
        <w:jc w:val="center"/>
        <w:outlineLvl w:val="3"/>
      </w:pPr>
      <w:bookmarkStart w:id="0" w:name="_Toc_4_4_0000000019"/>
      <w:r>
        <w:rPr>
          <w:rFonts w:ascii="方正小标宋_GBK" w:hAnsi="方正小标宋_GBK" w:eastAsia="方正小标宋_GBK" w:cs="方正小标宋_GBK"/>
          <w:color w:val="000000"/>
          <w:sz w:val="44"/>
        </w:rPr>
        <w:t>一、宁晋县唐邱镇人民政府本级收支预算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1238.50</w:t>
            </w:r>
          </w:p>
        </w:tc>
        <w:tc>
          <w:tcPr>
            <w:tcW w:w="4535" w:type="dxa"/>
            <w:vAlign w:val="center"/>
          </w:tcPr>
          <w:p>
            <w:pPr>
              <w:pStyle w:val="12"/>
            </w:pPr>
            <w:r>
              <w:t>一、一般公共服务支出</w:t>
            </w:r>
          </w:p>
        </w:tc>
        <w:tc>
          <w:tcPr>
            <w:tcW w:w="2126" w:type="dxa"/>
            <w:vAlign w:val="center"/>
          </w:tcPr>
          <w:p>
            <w:pPr>
              <w:pStyle w:val="11"/>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216.32</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1454.81</w:t>
            </w:r>
          </w:p>
        </w:tc>
        <w:tc>
          <w:tcPr>
            <w:tcW w:w="4535" w:type="dxa"/>
            <w:vAlign w:val="center"/>
          </w:tcPr>
          <w:p>
            <w:pPr>
              <w:pStyle w:val="14"/>
            </w:pPr>
            <w:r>
              <w:t>本年支出合计</w:t>
            </w:r>
          </w:p>
        </w:tc>
        <w:tc>
          <w:tcPr>
            <w:tcW w:w="2126" w:type="dxa"/>
            <w:vAlign w:val="center"/>
          </w:tcPr>
          <w:p>
            <w:pPr>
              <w:pStyle w:val="15"/>
            </w:pPr>
            <w:r>
              <w:t>1454.81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1454.81</w:t>
            </w:r>
          </w:p>
        </w:tc>
        <w:tc>
          <w:tcPr>
            <w:tcW w:w="4535" w:type="dxa"/>
            <w:vAlign w:val="center"/>
          </w:tcPr>
          <w:p>
            <w:pPr>
              <w:pStyle w:val="14"/>
            </w:pPr>
            <w:r>
              <w:t>支出总计</w:t>
            </w:r>
          </w:p>
        </w:tc>
        <w:tc>
          <w:tcPr>
            <w:tcW w:w="2126" w:type="dxa"/>
            <w:vAlign w:val="center"/>
          </w:tcPr>
          <w:p>
            <w:pPr>
              <w:pStyle w:val="15"/>
            </w:pPr>
            <w:r>
              <w:t>1454.81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1454.81</w:t>
            </w:r>
          </w:p>
        </w:tc>
        <w:tc>
          <w:tcPr>
            <w:tcW w:w="1134" w:type="dxa"/>
            <w:vAlign w:val="center"/>
          </w:tcPr>
          <w:p>
            <w:pPr>
              <w:pStyle w:val="15"/>
            </w:pPr>
            <w:r>
              <w:t>1454.81</w:t>
            </w:r>
          </w:p>
        </w:tc>
        <w:tc>
          <w:tcPr>
            <w:tcW w:w="1134" w:type="dxa"/>
            <w:vAlign w:val="center"/>
          </w:tcPr>
          <w:p>
            <w:pPr>
              <w:pStyle w:val="15"/>
            </w:pPr>
            <w:r>
              <w:t>1454.81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555.50</w:t>
            </w:r>
          </w:p>
        </w:tc>
        <w:tc>
          <w:tcPr>
            <w:tcW w:w="1134" w:type="dxa"/>
            <w:vAlign w:val="center"/>
          </w:tcPr>
          <w:p>
            <w:pPr>
              <w:pStyle w:val="11"/>
            </w:pPr>
            <w:r>
              <w:t>555.50</w:t>
            </w:r>
          </w:p>
        </w:tc>
        <w:tc>
          <w:tcPr>
            <w:tcW w:w="1134" w:type="dxa"/>
            <w:vAlign w:val="center"/>
          </w:tcPr>
          <w:p>
            <w:pPr>
              <w:pStyle w:val="11"/>
            </w:pPr>
            <w:r>
              <w:t>555.50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515.38</w:t>
            </w:r>
          </w:p>
        </w:tc>
        <w:tc>
          <w:tcPr>
            <w:tcW w:w="1134" w:type="dxa"/>
            <w:vAlign w:val="center"/>
          </w:tcPr>
          <w:p>
            <w:pPr>
              <w:pStyle w:val="11"/>
            </w:pPr>
            <w:r>
              <w:t>515.38</w:t>
            </w:r>
          </w:p>
        </w:tc>
        <w:tc>
          <w:tcPr>
            <w:tcW w:w="1134" w:type="dxa"/>
            <w:vAlign w:val="center"/>
          </w:tcPr>
          <w:p>
            <w:pPr>
              <w:pStyle w:val="11"/>
            </w:pPr>
            <w:r>
              <w:t>515.38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420.50</w:t>
            </w:r>
          </w:p>
        </w:tc>
        <w:tc>
          <w:tcPr>
            <w:tcW w:w="1134" w:type="dxa"/>
            <w:vAlign w:val="center"/>
          </w:tcPr>
          <w:p>
            <w:pPr>
              <w:pStyle w:val="11"/>
            </w:pPr>
            <w:r>
              <w:t>420.50</w:t>
            </w:r>
          </w:p>
        </w:tc>
        <w:tc>
          <w:tcPr>
            <w:tcW w:w="1134" w:type="dxa"/>
            <w:vAlign w:val="center"/>
          </w:tcPr>
          <w:p>
            <w:pPr>
              <w:pStyle w:val="11"/>
            </w:pPr>
            <w:r>
              <w:t>420.50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84.88</w:t>
            </w:r>
          </w:p>
        </w:tc>
        <w:tc>
          <w:tcPr>
            <w:tcW w:w="1134" w:type="dxa"/>
            <w:vAlign w:val="center"/>
          </w:tcPr>
          <w:p>
            <w:pPr>
              <w:pStyle w:val="11"/>
            </w:pPr>
            <w:r>
              <w:t>84.88</w:t>
            </w:r>
          </w:p>
        </w:tc>
        <w:tc>
          <w:tcPr>
            <w:tcW w:w="1134" w:type="dxa"/>
            <w:vAlign w:val="center"/>
          </w:tcPr>
          <w:p>
            <w:pPr>
              <w:pStyle w:val="11"/>
            </w:pPr>
            <w:r>
              <w:t>84.88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2010308</w:t>
            </w:r>
          </w:p>
        </w:tc>
        <w:tc>
          <w:tcPr>
            <w:tcW w:w="1559" w:type="dxa"/>
            <w:vAlign w:val="center"/>
          </w:tcPr>
          <w:p>
            <w:pPr>
              <w:pStyle w:val="12"/>
            </w:pPr>
            <w:r>
              <w:t>信访事务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2013202</w:t>
            </w:r>
          </w:p>
        </w:tc>
        <w:tc>
          <w:tcPr>
            <w:tcW w:w="1559" w:type="dxa"/>
            <w:vAlign w:val="center"/>
          </w:tcPr>
          <w:p>
            <w:pPr>
              <w:pStyle w:val="12"/>
            </w:pPr>
            <w:r>
              <w:t>一般行政管理事务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78.76</w:t>
            </w:r>
          </w:p>
        </w:tc>
        <w:tc>
          <w:tcPr>
            <w:tcW w:w="1134" w:type="dxa"/>
            <w:vAlign w:val="center"/>
          </w:tcPr>
          <w:p>
            <w:pPr>
              <w:pStyle w:val="11"/>
            </w:pPr>
            <w:r>
              <w:t>78.76</w:t>
            </w:r>
          </w:p>
        </w:tc>
        <w:tc>
          <w:tcPr>
            <w:tcW w:w="1134" w:type="dxa"/>
            <w:vAlign w:val="center"/>
          </w:tcPr>
          <w:p>
            <w:pPr>
              <w:pStyle w:val="11"/>
            </w:pPr>
            <w:r>
              <w:t>78.76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68.41</w:t>
            </w:r>
          </w:p>
        </w:tc>
        <w:tc>
          <w:tcPr>
            <w:tcW w:w="1134" w:type="dxa"/>
            <w:vAlign w:val="center"/>
          </w:tcPr>
          <w:p>
            <w:pPr>
              <w:pStyle w:val="11"/>
            </w:pPr>
            <w:r>
              <w:t>68.41</w:t>
            </w:r>
          </w:p>
        </w:tc>
        <w:tc>
          <w:tcPr>
            <w:tcW w:w="1134" w:type="dxa"/>
            <w:vAlign w:val="center"/>
          </w:tcPr>
          <w:p>
            <w:pPr>
              <w:pStyle w:val="11"/>
            </w:pPr>
            <w:r>
              <w:t>68.41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58.41</w:t>
            </w:r>
          </w:p>
        </w:tc>
        <w:tc>
          <w:tcPr>
            <w:tcW w:w="1134" w:type="dxa"/>
            <w:vAlign w:val="center"/>
          </w:tcPr>
          <w:p>
            <w:pPr>
              <w:pStyle w:val="11"/>
            </w:pPr>
            <w:r>
              <w:t>58.41</w:t>
            </w:r>
          </w:p>
        </w:tc>
        <w:tc>
          <w:tcPr>
            <w:tcW w:w="1134" w:type="dxa"/>
            <w:vAlign w:val="center"/>
          </w:tcPr>
          <w:p>
            <w:pPr>
              <w:pStyle w:val="11"/>
            </w:pPr>
            <w:r>
              <w:t>58.41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96.76</w:t>
            </w:r>
          </w:p>
        </w:tc>
        <w:tc>
          <w:tcPr>
            <w:tcW w:w="1134" w:type="dxa"/>
            <w:vAlign w:val="center"/>
          </w:tcPr>
          <w:p>
            <w:pPr>
              <w:pStyle w:val="11"/>
            </w:pPr>
            <w:r>
              <w:t>96.76</w:t>
            </w:r>
          </w:p>
        </w:tc>
        <w:tc>
          <w:tcPr>
            <w:tcW w:w="1134" w:type="dxa"/>
            <w:vAlign w:val="center"/>
          </w:tcPr>
          <w:p>
            <w:pPr>
              <w:pStyle w:val="11"/>
            </w:pPr>
            <w:r>
              <w:t>96.76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1454.81</w:t>
            </w:r>
          </w:p>
        </w:tc>
        <w:tc>
          <w:tcPr>
            <w:tcW w:w="1361" w:type="dxa"/>
            <w:vAlign w:val="center"/>
          </w:tcPr>
          <w:p>
            <w:pPr>
              <w:pStyle w:val="15"/>
            </w:pPr>
            <w:r>
              <w:t>535.85</w:t>
            </w:r>
          </w:p>
        </w:tc>
        <w:tc>
          <w:tcPr>
            <w:tcW w:w="1361" w:type="dxa"/>
            <w:vAlign w:val="center"/>
          </w:tcPr>
          <w:p>
            <w:pPr>
              <w:pStyle w:val="15"/>
            </w:pPr>
            <w:r>
              <w:t>918.96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555.50</w:t>
            </w:r>
          </w:p>
        </w:tc>
        <w:tc>
          <w:tcPr>
            <w:tcW w:w="1361" w:type="dxa"/>
            <w:vAlign w:val="center"/>
          </w:tcPr>
          <w:p>
            <w:pPr>
              <w:pStyle w:val="11"/>
            </w:pPr>
            <w:r>
              <w:t>420.50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515.38</w:t>
            </w:r>
          </w:p>
        </w:tc>
        <w:tc>
          <w:tcPr>
            <w:tcW w:w="1361" w:type="dxa"/>
            <w:vAlign w:val="center"/>
          </w:tcPr>
          <w:p>
            <w:pPr>
              <w:pStyle w:val="11"/>
            </w:pPr>
            <w:r>
              <w:t>420.50</w:t>
            </w:r>
          </w:p>
        </w:tc>
        <w:tc>
          <w:tcPr>
            <w:tcW w:w="1361" w:type="dxa"/>
            <w:vAlign w:val="center"/>
          </w:tcPr>
          <w:p>
            <w:pPr>
              <w:pStyle w:val="11"/>
            </w:pPr>
            <w:r>
              <w:t>94.88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420.50</w:t>
            </w:r>
          </w:p>
        </w:tc>
        <w:tc>
          <w:tcPr>
            <w:tcW w:w="1361" w:type="dxa"/>
            <w:vAlign w:val="center"/>
          </w:tcPr>
          <w:p>
            <w:pPr>
              <w:pStyle w:val="11"/>
            </w:pPr>
            <w:r>
              <w:t>420.50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84.88</w:t>
            </w:r>
          </w:p>
        </w:tc>
        <w:tc>
          <w:tcPr>
            <w:tcW w:w="1361" w:type="dxa"/>
            <w:vAlign w:val="center"/>
          </w:tcPr>
          <w:p>
            <w:pPr>
              <w:pStyle w:val="11"/>
            </w:pPr>
          </w:p>
        </w:tc>
        <w:tc>
          <w:tcPr>
            <w:tcW w:w="1361" w:type="dxa"/>
            <w:vAlign w:val="center"/>
          </w:tcPr>
          <w:p>
            <w:pPr>
              <w:pStyle w:val="11"/>
            </w:pPr>
            <w:r>
              <w:t>84.88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2010308</w:t>
            </w:r>
          </w:p>
        </w:tc>
        <w:tc>
          <w:tcPr>
            <w:tcW w:w="4535" w:type="dxa"/>
            <w:vAlign w:val="center"/>
          </w:tcPr>
          <w:p>
            <w:pPr>
              <w:pStyle w:val="12"/>
            </w:pPr>
            <w:r>
              <w:t>信访事务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2013202</w:t>
            </w:r>
          </w:p>
        </w:tc>
        <w:tc>
          <w:tcPr>
            <w:tcW w:w="4535" w:type="dxa"/>
            <w:vAlign w:val="center"/>
          </w:tcPr>
          <w:p>
            <w:pPr>
              <w:pStyle w:val="12"/>
            </w:pPr>
            <w:r>
              <w:t>一般行政管理事务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78.76</w:t>
            </w:r>
          </w:p>
        </w:tc>
        <w:tc>
          <w:tcPr>
            <w:tcW w:w="1361" w:type="dxa"/>
            <w:vAlign w:val="center"/>
          </w:tcPr>
          <w:p>
            <w:pPr>
              <w:pStyle w:val="11"/>
            </w:pPr>
            <w:r>
              <w:t>63.53</w:t>
            </w:r>
          </w:p>
        </w:tc>
        <w:tc>
          <w:tcPr>
            <w:tcW w:w="1361" w:type="dxa"/>
            <w:vAlign w:val="center"/>
          </w:tcPr>
          <w:p>
            <w:pPr>
              <w:pStyle w:val="11"/>
            </w:pPr>
            <w:r>
              <w:t>15.23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68.41</w:t>
            </w:r>
          </w:p>
        </w:tc>
        <w:tc>
          <w:tcPr>
            <w:tcW w:w="1361" w:type="dxa"/>
            <w:vAlign w:val="center"/>
          </w:tcPr>
          <w:p>
            <w:pPr>
              <w:pStyle w:val="11"/>
            </w:pPr>
            <w:r>
              <w:t>53.18</w:t>
            </w:r>
          </w:p>
        </w:tc>
        <w:tc>
          <w:tcPr>
            <w:tcW w:w="1361" w:type="dxa"/>
            <w:vAlign w:val="center"/>
          </w:tcPr>
          <w:p>
            <w:pPr>
              <w:pStyle w:val="11"/>
            </w:pPr>
            <w:r>
              <w:t>15.23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58.41</w:t>
            </w:r>
          </w:p>
        </w:tc>
        <w:tc>
          <w:tcPr>
            <w:tcW w:w="1361" w:type="dxa"/>
            <w:vAlign w:val="center"/>
          </w:tcPr>
          <w:p>
            <w:pPr>
              <w:pStyle w:val="11"/>
            </w:pPr>
            <w:r>
              <w:t>43.18</w:t>
            </w:r>
          </w:p>
        </w:tc>
        <w:tc>
          <w:tcPr>
            <w:tcW w:w="1361" w:type="dxa"/>
            <w:vAlign w:val="center"/>
          </w:tcPr>
          <w:p>
            <w:pPr>
              <w:pStyle w:val="11"/>
            </w:pPr>
            <w:r>
              <w:t>15.23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1.35</w:t>
            </w:r>
          </w:p>
        </w:tc>
        <w:tc>
          <w:tcPr>
            <w:tcW w:w="1361" w:type="dxa"/>
            <w:vAlign w:val="center"/>
          </w:tcPr>
          <w:p>
            <w:pPr>
              <w:pStyle w:val="11"/>
            </w:pPr>
            <w:r>
              <w:t>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1.35</w:t>
            </w:r>
          </w:p>
        </w:tc>
        <w:tc>
          <w:tcPr>
            <w:tcW w:w="1361" w:type="dxa"/>
            <w:vAlign w:val="center"/>
          </w:tcPr>
          <w:p>
            <w:pPr>
              <w:pStyle w:val="11"/>
            </w:pPr>
            <w:r>
              <w:t>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96.76</w:t>
            </w:r>
          </w:p>
        </w:tc>
        <w:tc>
          <w:tcPr>
            <w:tcW w:w="1361" w:type="dxa"/>
            <w:vAlign w:val="center"/>
          </w:tcPr>
          <w:p>
            <w:pPr>
              <w:pStyle w:val="11"/>
            </w:pPr>
            <w:r>
              <w:t>19.43</w:t>
            </w: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19.43</w:t>
            </w:r>
          </w:p>
        </w:tc>
        <w:tc>
          <w:tcPr>
            <w:tcW w:w="1361" w:type="dxa"/>
            <w:vAlign w:val="center"/>
          </w:tcPr>
          <w:p>
            <w:pPr>
              <w:pStyle w:val="11"/>
            </w:pPr>
            <w:r>
              <w:t>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19.43</w:t>
            </w:r>
          </w:p>
        </w:tc>
        <w:tc>
          <w:tcPr>
            <w:tcW w:w="1361" w:type="dxa"/>
            <w:vAlign w:val="center"/>
          </w:tcPr>
          <w:p>
            <w:pPr>
              <w:pStyle w:val="11"/>
            </w:pPr>
            <w:r>
              <w:t>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32.39</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32.39</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32.39</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1238.50</w:t>
            </w:r>
          </w:p>
        </w:tc>
        <w:tc>
          <w:tcPr>
            <w:tcW w:w="3402" w:type="dxa"/>
            <w:vAlign w:val="center"/>
          </w:tcPr>
          <w:p>
            <w:pPr>
              <w:pStyle w:val="12"/>
            </w:pPr>
            <w:r>
              <w:t>一、一般公共服务支出</w:t>
            </w:r>
          </w:p>
        </w:tc>
        <w:tc>
          <w:tcPr>
            <w:tcW w:w="1474" w:type="dxa"/>
            <w:vAlign w:val="center"/>
          </w:tcPr>
          <w:p>
            <w:pPr>
              <w:pStyle w:val="11"/>
            </w:pPr>
            <w:r>
              <w:t>555.50</w:t>
            </w:r>
          </w:p>
        </w:tc>
        <w:tc>
          <w:tcPr>
            <w:tcW w:w="1474" w:type="dxa"/>
            <w:vAlign w:val="center"/>
          </w:tcPr>
          <w:p>
            <w:pPr>
              <w:pStyle w:val="11"/>
            </w:pPr>
            <w:r>
              <w:t>555.50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216.32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78.76</w:t>
            </w:r>
          </w:p>
        </w:tc>
        <w:tc>
          <w:tcPr>
            <w:tcW w:w="1474" w:type="dxa"/>
            <w:vAlign w:val="center"/>
          </w:tcPr>
          <w:p>
            <w:pPr>
              <w:pStyle w:val="11"/>
            </w:pPr>
            <w:r>
              <w:t>78.76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96.76</w:t>
            </w:r>
          </w:p>
        </w:tc>
        <w:tc>
          <w:tcPr>
            <w:tcW w:w="1474" w:type="dxa"/>
            <w:vAlign w:val="center"/>
          </w:tcPr>
          <w:p>
            <w:pPr>
              <w:pStyle w:val="11"/>
            </w:pPr>
            <w:r>
              <w:t>96.76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216.32</w:t>
            </w:r>
          </w:p>
        </w:tc>
        <w:tc>
          <w:tcPr>
            <w:tcW w:w="1474" w:type="dxa"/>
            <w:vAlign w:val="center"/>
          </w:tcPr>
          <w:p>
            <w:pPr>
              <w:pStyle w:val="11"/>
            </w:pPr>
          </w:p>
        </w:tc>
        <w:tc>
          <w:tcPr>
            <w:tcW w:w="1474" w:type="dxa"/>
            <w:vAlign w:val="center"/>
          </w:tcPr>
          <w:p>
            <w:pPr>
              <w:pStyle w:val="11"/>
            </w:pPr>
            <w:r>
              <w:t>216.32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315.09</w:t>
            </w:r>
          </w:p>
        </w:tc>
        <w:tc>
          <w:tcPr>
            <w:tcW w:w="1474" w:type="dxa"/>
            <w:vAlign w:val="center"/>
          </w:tcPr>
          <w:p>
            <w:pPr>
              <w:pStyle w:val="11"/>
            </w:pPr>
            <w:r>
              <w:t>315.09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160.00</w:t>
            </w:r>
          </w:p>
        </w:tc>
        <w:tc>
          <w:tcPr>
            <w:tcW w:w="1474" w:type="dxa"/>
            <w:vAlign w:val="center"/>
          </w:tcPr>
          <w:p>
            <w:pPr>
              <w:pStyle w:val="11"/>
            </w:pPr>
            <w:r>
              <w:t>160.00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32.39</w:t>
            </w:r>
          </w:p>
        </w:tc>
        <w:tc>
          <w:tcPr>
            <w:tcW w:w="1474" w:type="dxa"/>
            <w:vAlign w:val="center"/>
          </w:tcPr>
          <w:p>
            <w:pPr>
              <w:pStyle w:val="11"/>
            </w:pPr>
            <w:r>
              <w:t>32.39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1454.81</w:t>
            </w:r>
          </w:p>
        </w:tc>
        <w:tc>
          <w:tcPr>
            <w:tcW w:w="3402" w:type="dxa"/>
            <w:vAlign w:val="center"/>
          </w:tcPr>
          <w:p>
            <w:pPr>
              <w:pStyle w:val="14"/>
            </w:pPr>
            <w:r>
              <w:t>本年支出合计</w:t>
            </w:r>
          </w:p>
        </w:tc>
        <w:tc>
          <w:tcPr>
            <w:tcW w:w="1474" w:type="dxa"/>
            <w:vAlign w:val="center"/>
          </w:tcPr>
          <w:p>
            <w:pPr>
              <w:pStyle w:val="15"/>
            </w:pPr>
            <w:r>
              <w:t>1454.81</w:t>
            </w:r>
          </w:p>
        </w:tc>
        <w:tc>
          <w:tcPr>
            <w:tcW w:w="1474" w:type="dxa"/>
            <w:vAlign w:val="center"/>
          </w:tcPr>
          <w:p>
            <w:pPr>
              <w:pStyle w:val="15"/>
            </w:pPr>
            <w:r>
              <w:t>1238.50</w:t>
            </w:r>
          </w:p>
        </w:tc>
        <w:tc>
          <w:tcPr>
            <w:tcW w:w="1474" w:type="dxa"/>
            <w:vAlign w:val="center"/>
          </w:tcPr>
          <w:p>
            <w:pPr>
              <w:pStyle w:val="15"/>
            </w:pPr>
            <w:r>
              <w:t>216.32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1454.81</w:t>
            </w:r>
          </w:p>
        </w:tc>
        <w:tc>
          <w:tcPr>
            <w:tcW w:w="3402" w:type="dxa"/>
            <w:vAlign w:val="center"/>
          </w:tcPr>
          <w:p>
            <w:pPr>
              <w:pStyle w:val="14"/>
            </w:pPr>
            <w:r>
              <w:t>支出总计</w:t>
            </w:r>
          </w:p>
        </w:tc>
        <w:tc>
          <w:tcPr>
            <w:tcW w:w="1474" w:type="dxa"/>
            <w:vAlign w:val="center"/>
          </w:tcPr>
          <w:p>
            <w:pPr>
              <w:pStyle w:val="15"/>
            </w:pPr>
            <w:r>
              <w:t>1454.81</w:t>
            </w:r>
          </w:p>
        </w:tc>
        <w:tc>
          <w:tcPr>
            <w:tcW w:w="1474" w:type="dxa"/>
            <w:vAlign w:val="center"/>
          </w:tcPr>
          <w:p>
            <w:pPr>
              <w:pStyle w:val="15"/>
            </w:pPr>
            <w:r>
              <w:t>1238.50</w:t>
            </w:r>
          </w:p>
        </w:tc>
        <w:tc>
          <w:tcPr>
            <w:tcW w:w="1474" w:type="dxa"/>
            <w:vAlign w:val="center"/>
          </w:tcPr>
          <w:p>
            <w:pPr>
              <w:pStyle w:val="15"/>
            </w:pPr>
            <w:r>
              <w:t>216.32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1238.50</w:t>
            </w:r>
          </w:p>
        </w:tc>
        <w:tc>
          <w:tcPr>
            <w:tcW w:w="2551" w:type="dxa"/>
            <w:vAlign w:val="center"/>
          </w:tcPr>
          <w:p>
            <w:pPr>
              <w:pStyle w:val="15"/>
            </w:pPr>
            <w:r>
              <w:t>535.85</w:t>
            </w:r>
          </w:p>
        </w:tc>
        <w:tc>
          <w:tcPr>
            <w:tcW w:w="2551" w:type="dxa"/>
            <w:vAlign w:val="center"/>
          </w:tcPr>
          <w:p>
            <w:pPr>
              <w:pStyle w:val="15"/>
            </w:pPr>
            <w:r>
              <w:t>702.65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555.50</w:t>
            </w:r>
          </w:p>
        </w:tc>
        <w:tc>
          <w:tcPr>
            <w:tcW w:w="2551" w:type="dxa"/>
            <w:vAlign w:val="center"/>
          </w:tcPr>
          <w:p>
            <w:pPr>
              <w:pStyle w:val="11"/>
            </w:pPr>
            <w:r>
              <w:t>420.50</w:t>
            </w: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515.38</w:t>
            </w:r>
          </w:p>
        </w:tc>
        <w:tc>
          <w:tcPr>
            <w:tcW w:w="2551" w:type="dxa"/>
            <w:vAlign w:val="center"/>
          </w:tcPr>
          <w:p>
            <w:pPr>
              <w:pStyle w:val="11"/>
            </w:pPr>
            <w:r>
              <w:t>420.50</w:t>
            </w:r>
          </w:p>
        </w:tc>
        <w:tc>
          <w:tcPr>
            <w:tcW w:w="2551" w:type="dxa"/>
            <w:vAlign w:val="center"/>
          </w:tcPr>
          <w:p>
            <w:pPr>
              <w:pStyle w:val="11"/>
            </w:pPr>
            <w:r>
              <w:t>94.88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420.50</w:t>
            </w:r>
          </w:p>
        </w:tc>
        <w:tc>
          <w:tcPr>
            <w:tcW w:w="2551" w:type="dxa"/>
            <w:vAlign w:val="center"/>
          </w:tcPr>
          <w:p>
            <w:pPr>
              <w:pStyle w:val="11"/>
            </w:pPr>
            <w:r>
              <w:t>420.50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84.88</w:t>
            </w:r>
          </w:p>
        </w:tc>
        <w:tc>
          <w:tcPr>
            <w:tcW w:w="2551" w:type="dxa"/>
            <w:vAlign w:val="center"/>
          </w:tcPr>
          <w:p>
            <w:pPr>
              <w:pStyle w:val="11"/>
            </w:pPr>
          </w:p>
        </w:tc>
        <w:tc>
          <w:tcPr>
            <w:tcW w:w="2551" w:type="dxa"/>
            <w:vAlign w:val="center"/>
          </w:tcPr>
          <w:p>
            <w:pPr>
              <w:pStyle w:val="11"/>
            </w:pPr>
            <w:r>
              <w:t>84.88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2010308</w:t>
            </w:r>
          </w:p>
        </w:tc>
        <w:tc>
          <w:tcPr>
            <w:tcW w:w="4535" w:type="dxa"/>
            <w:vAlign w:val="center"/>
          </w:tcPr>
          <w:p>
            <w:pPr>
              <w:pStyle w:val="12"/>
            </w:pPr>
            <w:r>
              <w:t>信访事务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32.12</w:t>
            </w:r>
          </w:p>
        </w:tc>
        <w:tc>
          <w:tcPr>
            <w:tcW w:w="2551" w:type="dxa"/>
            <w:vAlign w:val="center"/>
          </w:tcPr>
          <w:p>
            <w:pPr>
              <w:pStyle w:val="11"/>
            </w:pPr>
          </w:p>
        </w:tc>
        <w:tc>
          <w:tcPr>
            <w:tcW w:w="2551" w:type="dxa"/>
            <w:vAlign w:val="center"/>
          </w:tcPr>
          <w:p>
            <w:pPr>
              <w:pStyle w:val="11"/>
            </w:pPr>
            <w:r>
              <w:t>32.12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32.12</w:t>
            </w:r>
          </w:p>
        </w:tc>
        <w:tc>
          <w:tcPr>
            <w:tcW w:w="2551" w:type="dxa"/>
            <w:vAlign w:val="center"/>
          </w:tcPr>
          <w:p>
            <w:pPr>
              <w:pStyle w:val="11"/>
            </w:pPr>
          </w:p>
        </w:tc>
        <w:tc>
          <w:tcPr>
            <w:tcW w:w="2551" w:type="dxa"/>
            <w:vAlign w:val="center"/>
          </w:tcPr>
          <w:p>
            <w:pPr>
              <w:pStyle w:val="11"/>
            </w:pPr>
            <w:r>
              <w:t>32.12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2013202</w:t>
            </w:r>
          </w:p>
        </w:tc>
        <w:tc>
          <w:tcPr>
            <w:tcW w:w="4535" w:type="dxa"/>
            <w:vAlign w:val="center"/>
          </w:tcPr>
          <w:p>
            <w:pPr>
              <w:pStyle w:val="12"/>
            </w:pPr>
            <w:r>
              <w:t>一般行政管理事务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78.76</w:t>
            </w:r>
          </w:p>
        </w:tc>
        <w:tc>
          <w:tcPr>
            <w:tcW w:w="2551" w:type="dxa"/>
            <w:vAlign w:val="center"/>
          </w:tcPr>
          <w:p>
            <w:pPr>
              <w:pStyle w:val="11"/>
            </w:pPr>
            <w:r>
              <w:t>63.53</w:t>
            </w:r>
          </w:p>
        </w:tc>
        <w:tc>
          <w:tcPr>
            <w:tcW w:w="2551"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68.41</w:t>
            </w:r>
          </w:p>
        </w:tc>
        <w:tc>
          <w:tcPr>
            <w:tcW w:w="2551" w:type="dxa"/>
            <w:vAlign w:val="center"/>
          </w:tcPr>
          <w:p>
            <w:pPr>
              <w:pStyle w:val="11"/>
            </w:pPr>
            <w:r>
              <w:t>53.18</w:t>
            </w:r>
          </w:p>
        </w:tc>
        <w:tc>
          <w:tcPr>
            <w:tcW w:w="2551"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58.41</w:t>
            </w:r>
          </w:p>
        </w:tc>
        <w:tc>
          <w:tcPr>
            <w:tcW w:w="2551" w:type="dxa"/>
            <w:vAlign w:val="center"/>
          </w:tcPr>
          <w:p>
            <w:pPr>
              <w:pStyle w:val="11"/>
            </w:pPr>
            <w:r>
              <w:t>43.18</w:t>
            </w:r>
          </w:p>
        </w:tc>
        <w:tc>
          <w:tcPr>
            <w:tcW w:w="2551"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96.76</w:t>
            </w:r>
          </w:p>
        </w:tc>
        <w:tc>
          <w:tcPr>
            <w:tcW w:w="2551" w:type="dxa"/>
            <w:vAlign w:val="center"/>
          </w:tcPr>
          <w:p>
            <w:pPr>
              <w:pStyle w:val="11"/>
            </w:pPr>
            <w:r>
              <w:t>19.43</w:t>
            </w:r>
          </w:p>
        </w:tc>
        <w:tc>
          <w:tcPr>
            <w:tcW w:w="2551" w:type="dxa"/>
            <w:vAlign w:val="center"/>
          </w:tcPr>
          <w:p>
            <w:pPr>
              <w:pStyle w:val="11"/>
            </w:pPr>
            <w:r>
              <w:t>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77.33</w:t>
            </w:r>
          </w:p>
        </w:tc>
        <w:tc>
          <w:tcPr>
            <w:tcW w:w="2551" w:type="dxa"/>
            <w:vAlign w:val="center"/>
          </w:tcPr>
          <w:p>
            <w:pPr>
              <w:pStyle w:val="11"/>
            </w:pPr>
          </w:p>
        </w:tc>
        <w:tc>
          <w:tcPr>
            <w:tcW w:w="2551" w:type="dxa"/>
            <w:vAlign w:val="center"/>
          </w:tcPr>
          <w:p>
            <w:pPr>
              <w:pStyle w:val="11"/>
            </w:pPr>
            <w:r>
              <w:t>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77.33</w:t>
            </w:r>
          </w:p>
        </w:tc>
        <w:tc>
          <w:tcPr>
            <w:tcW w:w="2551" w:type="dxa"/>
            <w:vAlign w:val="center"/>
          </w:tcPr>
          <w:p>
            <w:pPr>
              <w:pStyle w:val="11"/>
            </w:pPr>
          </w:p>
        </w:tc>
        <w:tc>
          <w:tcPr>
            <w:tcW w:w="2551" w:type="dxa"/>
            <w:vAlign w:val="center"/>
          </w:tcPr>
          <w:p>
            <w:pPr>
              <w:pStyle w:val="11"/>
            </w:pPr>
            <w:r>
              <w:t>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315.09</w:t>
            </w:r>
          </w:p>
        </w:tc>
        <w:tc>
          <w:tcPr>
            <w:tcW w:w="2551" w:type="dxa"/>
            <w:vAlign w:val="center"/>
          </w:tcPr>
          <w:p>
            <w:pPr>
              <w:pStyle w:val="11"/>
            </w:pPr>
          </w:p>
        </w:tc>
        <w:tc>
          <w:tcPr>
            <w:tcW w:w="2551"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315.09</w:t>
            </w:r>
          </w:p>
        </w:tc>
        <w:tc>
          <w:tcPr>
            <w:tcW w:w="2551" w:type="dxa"/>
            <w:vAlign w:val="center"/>
          </w:tcPr>
          <w:p>
            <w:pPr>
              <w:pStyle w:val="11"/>
            </w:pPr>
          </w:p>
        </w:tc>
        <w:tc>
          <w:tcPr>
            <w:tcW w:w="2551"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315.09</w:t>
            </w:r>
          </w:p>
        </w:tc>
        <w:tc>
          <w:tcPr>
            <w:tcW w:w="2551" w:type="dxa"/>
            <w:vAlign w:val="center"/>
          </w:tcPr>
          <w:p>
            <w:pPr>
              <w:pStyle w:val="11"/>
            </w:pPr>
          </w:p>
        </w:tc>
        <w:tc>
          <w:tcPr>
            <w:tcW w:w="2551"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535.85</w:t>
            </w:r>
          </w:p>
        </w:tc>
        <w:tc>
          <w:tcPr>
            <w:tcW w:w="2551" w:type="dxa"/>
            <w:vAlign w:val="center"/>
          </w:tcPr>
          <w:p>
            <w:pPr>
              <w:pStyle w:val="15"/>
            </w:pPr>
            <w:r>
              <w:t>457.56</w:t>
            </w:r>
          </w:p>
        </w:tc>
        <w:tc>
          <w:tcPr>
            <w:tcW w:w="2551" w:type="dxa"/>
            <w:vAlign w:val="center"/>
          </w:tcPr>
          <w:p>
            <w:pPr>
              <w:pStyle w:val="15"/>
            </w:pPr>
            <w:r>
              <w:t>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438.56</w:t>
            </w:r>
          </w:p>
        </w:tc>
        <w:tc>
          <w:tcPr>
            <w:tcW w:w="2551" w:type="dxa"/>
            <w:vAlign w:val="center"/>
          </w:tcPr>
          <w:p>
            <w:pPr>
              <w:pStyle w:val="11"/>
            </w:pPr>
            <w:r>
              <w:t>438.56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156.18</w:t>
            </w:r>
          </w:p>
        </w:tc>
        <w:tc>
          <w:tcPr>
            <w:tcW w:w="2551" w:type="dxa"/>
            <w:vAlign w:val="center"/>
          </w:tcPr>
          <w:p>
            <w:pPr>
              <w:pStyle w:val="11"/>
            </w:pPr>
            <w:r>
              <w:t>156.18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161.01</w:t>
            </w:r>
          </w:p>
        </w:tc>
        <w:tc>
          <w:tcPr>
            <w:tcW w:w="2551" w:type="dxa"/>
            <w:vAlign w:val="center"/>
          </w:tcPr>
          <w:p>
            <w:pPr>
              <w:pStyle w:val="11"/>
            </w:pPr>
            <w:r>
              <w:t>161.01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13.02</w:t>
            </w:r>
          </w:p>
        </w:tc>
        <w:tc>
          <w:tcPr>
            <w:tcW w:w="2551" w:type="dxa"/>
            <w:vAlign w:val="center"/>
          </w:tcPr>
          <w:p>
            <w:pPr>
              <w:pStyle w:val="11"/>
            </w:pPr>
            <w:r>
              <w:t>13.02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43.18</w:t>
            </w:r>
          </w:p>
        </w:tc>
        <w:tc>
          <w:tcPr>
            <w:tcW w:w="2551" w:type="dxa"/>
            <w:vAlign w:val="center"/>
          </w:tcPr>
          <w:p>
            <w:pPr>
              <w:pStyle w:val="11"/>
            </w:pPr>
            <w:r>
              <w:t>43.18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78.29</w:t>
            </w:r>
          </w:p>
        </w:tc>
        <w:tc>
          <w:tcPr>
            <w:tcW w:w="2551" w:type="dxa"/>
            <w:vAlign w:val="center"/>
          </w:tcPr>
          <w:p>
            <w:pPr>
              <w:pStyle w:val="11"/>
            </w:pPr>
          </w:p>
        </w:tc>
        <w:tc>
          <w:tcPr>
            <w:tcW w:w="2551" w:type="dxa"/>
            <w:vAlign w:val="center"/>
          </w:tcPr>
          <w:p>
            <w:pPr>
              <w:pStyle w:val="11"/>
            </w:pPr>
            <w:r>
              <w:t>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rPr>
                <w:rFonts w:hint="default" w:eastAsia="方正书宋_GBK"/>
                <w:lang w:val="en-US" w:eastAsia="zh-CN"/>
              </w:rPr>
            </w:pPr>
            <w:r>
              <w:rPr>
                <w:rFonts w:hint="eastAsia"/>
                <w:lang w:val="en-US" w:eastAsia="zh-CN"/>
              </w:rPr>
              <w:t>29.64</w:t>
            </w:r>
          </w:p>
        </w:tc>
        <w:tc>
          <w:tcPr>
            <w:tcW w:w="2551" w:type="dxa"/>
            <w:vAlign w:val="center"/>
          </w:tcPr>
          <w:p>
            <w:pPr>
              <w:pStyle w:val="11"/>
            </w:pPr>
          </w:p>
        </w:tc>
        <w:tc>
          <w:tcPr>
            <w:tcW w:w="2551" w:type="dxa"/>
            <w:vAlign w:val="center"/>
          </w:tcPr>
          <w:p>
            <w:pPr>
              <w:pStyle w:val="11"/>
              <w:rPr>
                <w:rFonts w:hint="default" w:eastAsia="方正书宋_GBK"/>
                <w:lang w:val="en-US" w:eastAsia="zh-CN"/>
              </w:rPr>
            </w:pPr>
            <w:r>
              <w:rPr>
                <w:rFonts w:hint="eastAsia"/>
                <w:lang w:val="en-US" w:eastAsia="zh-CN"/>
              </w:rP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9.50</w:t>
            </w:r>
          </w:p>
        </w:tc>
        <w:tc>
          <w:tcPr>
            <w:tcW w:w="2551" w:type="dxa"/>
            <w:vAlign w:val="center"/>
          </w:tcPr>
          <w:p>
            <w:pPr>
              <w:pStyle w:val="11"/>
            </w:pPr>
          </w:p>
        </w:tc>
        <w:tc>
          <w:tcPr>
            <w:tcW w:w="2551"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rPr>
                <w:rFonts w:hint="eastAsia"/>
                <w:lang w:val="en-US" w:eastAsia="zh-CN"/>
              </w:rPr>
              <w:t>3</w:t>
            </w:r>
            <w:r>
              <w:t>.15</w:t>
            </w:r>
          </w:p>
        </w:tc>
        <w:tc>
          <w:tcPr>
            <w:tcW w:w="2551" w:type="dxa"/>
            <w:vAlign w:val="center"/>
          </w:tcPr>
          <w:p>
            <w:pPr>
              <w:pStyle w:val="11"/>
            </w:pPr>
          </w:p>
        </w:tc>
        <w:tc>
          <w:tcPr>
            <w:tcW w:w="2551" w:type="dxa"/>
            <w:vAlign w:val="center"/>
          </w:tcPr>
          <w:p>
            <w:pPr>
              <w:pStyle w:val="11"/>
            </w:pPr>
            <w:r>
              <w:rPr>
                <w:rFonts w:hint="eastAsia"/>
                <w:lang w:val="en-US" w:eastAsia="zh-CN"/>
              </w:rPr>
              <w:t>3</w:t>
            </w:r>
            <w: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1.03</w:t>
            </w:r>
          </w:p>
        </w:tc>
        <w:tc>
          <w:tcPr>
            <w:tcW w:w="2551" w:type="dxa"/>
            <w:vAlign w:val="center"/>
          </w:tcPr>
          <w:p>
            <w:pPr>
              <w:pStyle w:val="11"/>
            </w:pPr>
          </w:p>
        </w:tc>
        <w:tc>
          <w:tcPr>
            <w:tcW w:w="2551" w:type="dxa"/>
            <w:vAlign w:val="center"/>
          </w:tcPr>
          <w:p>
            <w:pPr>
              <w:pStyle w:val="11"/>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rPr>
                <w:rFonts w:hint="eastAsia"/>
                <w:lang w:val="en-US" w:eastAsia="zh-CN"/>
              </w:rPr>
              <w:t>0</w:t>
            </w:r>
            <w:r>
              <w:t>.00</w:t>
            </w:r>
          </w:p>
        </w:tc>
        <w:tc>
          <w:tcPr>
            <w:tcW w:w="2551" w:type="dxa"/>
            <w:vAlign w:val="center"/>
          </w:tcPr>
          <w:p>
            <w:pPr>
              <w:pStyle w:val="11"/>
            </w:pPr>
          </w:p>
        </w:tc>
        <w:tc>
          <w:tcPr>
            <w:tcW w:w="2551" w:type="dxa"/>
            <w:vAlign w:val="center"/>
          </w:tcPr>
          <w:p>
            <w:pPr>
              <w:pStyle w:val="11"/>
            </w:pPr>
            <w:r>
              <w:rPr>
                <w:rFonts w:hint="eastAsia"/>
                <w:lang w:val="en-US" w:eastAsia="zh-CN"/>
              </w:rPr>
              <w:t>0</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rPr>
                <w:rFonts w:hint="eastAsia"/>
                <w:lang w:val="en-US" w:eastAsia="zh-CN"/>
              </w:rPr>
              <w:t>0</w:t>
            </w:r>
            <w:r>
              <w:t>.00</w:t>
            </w:r>
          </w:p>
        </w:tc>
        <w:tc>
          <w:tcPr>
            <w:tcW w:w="2551" w:type="dxa"/>
            <w:vAlign w:val="center"/>
          </w:tcPr>
          <w:p>
            <w:pPr>
              <w:pStyle w:val="11"/>
            </w:pPr>
          </w:p>
        </w:tc>
        <w:tc>
          <w:tcPr>
            <w:tcW w:w="2551" w:type="dxa"/>
            <w:vAlign w:val="center"/>
          </w:tcPr>
          <w:p>
            <w:pPr>
              <w:pStyle w:val="11"/>
            </w:pPr>
            <w:r>
              <w:rPr>
                <w:rFonts w:hint="eastAsia"/>
                <w:lang w:val="en-US" w:eastAsia="zh-CN"/>
              </w:rPr>
              <w:t>0.</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3.69</w:t>
            </w:r>
          </w:p>
        </w:tc>
        <w:tc>
          <w:tcPr>
            <w:tcW w:w="2551" w:type="dxa"/>
            <w:vAlign w:val="center"/>
          </w:tcPr>
          <w:p>
            <w:pPr>
              <w:pStyle w:val="11"/>
            </w:pPr>
          </w:p>
        </w:tc>
        <w:tc>
          <w:tcPr>
            <w:tcW w:w="2551" w:type="dxa"/>
            <w:vAlign w:val="center"/>
          </w:tcPr>
          <w:p>
            <w:pPr>
              <w:pStyle w:val="11"/>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rPr>
                <w:rFonts w:hint="eastAsia"/>
                <w:lang w:val="en-US" w:eastAsia="zh-CN"/>
              </w:rPr>
              <w:t>0.0</w:t>
            </w:r>
            <w:r>
              <w:t>0</w:t>
            </w:r>
          </w:p>
        </w:tc>
        <w:tc>
          <w:tcPr>
            <w:tcW w:w="2551" w:type="dxa"/>
            <w:vAlign w:val="center"/>
          </w:tcPr>
          <w:p>
            <w:pPr>
              <w:pStyle w:val="11"/>
            </w:pPr>
          </w:p>
        </w:tc>
        <w:tc>
          <w:tcPr>
            <w:tcW w:w="2551" w:type="dxa"/>
            <w:vAlign w:val="center"/>
          </w:tcPr>
          <w:p>
            <w:pPr>
              <w:pStyle w:val="11"/>
            </w:pPr>
            <w:r>
              <w:rPr>
                <w:rFonts w:hint="eastAsia"/>
                <w:lang w:val="en-US" w:eastAsia="zh-CN"/>
              </w:rPr>
              <w:t>0.0</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24.20</w:t>
            </w:r>
          </w:p>
        </w:tc>
        <w:tc>
          <w:tcPr>
            <w:tcW w:w="2551" w:type="dxa"/>
            <w:vAlign w:val="center"/>
          </w:tcPr>
          <w:p>
            <w:pPr>
              <w:pStyle w:val="11"/>
            </w:pPr>
          </w:p>
        </w:tc>
        <w:tc>
          <w:tcPr>
            <w:tcW w:w="2551" w:type="dxa"/>
            <w:vAlign w:val="center"/>
          </w:tcPr>
          <w:p>
            <w:pPr>
              <w:pStyle w:val="11"/>
            </w:pPr>
            <w:r>
              <w:t>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216.32</w:t>
            </w:r>
          </w:p>
        </w:tc>
        <w:tc>
          <w:tcPr>
            <w:tcW w:w="2551" w:type="dxa"/>
            <w:vAlign w:val="center"/>
          </w:tcPr>
          <w:p>
            <w:pPr>
              <w:pStyle w:val="15"/>
            </w:pPr>
          </w:p>
        </w:tc>
        <w:tc>
          <w:tcPr>
            <w:tcW w:w="2551" w:type="dxa"/>
            <w:vAlign w:val="center"/>
          </w:tcPr>
          <w:p>
            <w:pPr>
              <w:pStyle w:val="15"/>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216.32</w:t>
            </w:r>
          </w:p>
        </w:tc>
        <w:tc>
          <w:tcPr>
            <w:tcW w:w="2551" w:type="dxa"/>
            <w:vAlign w:val="center"/>
          </w:tcPr>
          <w:p>
            <w:pPr>
              <w:pStyle w:val="11"/>
            </w:pPr>
          </w:p>
        </w:tc>
        <w:tc>
          <w:tcPr>
            <w:tcW w:w="2551" w:type="dxa"/>
            <w:vAlign w:val="center"/>
          </w:tcPr>
          <w:p>
            <w:pPr>
              <w:pStyle w:val="11"/>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216.32</w:t>
            </w:r>
          </w:p>
        </w:tc>
        <w:tc>
          <w:tcPr>
            <w:tcW w:w="2551" w:type="dxa"/>
            <w:vAlign w:val="center"/>
          </w:tcPr>
          <w:p>
            <w:pPr>
              <w:pStyle w:val="11"/>
            </w:pPr>
          </w:p>
        </w:tc>
        <w:tc>
          <w:tcPr>
            <w:tcW w:w="2551" w:type="dxa"/>
            <w:vAlign w:val="center"/>
          </w:tcPr>
          <w:p>
            <w:pPr>
              <w:pStyle w:val="11"/>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216.32</w:t>
            </w:r>
          </w:p>
        </w:tc>
        <w:tc>
          <w:tcPr>
            <w:tcW w:w="2551" w:type="dxa"/>
            <w:vAlign w:val="center"/>
          </w:tcPr>
          <w:p>
            <w:pPr>
              <w:pStyle w:val="11"/>
            </w:pPr>
          </w:p>
        </w:tc>
        <w:tc>
          <w:tcPr>
            <w:tcW w:w="2551" w:type="dxa"/>
            <w:vAlign w:val="center"/>
          </w:tcPr>
          <w:p>
            <w:pPr>
              <w:pStyle w:val="11"/>
            </w:pPr>
            <w:r>
              <w:t>216.32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rPr>
                <w:rFonts w:hint="eastAsia"/>
                <w:lang w:val="en-US" w:eastAsia="zh-CN"/>
              </w:rPr>
              <w:t>4</w:t>
            </w:r>
            <w:r>
              <w:t>.50</w:t>
            </w:r>
          </w:p>
        </w:tc>
        <w:tc>
          <w:tcPr>
            <w:tcW w:w="2381" w:type="dxa"/>
            <w:vAlign w:val="center"/>
          </w:tcPr>
          <w:p>
            <w:pPr>
              <w:pStyle w:val="15"/>
            </w:pPr>
            <w:r>
              <w:rPr>
                <w:rFonts w:hint="eastAsia"/>
                <w:lang w:val="en-US" w:eastAsia="zh-CN"/>
              </w:rPr>
              <w:t>4</w:t>
            </w:r>
            <w:r>
              <w:t>.50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rPr>
                <w:rFonts w:hint="eastAsia"/>
                <w:lang w:val="en-US" w:eastAsia="zh-CN"/>
              </w:rPr>
              <w:t>4</w:t>
            </w:r>
            <w:r>
              <w:t>.50</w:t>
            </w:r>
          </w:p>
        </w:tc>
        <w:tc>
          <w:tcPr>
            <w:tcW w:w="2381" w:type="dxa"/>
            <w:vAlign w:val="center"/>
          </w:tcPr>
          <w:p>
            <w:pPr>
              <w:pStyle w:val="11"/>
            </w:pPr>
            <w:r>
              <w:rPr>
                <w:rFonts w:hint="eastAsia"/>
                <w:lang w:val="en-US" w:eastAsia="zh-CN"/>
              </w:rPr>
              <w:t>4</w:t>
            </w:r>
            <w:r>
              <w:t>.50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rPr>
                <w:rFonts w:hint="default" w:eastAsia="方正书宋_GBK"/>
                <w:color w:val="auto"/>
                <w:lang w:val="en-US" w:eastAsia="zh-CN"/>
              </w:rPr>
            </w:pPr>
            <w:r>
              <w:rPr>
                <w:rFonts w:hint="eastAsia"/>
                <w:color w:val="auto"/>
                <w:lang w:val="en-US" w:eastAsia="zh-CN"/>
              </w:rPr>
              <w:t>0.00</w:t>
            </w:r>
          </w:p>
        </w:tc>
        <w:tc>
          <w:tcPr>
            <w:tcW w:w="2381" w:type="dxa"/>
            <w:vAlign w:val="center"/>
          </w:tcPr>
          <w:p>
            <w:pPr>
              <w:pStyle w:val="11"/>
              <w:rPr>
                <w:rFonts w:hint="default" w:eastAsia="方正书宋_GBK"/>
                <w:color w:val="auto"/>
                <w:lang w:val="en-US" w:eastAsia="zh-CN"/>
              </w:rPr>
            </w:pPr>
            <w:r>
              <w:rPr>
                <w:rFonts w:hint="eastAsia"/>
                <w:color w:val="auto"/>
                <w:lang w:val="en-US" w:eastAsia="zh-CN"/>
              </w:rPr>
              <w:t>0.00</w:t>
            </w:r>
          </w:p>
        </w:tc>
        <w:tc>
          <w:tcPr>
            <w:tcW w:w="2381" w:type="dxa"/>
            <w:vAlign w:val="center"/>
          </w:tcPr>
          <w:p>
            <w:pPr>
              <w:pStyle w:val="11"/>
              <w:rPr>
                <w:color w:val="0000FF"/>
              </w:rPr>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rPr>
                <w:color w:val="auto"/>
              </w:rPr>
            </w:pPr>
            <w:r>
              <w:rPr>
                <w:rFonts w:hint="eastAsia"/>
                <w:color w:val="auto"/>
                <w:lang w:val="en-US" w:eastAsia="zh-CN"/>
              </w:rPr>
              <w:t>0.</w:t>
            </w:r>
            <w:r>
              <w:rPr>
                <w:color w:val="auto"/>
              </w:rPr>
              <w:t>00</w:t>
            </w:r>
          </w:p>
        </w:tc>
        <w:tc>
          <w:tcPr>
            <w:tcW w:w="2381" w:type="dxa"/>
            <w:vAlign w:val="center"/>
          </w:tcPr>
          <w:p>
            <w:pPr>
              <w:pStyle w:val="11"/>
              <w:rPr>
                <w:color w:val="auto"/>
              </w:rPr>
            </w:pPr>
            <w:r>
              <w:rPr>
                <w:rFonts w:hint="eastAsia"/>
                <w:color w:val="auto"/>
                <w:lang w:val="en-US" w:eastAsia="zh-CN"/>
              </w:rPr>
              <w:t>0.</w:t>
            </w:r>
            <w:r>
              <w:rPr>
                <w:color w:val="auto"/>
              </w:rPr>
              <w:t>00</w:t>
            </w:r>
          </w:p>
        </w:tc>
        <w:tc>
          <w:tcPr>
            <w:tcW w:w="2381" w:type="dxa"/>
            <w:vAlign w:val="center"/>
          </w:tcPr>
          <w:p>
            <w:pPr>
              <w:pStyle w:val="11"/>
              <w:rPr>
                <w:color w:val="0000FF"/>
              </w:rPr>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宁晋县唐邱镇人民政府本级2022年单位预算信息公开情况说明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、《地方预决算公开操作规程》和《关于进一步推进预算公开工作的实施意见》规定，现将宁晋县唐邱镇人民政府本级2022年单位预算公开如下：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1. </w:t>
      </w:r>
      <w:r>
        <w:rPr>
          <w:rFonts w:hint="eastAsia" w:ascii="仿宋" w:hAnsi="仿宋" w:eastAsia="仿宋"/>
          <w:sz w:val="32"/>
          <w:szCs w:val="32"/>
        </w:rPr>
        <w:t>党政综合办公室：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2. </w:t>
      </w:r>
      <w:r>
        <w:rPr>
          <w:rFonts w:hint="eastAsia" w:ascii="仿宋" w:hAnsi="仿宋" w:eastAsia="仿宋"/>
          <w:sz w:val="32"/>
          <w:szCs w:val="32"/>
        </w:rPr>
        <w:t>社会事务办公室：主管拥军优属、救灾救济、“五保”低保等社会福利事业工作，主管劳动力资源管理，就业服务，社会养老保险，农村合作医疗等社会保障工作，主管婚姻登记，殡葬改革和妇女儿童权益保护，负责民族、宗教、残疾人工作。负责教育、文化、卫生、食品药品、广播电视工作、推动基层政权建设和基层群众性自治组织建设和村民自治活动。</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3. </w:t>
      </w:r>
      <w:r>
        <w:rPr>
          <w:rFonts w:hint="eastAsia" w:ascii="仿宋" w:hAnsi="仿宋" w:eastAsia="仿宋"/>
          <w:sz w:val="32"/>
          <w:szCs w:val="32"/>
        </w:rPr>
        <w:t>经济发展办公室：综合管理财政收支、编制财政计划、制订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4. </w:t>
      </w:r>
      <w:r>
        <w:rPr>
          <w:rFonts w:hint="eastAsia" w:ascii="仿宋" w:hAnsi="仿宋" w:eastAsia="仿宋"/>
          <w:sz w:val="32"/>
          <w:szCs w:val="32"/>
        </w:rPr>
        <w:t>综合治理办公室：组织、支持、协调公安派出所、人民法庭、司法所等政法基层住址开展综合治理工作，充分发挥其职能作用；指导、检查、督促基层党支部、村委会和辖区内的企事业单位开展社会治安综合治理工作；搞好普法教育、民事调节、民间纠纷排查；做好来人信访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5. </w:t>
      </w:r>
      <w:r>
        <w:rPr>
          <w:rFonts w:hint="eastAsia" w:ascii="仿宋" w:hAnsi="仿宋" w:eastAsia="仿宋"/>
          <w:sz w:val="32"/>
          <w:szCs w:val="32"/>
        </w:rPr>
        <w:t>人口和计划生育办公室：负责编制人口发展长期和年度计划，完成上级下达的人口计划和目标；负责本级与村级计划生育组织建设和计划生育服务的综合管理；负责指导监督各村计划生育组织工作；对违法生育情况进行立案并征收社会抚养费。</w:t>
      </w:r>
    </w:p>
    <w:p>
      <w:pPr>
        <w:ind w:firstLine="640"/>
        <w:rPr>
          <w:rFonts w:ascii="方正楷体_GBK" w:hAnsi="方正楷体_GBK" w:eastAsia="方正楷体_GBK" w:cs="方正楷体_GBK"/>
          <w:b/>
          <w:color w:val="000000"/>
          <w:sz w:val="32"/>
        </w:rPr>
      </w:pPr>
      <w:r>
        <w:rPr>
          <w:rFonts w:ascii="仿宋" w:hAnsi="仿宋" w:eastAsia="仿宋" w:cs="黑体"/>
          <w:kern w:val="2"/>
          <w:sz w:val="32"/>
          <w:szCs w:val="32"/>
          <w:lang w:eastAsia="zh-CN"/>
        </w:rPr>
        <w:t xml:space="preserve">6. </w:t>
      </w:r>
      <w:r>
        <w:rPr>
          <w:rFonts w:hint="eastAsia" w:ascii="仿宋" w:hAnsi="仿宋" w:eastAsia="仿宋" w:cs="黑体"/>
          <w:kern w:val="2"/>
          <w:sz w:val="32"/>
          <w:szCs w:val="32"/>
          <w:lang w:eastAsia="zh-CN"/>
        </w:rPr>
        <w:t>村镇规划建设办公室：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单位做好土地税费的征收管理工作，负责村街道和公路硬化建设等工作。</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宁晋县唐邱镇人民政府本级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ind w:firstLine="640"/>
        <w:rPr>
          <w:rFonts w:hint="eastAsia" w:ascii="仿宋" w:hAnsi="仿宋" w:eastAsia="仿宋"/>
          <w:sz w:val="32"/>
          <w:szCs w:val="32"/>
        </w:rPr>
      </w:pPr>
      <w:r>
        <w:rPr>
          <w:rFonts w:hint="eastAsia" w:ascii="仿宋" w:hAnsi="仿宋" w:eastAsia="仿宋" w:cs="方正仿宋_GBK"/>
          <w:sz w:val="32"/>
          <w:szCs w:val="32"/>
        </w:rPr>
        <w:t>按照预算管理有关规定，目前我乡的全部收入和支出都反映的预算中。所属</w:t>
      </w:r>
      <w:r>
        <w:rPr>
          <w:rFonts w:ascii="仿宋" w:hAnsi="仿宋" w:eastAsia="仿宋"/>
          <w:sz w:val="32"/>
          <w:szCs w:val="32"/>
        </w:rPr>
        <w:t>6</w:t>
      </w:r>
      <w:r>
        <w:rPr>
          <w:rFonts w:hint="eastAsia" w:ascii="仿宋" w:hAnsi="仿宋" w:eastAsia="仿宋" w:cs="方正仿宋_GBK"/>
          <w:sz w:val="32"/>
          <w:szCs w:val="32"/>
        </w:rPr>
        <w:t>个办公室非独立核算单位，是唐邱镇政府的职能</w:t>
      </w:r>
      <w:r>
        <w:rPr>
          <w:rFonts w:hint="eastAsia" w:ascii="仿宋" w:hAnsi="仿宋" w:eastAsia="仿宋" w:cs="方正仿宋_GBK"/>
          <w:sz w:val="32"/>
          <w:szCs w:val="32"/>
          <w:lang w:eastAsia="zh-CN"/>
        </w:rPr>
        <w:t>单位</w:t>
      </w:r>
      <w:r>
        <w:rPr>
          <w:rFonts w:hint="eastAsia" w:ascii="仿宋" w:hAnsi="仿宋" w:eastAsia="仿宋" w:cs="方正仿宋_GBK"/>
          <w:sz w:val="32"/>
          <w:szCs w:val="32"/>
        </w:rPr>
        <w:t>，人员及经费全部在唐邱镇政府机关内核算。</w:t>
      </w:r>
    </w:p>
    <w:p>
      <w:pPr>
        <w:spacing w:line="360" w:lineRule="auto"/>
        <w:ind w:firstLine="641"/>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、收入说明</w:t>
      </w:r>
      <w:r>
        <w:rPr>
          <w:rFonts w:ascii="仿宋" w:hAnsi="仿宋" w:eastAsia="仿宋"/>
          <w:sz w:val="32"/>
          <w:szCs w:val="32"/>
        </w:rPr>
        <w:t xml:space="preserve"> </w:t>
      </w:r>
    </w:p>
    <w:p>
      <w:pPr>
        <w:spacing w:line="360" w:lineRule="auto"/>
        <w:rPr>
          <w:rFonts w:hint="eastAsia" w:ascii="仿宋" w:hAnsi="仿宋" w:eastAsia="仿宋"/>
          <w:sz w:val="32"/>
          <w:szCs w:val="32"/>
          <w:highlight w:val="none"/>
        </w:rPr>
      </w:pPr>
      <w:r>
        <w:rPr>
          <w:rFonts w:hint="eastAsia" w:ascii="仿宋" w:hAnsi="仿宋" w:eastAsia="仿宋"/>
          <w:sz w:val="32"/>
          <w:szCs w:val="32"/>
        </w:rPr>
        <w:t>反应本</w:t>
      </w:r>
      <w:r>
        <w:rPr>
          <w:rFonts w:hint="eastAsia" w:ascii="仿宋" w:hAnsi="仿宋" w:eastAsia="仿宋"/>
          <w:sz w:val="32"/>
          <w:szCs w:val="32"/>
          <w:lang w:eastAsia="zh-CN"/>
        </w:rPr>
        <w:t>单位</w:t>
      </w:r>
      <w:r>
        <w:rPr>
          <w:rFonts w:hint="eastAsia" w:ascii="仿宋" w:hAnsi="仿宋" w:eastAsia="仿宋"/>
          <w:sz w:val="32"/>
          <w:szCs w:val="32"/>
        </w:rPr>
        <w:t>当年全部收入，2022年预算总收入</w:t>
      </w:r>
      <w:r>
        <w:rPr>
          <w:rFonts w:hint="eastAsia" w:ascii="仿宋" w:hAnsi="仿宋" w:eastAsia="仿宋"/>
          <w:sz w:val="32"/>
          <w:szCs w:val="32"/>
          <w:highlight w:val="none"/>
          <w:lang w:val="en-US" w:eastAsia="zh-CN"/>
        </w:rPr>
        <w:t>1454.81</w:t>
      </w:r>
      <w:r>
        <w:rPr>
          <w:rFonts w:hint="eastAsia" w:ascii="仿宋" w:hAnsi="仿宋" w:eastAsia="仿宋"/>
          <w:sz w:val="32"/>
          <w:szCs w:val="32"/>
          <w:highlight w:val="none"/>
        </w:rPr>
        <w:t>万元。比去年</w:t>
      </w:r>
      <w:r>
        <w:rPr>
          <w:rFonts w:hint="eastAsia" w:ascii="仿宋" w:hAnsi="仿宋" w:eastAsia="仿宋"/>
          <w:sz w:val="32"/>
          <w:szCs w:val="32"/>
          <w:highlight w:val="none"/>
          <w:lang w:eastAsia="zh-CN"/>
        </w:rPr>
        <w:t>减少</w:t>
      </w:r>
      <w:r>
        <w:rPr>
          <w:rFonts w:hint="eastAsia" w:ascii="仿宋" w:hAnsi="仿宋" w:eastAsia="仿宋"/>
          <w:sz w:val="32"/>
          <w:szCs w:val="32"/>
          <w:highlight w:val="none"/>
          <w:lang w:val="en-US" w:eastAsia="zh-CN"/>
        </w:rPr>
        <w:t>756.99</w:t>
      </w:r>
      <w:r>
        <w:rPr>
          <w:rFonts w:hint="eastAsia" w:ascii="仿宋" w:hAnsi="仿宋" w:eastAsia="仿宋"/>
          <w:sz w:val="32"/>
          <w:szCs w:val="32"/>
          <w:highlight w:val="none"/>
        </w:rPr>
        <w:t>万元。</w:t>
      </w:r>
    </w:p>
    <w:p>
      <w:pPr>
        <w:spacing w:line="360" w:lineRule="auto"/>
        <w:ind w:firstLine="640" w:firstLineChars="200"/>
        <w:rPr>
          <w:rFonts w:ascii="仿宋" w:hAnsi="仿宋" w:eastAsia="仿宋"/>
          <w:sz w:val="32"/>
          <w:szCs w:val="32"/>
          <w:highlight w:val="none"/>
        </w:rPr>
      </w:pPr>
      <w:r>
        <w:rPr>
          <w:rFonts w:hint="eastAsia" w:ascii="仿宋" w:hAnsi="仿宋" w:eastAsia="仿宋"/>
          <w:sz w:val="32"/>
          <w:szCs w:val="32"/>
          <w:highlight w:val="none"/>
        </w:rPr>
        <w:t>2、支出说明</w:t>
      </w:r>
    </w:p>
    <w:p>
      <w:pPr>
        <w:spacing w:line="360" w:lineRule="auto"/>
        <w:rPr>
          <w:rFonts w:ascii="仿宋" w:hAnsi="仿宋" w:eastAsia="仿宋"/>
          <w:sz w:val="32"/>
          <w:szCs w:val="32"/>
        </w:rPr>
      </w:pPr>
      <w:r>
        <w:rPr>
          <w:rFonts w:ascii="仿宋" w:hAnsi="仿宋" w:eastAsia="仿宋"/>
          <w:sz w:val="32"/>
          <w:szCs w:val="32"/>
          <w:highlight w:val="none"/>
        </w:rPr>
        <w:t xml:space="preserve">    </w:t>
      </w:r>
      <w:r>
        <w:rPr>
          <w:rFonts w:hint="eastAsia" w:ascii="仿宋" w:hAnsi="仿宋" w:eastAsia="仿宋"/>
          <w:sz w:val="32"/>
          <w:szCs w:val="32"/>
          <w:highlight w:val="none"/>
        </w:rPr>
        <w:t>收支预算总表支出栏、基本支出表、项目支出表按经济分类和支出功能分类科目编制，反映宁晋县唐邱镇政府2022年度</w:t>
      </w:r>
      <w:r>
        <w:rPr>
          <w:rFonts w:hint="eastAsia" w:ascii="仿宋" w:hAnsi="仿宋" w:eastAsia="仿宋"/>
          <w:sz w:val="32"/>
          <w:szCs w:val="32"/>
          <w:highlight w:val="none"/>
          <w:lang w:eastAsia="zh-CN"/>
        </w:rPr>
        <w:t>单位</w:t>
      </w:r>
      <w:r>
        <w:rPr>
          <w:rFonts w:hint="eastAsia" w:ascii="仿宋" w:hAnsi="仿宋" w:eastAsia="仿宋"/>
          <w:sz w:val="32"/>
          <w:szCs w:val="32"/>
          <w:highlight w:val="none"/>
        </w:rPr>
        <w:t>预算中支出预算的总体情况。2022年</w:t>
      </w:r>
      <w:r>
        <w:rPr>
          <w:rFonts w:hint="eastAsia" w:ascii="仿宋" w:hAnsi="仿宋" w:eastAsia="仿宋"/>
          <w:sz w:val="32"/>
          <w:szCs w:val="32"/>
          <w:highlight w:val="none"/>
          <w:lang w:eastAsia="zh-CN"/>
        </w:rPr>
        <w:t>单位</w:t>
      </w:r>
      <w:r>
        <w:rPr>
          <w:rFonts w:hint="eastAsia" w:ascii="仿宋" w:hAnsi="仿宋" w:eastAsia="仿宋"/>
          <w:sz w:val="32"/>
          <w:szCs w:val="32"/>
          <w:highlight w:val="none"/>
        </w:rPr>
        <w:t>支出预算为</w:t>
      </w:r>
      <w:r>
        <w:rPr>
          <w:rFonts w:hint="eastAsia" w:ascii="仿宋" w:hAnsi="仿宋" w:eastAsia="仿宋"/>
          <w:sz w:val="32"/>
          <w:szCs w:val="32"/>
          <w:highlight w:val="none"/>
          <w:lang w:val="en-US" w:eastAsia="zh-CN"/>
        </w:rPr>
        <w:t>1454.81</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535.85</w:t>
      </w:r>
      <w:r>
        <w:rPr>
          <w:rFonts w:hint="eastAsia" w:ascii="仿宋" w:hAnsi="仿宋" w:eastAsia="仿宋"/>
          <w:sz w:val="32"/>
          <w:szCs w:val="32"/>
          <w:highlight w:val="none"/>
        </w:rPr>
        <w:t>万元，包括人员经费4</w:t>
      </w:r>
      <w:r>
        <w:rPr>
          <w:rFonts w:hint="eastAsia" w:ascii="仿宋" w:hAnsi="仿宋" w:eastAsia="仿宋"/>
          <w:sz w:val="32"/>
          <w:szCs w:val="32"/>
          <w:highlight w:val="none"/>
          <w:lang w:val="en-US" w:eastAsia="zh-CN"/>
        </w:rPr>
        <w:t>57.56</w:t>
      </w:r>
      <w:r>
        <w:rPr>
          <w:rFonts w:hint="eastAsia" w:ascii="仿宋" w:hAnsi="仿宋" w:eastAsia="仿宋"/>
          <w:sz w:val="32"/>
          <w:szCs w:val="32"/>
          <w:highlight w:val="none"/>
        </w:rPr>
        <w:t>万元和日常公用经费</w:t>
      </w:r>
      <w:r>
        <w:rPr>
          <w:rFonts w:hint="eastAsia" w:ascii="仿宋" w:hAnsi="仿宋" w:eastAsia="仿宋"/>
          <w:sz w:val="32"/>
          <w:szCs w:val="32"/>
          <w:highlight w:val="none"/>
          <w:lang w:val="en-US" w:eastAsia="zh-CN"/>
        </w:rPr>
        <w:t>78.29</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918.96</w:t>
      </w:r>
      <w:r>
        <w:rPr>
          <w:rFonts w:hint="eastAsia" w:ascii="仿宋" w:hAnsi="仿宋" w:eastAsia="仿宋"/>
          <w:sz w:val="32"/>
          <w:szCs w:val="32"/>
          <w:highlight w:val="none"/>
        </w:rPr>
        <w:t>万元，全</w:t>
      </w:r>
      <w:r>
        <w:rPr>
          <w:rFonts w:hint="eastAsia" w:ascii="仿宋" w:hAnsi="仿宋" w:eastAsia="仿宋"/>
          <w:sz w:val="32"/>
          <w:szCs w:val="32"/>
        </w:rPr>
        <w:t>部为本级支出。</w:t>
      </w:r>
    </w:p>
    <w:p>
      <w:pPr>
        <w:spacing w:line="360" w:lineRule="auto"/>
        <w:ind w:firstLine="640" w:firstLineChars="200"/>
        <w:rPr>
          <w:rFonts w:hint="eastAsia" w:ascii="仿宋" w:hAnsi="仿宋" w:eastAsia="仿宋"/>
          <w:sz w:val="32"/>
          <w:szCs w:val="32"/>
        </w:rPr>
      </w:pPr>
      <w:r>
        <w:rPr>
          <w:rFonts w:hint="eastAsia" w:ascii="仿宋" w:hAnsi="仿宋" w:eastAsia="仿宋"/>
          <w:sz w:val="32"/>
          <w:szCs w:val="32"/>
        </w:rPr>
        <w:t>3、比上年增减情况</w:t>
      </w:r>
    </w:p>
    <w:p>
      <w:pPr>
        <w:spacing w:line="360" w:lineRule="auto"/>
        <w:rPr>
          <w:rFonts w:ascii="仿宋" w:hAnsi="仿宋" w:eastAsia="仿宋"/>
          <w:sz w:val="32"/>
          <w:szCs w:val="32"/>
        </w:rPr>
      </w:pPr>
      <w:r>
        <w:rPr>
          <w:rFonts w:ascii="仿宋" w:hAnsi="仿宋" w:eastAsia="仿宋"/>
          <w:sz w:val="32"/>
          <w:szCs w:val="32"/>
        </w:rPr>
        <w:t xml:space="preserve"> </w:t>
      </w:r>
      <w:r>
        <w:rPr>
          <w:rFonts w:ascii="仿宋" w:hAnsi="仿宋" w:eastAsia="仿宋"/>
          <w:sz w:val="32"/>
          <w:szCs w:val="32"/>
          <w:highlight w:val="none"/>
        </w:rPr>
        <w:t xml:space="preserve">  </w:t>
      </w:r>
      <w:r>
        <w:rPr>
          <w:rFonts w:hint="eastAsia" w:ascii="仿宋" w:hAnsi="仿宋" w:eastAsia="仿宋"/>
          <w:sz w:val="32"/>
          <w:szCs w:val="32"/>
          <w:highlight w:val="none"/>
        </w:rPr>
        <w:t xml:space="preserve"> 2022年</w:t>
      </w:r>
      <w:r>
        <w:rPr>
          <w:rFonts w:hint="eastAsia" w:ascii="仿宋" w:hAnsi="仿宋" w:eastAsia="仿宋"/>
          <w:sz w:val="32"/>
          <w:szCs w:val="32"/>
          <w:highlight w:val="none"/>
          <w:lang w:eastAsia="zh-CN"/>
        </w:rPr>
        <w:t>单位</w:t>
      </w:r>
      <w:r>
        <w:rPr>
          <w:rFonts w:hint="eastAsia" w:ascii="仿宋" w:hAnsi="仿宋" w:eastAsia="仿宋"/>
          <w:sz w:val="32"/>
          <w:szCs w:val="32"/>
          <w:highlight w:val="none"/>
        </w:rPr>
        <w:t>预算较202</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年</w:t>
      </w:r>
      <w:r>
        <w:rPr>
          <w:rFonts w:hint="eastAsia" w:ascii="仿宋" w:hAnsi="仿宋" w:eastAsia="仿宋"/>
          <w:sz w:val="32"/>
          <w:szCs w:val="32"/>
          <w:highlight w:val="none"/>
          <w:lang w:eastAsia="zh-CN"/>
        </w:rPr>
        <w:t>减少</w:t>
      </w:r>
      <w:r>
        <w:rPr>
          <w:rFonts w:hint="eastAsia" w:ascii="仿宋" w:hAnsi="仿宋" w:eastAsia="仿宋"/>
          <w:sz w:val="32"/>
          <w:szCs w:val="32"/>
          <w:highlight w:val="none"/>
          <w:lang w:val="en-US" w:eastAsia="zh-CN"/>
        </w:rPr>
        <w:t>756.99</w:t>
      </w:r>
      <w:r>
        <w:rPr>
          <w:rFonts w:hint="eastAsia" w:ascii="仿宋" w:hAnsi="仿宋" w:eastAsia="仿宋"/>
          <w:sz w:val="32"/>
          <w:szCs w:val="32"/>
          <w:highlight w:val="none"/>
        </w:rPr>
        <w:t>万元，其中：项目支出</w:t>
      </w:r>
      <w:r>
        <w:rPr>
          <w:rFonts w:hint="eastAsia" w:ascii="仿宋" w:hAnsi="仿宋" w:eastAsia="仿宋"/>
          <w:sz w:val="32"/>
          <w:szCs w:val="32"/>
          <w:highlight w:val="none"/>
          <w:lang w:eastAsia="zh-CN"/>
        </w:rPr>
        <w:t>减少</w:t>
      </w:r>
      <w:r>
        <w:rPr>
          <w:rFonts w:hint="eastAsia" w:ascii="仿宋" w:hAnsi="仿宋" w:eastAsia="仿宋"/>
          <w:sz w:val="32"/>
          <w:szCs w:val="32"/>
          <w:highlight w:val="none"/>
          <w:lang w:val="en-US" w:eastAsia="zh-CN"/>
        </w:rPr>
        <w:t>876.86</w:t>
      </w:r>
      <w:r>
        <w:rPr>
          <w:rFonts w:hint="eastAsia" w:ascii="仿宋" w:hAnsi="仿宋" w:eastAsia="仿宋"/>
          <w:sz w:val="32"/>
          <w:szCs w:val="32"/>
          <w:highlight w:val="none"/>
        </w:rPr>
        <w:t>万元，主要是</w:t>
      </w:r>
      <w:r>
        <w:rPr>
          <w:rFonts w:hint="eastAsia" w:ascii="仿宋" w:hAnsi="仿宋" w:eastAsia="仿宋"/>
          <w:sz w:val="32"/>
          <w:szCs w:val="32"/>
          <w:highlight w:val="none"/>
          <w:lang w:eastAsia="zh-CN"/>
        </w:rPr>
        <w:t>项目尾款的减少，新增项目的减少</w:t>
      </w:r>
      <w:r>
        <w:rPr>
          <w:rFonts w:hint="eastAsia" w:ascii="仿宋" w:hAnsi="仿宋" w:eastAsia="仿宋"/>
          <w:sz w:val="32"/>
          <w:szCs w:val="32"/>
          <w:highlight w:val="none"/>
        </w:rPr>
        <w:t>。</w:t>
      </w:r>
    </w:p>
    <w:p>
      <w:pPr>
        <w:pStyle w:val="26"/>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autoSpaceDE w:val="0"/>
        <w:autoSpaceDN w:val="0"/>
        <w:adjustRightInd w:val="0"/>
        <w:spacing w:line="360" w:lineRule="auto"/>
        <w:ind w:left="-106" w:leftChars="-44" w:firstLine="640" w:firstLineChars="200"/>
        <w:rPr>
          <w:rFonts w:hint="eastAsia" w:ascii="仿宋" w:hAnsi="仿宋" w:eastAsia="仿宋"/>
          <w:color w:val="auto"/>
          <w:sz w:val="32"/>
          <w:szCs w:val="32"/>
          <w:highlight w:val="none"/>
          <w:lang w:val="uk-UA" w:eastAsia="zh-CN"/>
        </w:rPr>
      </w:pPr>
      <w:r>
        <w:rPr>
          <w:rFonts w:hint="eastAsia" w:ascii="仿宋" w:hAnsi="仿宋" w:eastAsia="仿宋"/>
          <w:color w:val="auto"/>
          <w:sz w:val="32"/>
          <w:szCs w:val="32"/>
          <w:highlight w:val="none"/>
        </w:rPr>
        <w:t>机关运行经费共计安排</w:t>
      </w:r>
      <w:r>
        <w:rPr>
          <w:rFonts w:hint="eastAsia" w:ascii="仿宋" w:hAnsi="仿宋" w:eastAsia="仿宋"/>
          <w:color w:val="auto"/>
          <w:sz w:val="32"/>
          <w:szCs w:val="32"/>
          <w:highlight w:val="none"/>
          <w:lang w:val="en-US" w:eastAsia="zh-CN"/>
        </w:rPr>
        <w:t>34.14</w:t>
      </w:r>
      <w:r>
        <w:rPr>
          <w:rFonts w:hint="eastAsia" w:ascii="仿宋" w:hAnsi="仿宋" w:eastAsia="仿宋"/>
          <w:color w:val="auto"/>
          <w:sz w:val="32"/>
          <w:szCs w:val="32"/>
          <w:highlight w:val="none"/>
        </w:rPr>
        <w:t>万元，主要用于保证机关正常运转的办公费</w:t>
      </w:r>
      <w:r>
        <w:rPr>
          <w:rFonts w:hint="eastAsia" w:ascii="仿宋" w:hAnsi="仿宋" w:eastAsia="仿宋"/>
          <w:color w:val="auto"/>
          <w:sz w:val="32"/>
          <w:szCs w:val="32"/>
          <w:highlight w:val="none"/>
          <w:lang w:val="en-US" w:eastAsia="zh-CN"/>
        </w:rPr>
        <w:t>11.64</w:t>
      </w:r>
      <w:r>
        <w:rPr>
          <w:rFonts w:hint="eastAsia" w:ascii="仿宋" w:hAnsi="仿宋" w:eastAsia="仿宋"/>
          <w:color w:val="auto"/>
          <w:sz w:val="32"/>
          <w:szCs w:val="32"/>
          <w:highlight w:val="none"/>
        </w:rPr>
        <w:t>万元、电费1</w:t>
      </w:r>
      <w:r>
        <w:rPr>
          <w:rFonts w:hint="eastAsia" w:ascii="仿宋" w:hAnsi="仿宋" w:eastAsia="仿宋"/>
          <w:color w:val="auto"/>
          <w:sz w:val="32"/>
          <w:szCs w:val="32"/>
          <w:highlight w:val="none"/>
          <w:lang w:val="en-US" w:eastAsia="zh-CN"/>
        </w:rPr>
        <w:t>8</w:t>
      </w:r>
      <w:r>
        <w:rPr>
          <w:rFonts w:hint="eastAsia" w:ascii="仿宋" w:hAnsi="仿宋" w:eastAsia="仿宋"/>
          <w:color w:val="auto"/>
          <w:sz w:val="32"/>
          <w:szCs w:val="32"/>
          <w:highlight w:val="none"/>
        </w:rPr>
        <w:t>万元、公务车运行维护费4.</w:t>
      </w:r>
      <w:r>
        <w:rPr>
          <w:rFonts w:hint="eastAsia" w:ascii="仿宋" w:hAnsi="仿宋" w:eastAsia="仿宋"/>
          <w:color w:val="auto"/>
          <w:sz w:val="32"/>
          <w:szCs w:val="32"/>
          <w:highlight w:val="none"/>
          <w:lang w:val="en-US" w:eastAsia="zh-CN"/>
        </w:rPr>
        <w:t>5</w:t>
      </w:r>
      <w:r>
        <w:rPr>
          <w:rFonts w:hint="eastAsia" w:ascii="仿宋" w:hAnsi="仿宋" w:eastAsia="仿宋"/>
          <w:color w:val="auto"/>
          <w:sz w:val="32"/>
          <w:szCs w:val="32"/>
          <w:highlight w:val="none"/>
        </w:rPr>
        <w:t>万元。</w:t>
      </w:r>
    </w:p>
    <w:p>
      <w:pPr>
        <w:spacing w:line="360" w:lineRule="auto"/>
        <w:rPr>
          <w:rFonts w:ascii="仿宋" w:hAnsi="仿宋" w:eastAsia="仿宋"/>
          <w:sz w:val="32"/>
          <w:szCs w:val="32"/>
        </w:rPr>
      </w:pPr>
    </w:p>
    <w:p>
      <w:pPr>
        <w:numPr>
          <w:ilvl w:val="0"/>
          <w:numId w:val="0"/>
        </w:numPr>
        <w:spacing w:before="10" w:after="10"/>
        <w:outlineLvl w:val="5"/>
        <w:rPr>
          <w:rFonts w:hint="default" w:ascii="黑体" w:hAnsi="黑体" w:eastAsia="黑体" w:cs="黑体"/>
          <w:color w:val="000000"/>
          <w:sz w:val="32"/>
          <w:lang w:val="en-US" w:eastAsia="zh-CN"/>
        </w:rPr>
      </w:pPr>
    </w:p>
    <w:p>
      <w:pPr>
        <w:pStyle w:val="27"/>
      </w:pPr>
    </w:p>
    <w:p>
      <w:pPr>
        <w:numPr>
          <w:ilvl w:val="0"/>
          <w:numId w:val="1"/>
        </w:numPr>
        <w:spacing w:before="10" w:after="10"/>
        <w:ind w:left="0" w:leftChars="0" w:firstLine="640" w:firstLineChars="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autoSpaceDE w:val="0"/>
        <w:autoSpaceDN w:val="0"/>
        <w:adjustRightInd w:val="0"/>
        <w:spacing w:line="360" w:lineRule="auto"/>
        <w:ind w:left="-7" w:leftChars="-3"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2022年，财政拨款“三公”经费预算安排</w:t>
      </w:r>
      <w:r>
        <w:rPr>
          <w:rFonts w:hint="eastAsia" w:ascii="仿宋" w:hAnsi="仿宋" w:eastAsia="仿宋"/>
          <w:sz w:val="32"/>
          <w:szCs w:val="32"/>
          <w:highlight w:val="none"/>
          <w:lang w:val="en-US" w:eastAsia="zh-CN"/>
        </w:rPr>
        <w:t>4.5</w:t>
      </w:r>
      <w:r>
        <w:rPr>
          <w:rFonts w:hint="eastAsia" w:ascii="仿宋" w:hAnsi="仿宋" w:eastAsia="仿宋"/>
          <w:sz w:val="32"/>
          <w:szCs w:val="32"/>
          <w:highlight w:val="none"/>
        </w:rPr>
        <w:t>万元，其中：公务用车购置及运维费4.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万元（其中：公务用车购置费0万元，公务用车运行费4.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万元)。“三公”经费比上年</w:t>
      </w:r>
      <w:r>
        <w:rPr>
          <w:rFonts w:hint="eastAsia" w:ascii="仿宋" w:hAnsi="仿宋" w:eastAsia="仿宋"/>
          <w:sz w:val="32"/>
          <w:szCs w:val="32"/>
          <w:highlight w:val="none"/>
          <w:lang w:eastAsia="zh-CN"/>
        </w:rPr>
        <w:t>增加</w:t>
      </w:r>
      <w:r>
        <w:rPr>
          <w:rFonts w:hint="eastAsia" w:ascii="仿宋" w:hAnsi="仿宋" w:eastAsia="仿宋"/>
          <w:sz w:val="32"/>
          <w:szCs w:val="32"/>
          <w:highlight w:val="none"/>
          <w:lang w:val="en-US" w:eastAsia="zh-CN"/>
        </w:rPr>
        <w:t>0.1</w:t>
      </w:r>
      <w:r>
        <w:rPr>
          <w:rFonts w:hint="eastAsia" w:ascii="仿宋" w:hAnsi="仿宋" w:eastAsia="仿宋"/>
          <w:sz w:val="32"/>
          <w:szCs w:val="32"/>
          <w:highlight w:val="none"/>
        </w:rPr>
        <w:t>万元，主要是公车开销</w:t>
      </w:r>
      <w:r>
        <w:rPr>
          <w:rFonts w:hint="eastAsia" w:ascii="仿宋" w:hAnsi="仿宋" w:eastAsia="仿宋"/>
          <w:sz w:val="32"/>
          <w:szCs w:val="32"/>
          <w:highlight w:val="none"/>
          <w:lang w:eastAsia="zh-CN"/>
        </w:rPr>
        <w:t>的增加</w:t>
      </w:r>
      <w:r>
        <w:rPr>
          <w:rFonts w:hint="eastAsia" w:ascii="仿宋" w:hAnsi="仿宋" w:eastAsia="仿宋"/>
          <w:sz w:val="32"/>
          <w:szCs w:val="32"/>
          <w:highlight w:val="none"/>
        </w:rPr>
        <w:t>。</w:t>
      </w:r>
    </w:p>
    <w:p>
      <w:pPr>
        <w:numPr>
          <w:ilvl w:val="0"/>
          <w:numId w:val="0"/>
        </w:numPr>
        <w:spacing w:before="10" w:after="10"/>
        <w:ind w:left="640" w:leftChars="0"/>
        <w:outlineLvl w:val="5"/>
        <w:rPr>
          <w:rFonts w:ascii="黑体" w:hAnsi="黑体" w:eastAsia="黑体" w:cs="黑体"/>
          <w:color w:val="000000"/>
          <w:sz w:val="32"/>
        </w:rPr>
      </w:pP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1、2022年计生合同制人员工资及运转经费（体制内）绩效目标表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1.保证计生合同制人员的合法权益，提高工作人员的工作积极性。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乡镇计生合同人员共计经费</w:t>
            </w:r>
          </w:p>
        </w:tc>
        <w:tc>
          <w:tcPr>
            <w:tcW w:w="2835" w:type="dxa"/>
            <w:vAlign w:val="center"/>
          </w:tcPr>
          <w:p>
            <w:pPr>
              <w:pStyle w:val="12"/>
            </w:pPr>
            <w:r>
              <w:t>乡镇计生合同人员共计经费</w:t>
            </w:r>
          </w:p>
        </w:tc>
        <w:tc>
          <w:tcPr>
            <w:tcW w:w="2551" w:type="dxa"/>
            <w:vAlign w:val="center"/>
          </w:tcPr>
          <w:p>
            <w:pPr>
              <w:pStyle w:val="12"/>
            </w:pPr>
            <w:r>
              <w:t>77.33</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按时发放工资次数</w:t>
            </w:r>
          </w:p>
        </w:tc>
        <w:tc>
          <w:tcPr>
            <w:tcW w:w="2835" w:type="dxa"/>
            <w:vAlign w:val="center"/>
          </w:tcPr>
          <w:p>
            <w:pPr>
              <w:pStyle w:val="12"/>
            </w:pPr>
            <w:r>
              <w:t>按时发放工资次数</w:t>
            </w:r>
          </w:p>
        </w:tc>
        <w:tc>
          <w:tcPr>
            <w:tcW w:w="2551" w:type="dxa"/>
            <w:vAlign w:val="center"/>
          </w:tcPr>
          <w:p>
            <w:pPr>
              <w:pStyle w:val="12"/>
            </w:pPr>
            <w:r>
              <w:t>≥11</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77.33</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推动绿色发展和绿色生活方式转变</w:t>
            </w:r>
          </w:p>
        </w:tc>
        <w:tc>
          <w:tcPr>
            <w:tcW w:w="2835" w:type="dxa"/>
            <w:vAlign w:val="center"/>
          </w:tcPr>
          <w:p>
            <w:pPr>
              <w:pStyle w:val="12"/>
            </w:pPr>
            <w:r>
              <w:t>推动绿色发展和绿色生活方式转变</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2、2022年唐邱镇财政员工资及保险（体制内）绩效目标表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1.保障财政所人员的正常开支</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财政所人员个数</w:t>
            </w:r>
          </w:p>
        </w:tc>
        <w:tc>
          <w:tcPr>
            <w:tcW w:w="2835" w:type="dxa"/>
            <w:vAlign w:val="center"/>
          </w:tcPr>
          <w:p>
            <w:pPr>
              <w:pStyle w:val="12"/>
            </w:pPr>
            <w:r>
              <w:t>财政所人员个数</w:t>
            </w:r>
          </w:p>
        </w:tc>
        <w:tc>
          <w:tcPr>
            <w:tcW w:w="2551" w:type="dxa"/>
            <w:vAlign w:val="center"/>
          </w:tcPr>
          <w:p>
            <w:pPr>
              <w:pStyle w:val="12"/>
            </w:pPr>
            <w:r>
              <w:t>4名</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保障唐邱镇财政工作正常运转</w:t>
            </w:r>
          </w:p>
        </w:tc>
        <w:tc>
          <w:tcPr>
            <w:tcW w:w="2835" w:type="dxa"/>
            <w:vAlign w:val="center"/>
          </w:tcPr>
          <w:p>
            <w:pPr>
              <w:pStyle w:val="12"/>
            </w:pPr>
            <w:r>
              <w:t>保障唐邱镇财政工作正常运转</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32.12万元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创造性转化，创新性发展</w:t>
            </w:r>
          </w:p>
        </w:tc>
        <w:tc>
          <w:tcPr>
            <w:tcW w:w="2835" w:type="dxa"/>
            <w:vAlign w:val="center"/>
          </w:tcPr>
          <w:p>
            <w:pPr>
              <w:pStyle w:val="12"/>
            </w:pPr>
            <w:r>
              <w:t>创造性转化，创新性发展</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2835" w:type="dxa"/>
            <w:vAlign w:val="center"/>
          </w:tcPr>
          <w:p>
            <w:pPr>
              <w:pStyle w:val="12"/>
            </w:pPr>
            <w:r>
              <w:t>办理单位满意度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3、2022年唐邱镇镇、村两级综合治理经费（县补助）绩效目标表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1.做好镇、乡两级综合治理工作，提高工作效率，加快乡镇整体发展。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督办信访案件数</w:t>
            </w:r>
          </w:p>
        </w:tc>
        <w:tc>
          <w:tcPr>
            <w:tcW w:w="2835" w:type="dxa"/>
            <w:vAlign w:val="center"/>
          </w:tcPr>
          <w:p>
            <w:pPr>
              <w:pStyle w:val="12"/>
            </w:pPr>
            <w:r>
              <w:t>督办信访案件数</w:t>
            </w:r>
          </w:p>
        </w:tc>
        <w:tc>
          <w:tcPr>
            <w:tcW w:w="2551" w:type="dxa"/>
            <w:vAlign w:val="center"/>
          </w:tcPr>
          <w:p>
            <w:pPr>
              <w:pStyle w:val="12"/>
            </w:pPr>
            <w:r>
              <w:t>≥3例</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2835" w:type="dxa"/>
            <w:vAlign w:val="center"/>
          </w:tcPr>
          <w:p>
            <w:pPr>
              <w:pStyle w:val="12"/>
            </w:pPr>
            <w:r>
              <w:t>信访、宗教事项按期结案率</w:t>
            </w:r>
          </w:p>
        </w:tc>
        <w:tc>
          <w:tcPr>
            <w:tcW w:w="2551" w:type="dxa"/>
            <w:vAlign w:val="center"/>
          </w:tcPr>
          <w:p>
            <w:pPr>
              <w:pStyle w:val="12"/>
            </w:pPr>
            <w:r>
              <w:t>≥85%</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信访、个体访处理时间</w:t>
            </w:r>
          </w:p>
        </w:tc>
        <w:tc>
          <w:tcPr>
            <w:tcW w:w="2835" w:type="dxa"/>
            <w:vAlign w:val="center"/>
          </w:tcPr>
          <w:p>
            <w:pPr>
              <w:pStyle w:val="12"/>
            </w:pPr>
            <w:r>
              <w:t>信访、个体访处理时间</w:t>
            </w:r>
          </w:p>
        </w:tc>
        <w:tc>
          <w:tcPr>
            <w:tcW w:w="2551" w:type="dxa"/>
            <w:vAlign w:val="center"/>
          </w:tcPr>
          <w:p>
            <w:pPr>
              <w:pStyle w:val="12"/>
            </w:pPr>
            <w:r>
              <w:t>≤1周</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信访、宗教事件经费、综合治理经费</w:t>
            </w:r>
          </w:p>
        </w:tc>
        <w:tc>
          <w:tcPr>
            <w:tcW w:w="2835" w:type="dxa"/>
            <w:vAlign w:val="center"/>
          </w:tcPr>
          <w:p>
            <w:pPr>
              <w:pStyle w:val="12"/>
            </w:pPr>
            <w:r>
              <w:t>信访、宗教事件经费、综合治理经费</w:t>
            </w:r>
          </w:p>
        </w:tc>
        <w:tc>
          <w:tcPr>
            <w:tcW w:w="2551" w:type="dxa"/>
            <w:vAlign w:val="center"/>
          </w:tcPr>
          <w:p>
            <w:pPr>
              <w:pStyle w:val="12"/>
            </w:pPr>
            <w:r>
              <w:t>≤54.88万元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维护农村和谐和稳定。</w:t>
            </w:r>
          </w:p>
        </w:tc>
        <w:tc>
          <w:tcPr>
            <w:tcW w:w="2835" w:type="dxa"/>
            <w:vAlign w:val="center"/>
          </w:tcPr>
          <w:p>
            <w:pPr>
              <w:pStyle w:val="12"/>
            </w:pPr>
            <w:r>
              <w:t>维护农村和谐和稳定。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维护社会稳定、加快乡镇发展</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4、2022年消防经费绩效目标表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1.保障唐邱镇消防安全，维护社会稳定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辖区内涉及村庄数</w:t>
            </w:r>
          </w:p>
        </w:tc>
        <w:tc>
          <w:tcPr>
            <w:tcW w:w="2835" w:type="dxa"/>
            <w:vAlign w:val="center"/>
          </w:tcPr>
          <w:p>
            <w:pPr>
              <w:pStyle w:val="12"/>
            </w:pPr>
            <w:r>
              <w:t>辖区内涉及村庄数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安全等级保护合格率</w:t>
            </w:r>
          </w:p>
        </w:tc>
        <w:tc>
          <w:tcPr>
            <w:tcW w:w="2835" w:type="dxa"/>
            <w:vAlign w:val="center"/>
          </w:tcPr>
          <w:p>
            <w:pPr>
              <w:pStyle w:val="12"/>
            </w:pPr>
            <w:r>
              <w:t>安全等级保护合格率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安全事故报告时限</w:t>
            </w:r>
          </w:p>
        </w:tc>
        <w:tc>
          <w:tcPr>
            <w:tcW w:w="2835" w:type="dxa"/>
            <w:vAlign w:val="center"/>
          </w:tcPr>
          <w:p>
            <w:pPr>
              <w:pStyle w:val="12"/>
            </w:pPr>
            <w:r>
              <w:t>安全事故报告时限</w:t>
            </w:r>
          </w:p>
        </w:tc>
        <w:tc>
          <w:tcPr>
            <w:tcW w:w="2551" w:type="dxa"/>
            <w:vAlign w:val="center"/>
          </w:tcPr>
          <w:p>
            <w:pPr>
              <w:pStyle w:val="12"/>
            </w:pPr>
            <w:r>
              <w:t>≤2小时</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2835" w:type="dxa"/>
            <w:vAlign w:val="center"/>
          </w:tcPr>
          <w:p>
            <w:pPr>
              <w:pStyle w:val="12"/>
            </w:pPr>
            <w:r>
              <w:t>经费控制数</w:t>
            </w:r>
          </w:p>
        </w:tc>
        <w:tc>
          <w:tcPr>
            <w:tcW w:w="2551" w:type="dxa"/>
            <w:vAlign w:val="center"/>
          </w:tcPr>
          <w:p>
            <w:pPr>
              <w:pStyle w:val="12"/>
            </w:pPr>
            <w:r>
              <w:t>≤30万元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公众安全感指数(%)</w:t>
            </w:r>
          </w:p>
        </w:tc>
        <w:tc>
          <w:tcPr>
            <w:tcW w:w="2835" w:type="dxa"/>
            <w:vAlign w:val="center"/>
          </w:tcPr>
          <w:p>
            <w:pPr>
              <w:pStyle w:val="12"/>
            </w:pPr>
            <w:r>
              <w:t>公众安全感指数(%)</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1.加强村民法律意识，依法维护社会稳定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涉及村庄个数</w:t>
            </w:r>
          </w:p>
        </w:tc>
        <w:tc>
          <w:tcPr>
            <w:tcW w:w="2835" w:type="dxa"/>
            <w:vAlign w:val="center"/>
          </w:tcPr>
          <w:p>
            <w:pPr>
              <w:pStyle w:val="12"/>
            </w:pPr>
            <w:r>
              <w:t>涉及村庄个数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2835" w:type="dxa"/>
            <w:vAlign w:val="center"/>
          </w:tcPr>
          <w:p>
            <w:pPr>
              <w:pStyle w:val="12"/>
            </w:pPr>
            <w:r>
              <w:t>信访事项按期结案率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信访事项受理及时率</w:t>
            </w:r>
          </w:p>
        </w:tc>
        <w:tc>
          <w:tcPr>
            <w:tcW w:w="2835" w:type="dxa"/>
            <w:vAlign w:val="center"/>
          </w:tcPr>
          <w:p>
            <w:pPr>
              <w:pStyle w:val="12"/>
            </w:pPr>
            <w:r>
              <w:t>信访事项受理及时率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保持人社领域信访形势总体平稳可</w:t>
            </w:r>
          </w:p>
        </w:tc>
        <w:tc>
          <w:tcPr>
            <w:tcW w:w="2835" w:type="dxa"/>
            <w:vAlign w:val="center"/>
          </w:tcPr>
          <w:p>
            <w:pPr>
              <w:pStyle w:val="12"/>
            </w:pPr>
            <w:r>
              <w:t>保持人社领域信访形势总体平稳可控</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6、村级经费-村级组织办公经费（体制内）绩效目标表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1.保障15个村工作的正常运转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辖区内村庄个数</w:t>
            </w:r>
          </w:p>
        </w:tc>
        <w:tc>
          <w:tcPr>
            <w:tcW w:w="2835" w:type="dxa"/>
            <w:vAlign w:val="center"/>
          </w:tcPr>
          <w:p>
            <w:pPr>
              <w:pStyle w:val="12"/>
            </w:pPr>
            <w:r>
              <w:t>辖区内村庄个数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计划完成率</w:t>
            </w:r>
          </w:p>
        </w:tc>
        <w:tc>
          <w:tcPr>
            <w:tcW w:w="2835" w:type="dxa"/>
            <w:vAlign w:val="center"/>
          </w:tcPr>
          <w:p>
            <w:pPr>
              <w:pStyle w:val="12"/>
            </w:pPr>
            <w:r>
              <w:t>计划完成率</w:t>
            </w:r>
          </w:p>
        </w:tc>
        <w:tc>
          <w:tcPr>
            <w:tcW w:w="2551" w:type="dxa"/>
            <w:vAlign w:val="center"/>
          </w:tcPr>
          <w:p>
            <w:pPr>
              <w:pStyle w:val="12"/>
            </w:pPr>
            <w:r>
              <w:t>≥95%</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23.28万元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≥50%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7、基本公共服务-村级组织办公经费（体制内）绩效目标表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1.完成上级交办的任务，保障辖区内村级组织正常运转。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辖区内村庄个数</w:t>
            </w:r>
          </w:p>
        </w:tc>
        <w:tc>
          <w:tcPr>
            <w:tcW w:w="2835" w:type="dxa"/>
            <w:vAlign w:val="center"/>
          </w:tcPr>
          <w:p>
            <w:pPr>
              <w:pStyle w:val="12"/>
            </w:pPr>
            <w:r>
              <w:t>辖区内村庄个数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≥85%</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46.8万元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覆盖服务人口</w:t>
            </w:r>
          </w:p>
        </w:tc>
        <w:tc>
          <w:tcPr>
            <w:tcW w:w="2835" w:type="dxa"/>
            <w:vAlign w:val="center"/>
          </w:tcPr>
          <w:p>
            <w:pPr>
              <w:pStyle w:val="12"/>
            </w:pPr>
            <w:r>
              <w:t>覆盖服务人口</w:t>
            </w:r>
          </w:p>
        </w:tc>
        <w:tc>
          <w:tcPr>
            <w:tcW w:w="2551" w:type="dxa"/>
            <w:vAlign w:val="center"/>
          </w:tcPr>
          <w:p>
            <w:pPr>
              <w:pStyle w:val="12"/>
            </w:pPr>
            <w:r>
              <w:t>&gt;4000人</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空气质量为优超过总天数80%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8、基层武装经费-村党组织活动经费（体质内）绩效目标表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1.提高武装部工作人员的工作积极性和主动性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每月巡查村庄安全情况次数</w:t>
            </w:r>
          </w:p>
        </w:tc>
        <w:tc>
          <w:tcPr>
            <w:tcW w:w="2835" w:type="dxa"/>
            <w:vAlign w:val="center"/>
          </w:tcPr>
          <w:p>
            <w:pPr>
              <w:pStyle w:val="12"/>
            </w:pPr>
            <w:r>
              <w:t>每月巡查村庄安全情况次数</w:t>
            </w:r>
          </w:p>
        </w:tc>
        <w:tc>
          <w:tcPr>
            <w:tcW w:w="2551" w:type="dxa"/>
            <w:vAlign w:val="center"/>
          </w:tcPr>
          <w:p>
            <w:pPr>
              <w:pStyle w:val="12"/>
            </w:pPr>
            <w:r>
              <w:t>≥5次/月</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群众来访接待率</w:t>
            </w:r>
          </w:p>
        </w:tc>
        <w:tc>
          <w:tcPr>
            <w:tcW w:w="2835" w:type="dxa"/>
            <w:vAlign w:val="center"/>
          </w:tcPr>
          <w:p>
            <w:pPr>
              <w:pStyle w:val="12"/>
            </w:pPr>
            <w:r>
              <w:t>群众来访接待率</w:t>
            </w:r>
          </w:p>
        </w:tc>
        <w:tc>
          <w:tcPr>
            <w:tcW w:w="2551" w:type="dxa"/>
            <w:vAlign w:val="center"/>
          </w:tcPr>
          <w:p>
            <w:pPr>
              <w:pStyle w:val="12"/>
            </w:pPr>
            <w:r>
              <w:t>≥100%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835" w:type="dxa"/>
            <w:vAlign w:val="center"/>
          </w:tcPr>
          <w:p>
            <w:pPr>
              <w:pStyle w:val="12"/>
            </w:pPr>
            <w:r>
              <w:t>案件、资料上报及时率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参加培训人均成本</w:t>
            </w:r>
          </w:p>
        </w:tc>
        <w:tc>
          <w:tcPr>
            <w:tcW w:w="2835" w:type="dxa"/>
            <w:vAlign w:val="center"/>
          </w:tcPr>
          <w:p>
            <w:pPr>
              <w:pStyle w:val="12"/>
            </w:pPr>
            <w:r>
              <w:t>参加培训人均成本</w:t>
            </w:r>
          </w:p>
        </w:tc>
        <w:tc>
          <w:tcPr>
            <w:tcW w:w="2551" w:type="dxa"/>
            <w:vAlign w:val="center"/>
          </w:tcPr>
          <w:p>
            <w:pPr>
              <w:pStyle w:val="12"/>
            </w:pPr>
            <w:r>
              <w:t>200元/人</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公众安全感指数(%)</w:t>
            </w:r>
          </w:p>
        </w:tc>
        <w:tc>
          <w:tcPr>
            <w:tcW w:w="2835" w:type="dxa"/>
            <w:vAlign w:val="center"/>
          </w:tcPr>
          <w:p>
            <w:pPr>
              <w:pStyle w:val="12"/>
            </w:pPr>
            <w:r>
              <w:t>公众安全感指数(%)</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9、农村人居环境（农村环卫）-服务群众专项经费（体制内）绩效目标表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1.推进健康乡村建设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村庄个数</w:t>
            </w:r>
          </w:p>
        </w:tc>
        <w:tc>
          <w:tcPr>
            <w:tcW w:w="2835" w:type="dxa"/>
            <w:vAlign w:val="center"/>
          </w:tcPr>
          <w:p>
            <w:pPr>
              <w:pStyle w:val="12"/>
            </w:pPr>
            <w:r>
              <w:t>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抽查卫生合格率</w:t>
            </w:r>
          </w:p>
        </w:tc>
        <w:tc>
          <w:tcPr>
            <w:tcW w:w="2835" w:type="dxa"/>
            <w:vAlign w:val="center"/>
          </w:tcPr>
          <w:p>
            <w:pPr>
              <w:pStyle w:val="12"/>
            </w:pPr>
            <w:r>
              <w:t>抽查卫生合格率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2835" w:type="dxa"/>
            <w:vAlign w:val="center"/>
          </w:tcPr>
          <w:p>
            <w:pPr>
              <w:pStyle w:val="12"/>
            </w:pPr>
            <w:r>
              <w:t>项目实际支出是否控制在预算内</w:t>
            </w:r>
          </w:p>
        </w:tc>
        <w:tc>
          <w:tcPr>
            <w:tcW w:w="2551" w:type="dxa"/>
            <w:vAlign w:val="center"/>
          </w:tcPr>
          <w:p>
            <w:pPr>
              <w:pStyle w:val="12"/>
            </w:pPr>
            <w:r>
              <w:t>是</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2835" w:type="dxa"/>
            <w:vAlign w:val="center"/>
          </w:tcPr>
          <w:p>
            <w:pPr>
              <w:pStyle w:val="12"/>
            </w:pPr>
            <w:r>
              <w:t>环境改善情况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≥95%</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10、司宁线（唐邱乡至县城段）改建工程（县补助）绩效目标表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1.及时支付工程款。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2835" w:type="dxa"/>
            <w:vAlign w:val="center"/>
          </w:tcPr>
          <w:p>
            <w:pPr>
              <w:pStyle w:val="12"/>
            </w:pPr>
            <w:r>
              <w:t>工程量</w:t>
            </w:r>
          </w:p>
        </w:tc>
        <w:tc>
          <w:tcPr>
            <w:tcW w:w="2551" w:type="dxa"/>
            <w:vAlign w:val="center"/>
          </w:tcPr>
          <w:p>
            <w:pPr>
              <w:pStyle w:val="12"/>
            </w:pPr>
            <w:r>
              <w:t>11.42km</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2941.08万元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2835" w:type="dxa"/>
            <w:vAlign w:val="center"/>
          </w:tcPr>
          <w:p>
            <w:pPr>
              <w:pStyle w:val="12"/>
            </w:pPr>
            <w:r>
              <w:t>节水效果</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11、司宁线（唐邱乡至县城段）改建工程工程款（县补助）绩效目标表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1.按审计价格拨付工程款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2835" w:type="dxa"/>
            <w:vAlign w:val="center"/>
          </w:tcPr>
          <w:p>
            <w:pPr>
              <w:pStyle w:val="12"/>
            </w:pPr>
            <w:r>
              <w:t>工程量</w:t>
            </w:r>
          </w:p>
        </w:tc>
        <w:tc>
          <w:tcPr>
            <w:tcW w:w="2551" w:type="dxa"/>
            <w:vAlign w:val="center"/>
          </w:tcPr>
          <w:p>
            <w:pPr>
              <w:pStyle w:val="12"/>
            </w:pPr>
            <w:r>
              <w:t>11.42千米</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2835" w:type="dxa"/>
            <w:vAlign w:val="center"/>
          </w:tcPr>
          <w:p>
            <w:pPr>
              <w:pStyle w:val="12"/>
            </w:pPr>
            <w:r>
              <w:t>项目资金支付率</w:t>
            </w:r>
          </w:p>
        </w:tc>
        <w:tc>
          <w:tcPr>
            <w:tcW w:w="2551" w:type="dxa"/>
            <w:vAlign w:val="center"/>
          </w:tcPr>
          <w:p>
            <w:pPr>
              <w:pStyle w:val="12"/>
            </w:pPr>
            <w:r>
              <w:t>≥80%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农村公路路况水平</w:t>
            </w:r>
          </w:p>
        </w:tc>
        <w:tc>
          <w:tcPr>
            <w:tcW w:w="2835" w:type="dxa"/>
            <w:vAlign w:val="center"/>
          </w:tcPr>
          <w:p>
            <w:pPr>
              <w:pStyle w:val="12"/>
            </w:pPr>
            <w:r>
              <w:t>农村公路路况水平</w:t>
            </w:r>
          </w:p>
        </w:tc>
        <w:tc>
          <w:tcPr>
            <w:tcW w:w="2551" w:type="dxa"/>
            <w:vAlign w:val="center"/>
          </w:tcPr>
          <w:p>
            <w:pPr>
              <w:pStyle w:val="12"/>
            </w:pPr>
            <w:r>
              <w:t>公路状况良以上</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2835" w:type="dxa"/>
            <w:vAlign w:val="center"/>
          </w:tcPr>
          <w:p>
            <w:pPr>
              <w:pStyle w:val="12"/>
            </w:pPr>
            <w:r>
              <w:t>生态效益增长率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保障道路通畅</w:t>
            </w:r>
          </w:p>
        </w:tc>
        <w:tc>
          <w:tcPr>
            <w:tcW w:w="2835" w:type="dxa"/>
            <w:vAlign w:val="center"/>
          </w:tcPr>
          <w:p>
            <w:pPr>
              <w:pStyle w:val="12"/>
            </w:pPr>
            <w:r>
              <w:t>保障道路通畅</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12、司宁线至兼场道路翻修工程、岳家庄至兼场道路翻修工程工程款（县补助）绩效目标表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兼场出村路涉及工程数量</w:t>
            </w:r>
          </w:p>
        </w:tc>
        <w:tc>
          <w:tcPr>
            <w:tcW w:w="2835" w:type="dxa"/>
            <w:vAlign w:val="center"/>
          </w:tcPr>
          <w:p>
            <w:pPr>
              <w:pStyle w:val="12"/>
            </w:pPr>
            <w:r>
              <w:t>兼场出村路涉及工程数量</w:t>
            </w:r>
          </w:p>
        </w:tc>
        <w:tc>
          <w:tcPr>
            <w:tcW w:w="2551" w:type="dxa"/>
            <w:vAlign w:val="center"/>
          </w:tcPr>
          <w:p>
            <w:pPr>
              <w:pStyle w:val="12"/>
            </w:pPr>
            <w:r>
              <w:t>2个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由审计人员对工程进行审核</w:t>
            </w:r>
          </w:p>
        </w:tc>
        <w:tc>
          <w:tcPr>
            <w:tcW w:w="2835" w:type="dxa"/>
            <w:vAlign w:val="center"/>
          </w:tcPr>
          <w:p>
            <w:pPr>
              <w:pStyle w:val="12"/>
            </w:pPr>
            <w:r>
              <w:t>由审计人员对工程进行审核</w:t>
            </w:r>
          </w:p>
        </w:tc>
        <w:tc>
          <w:tcPr>
            <w:tcW w:w="2551" w:type="dxa"/>
            <w:vAlign w:val="center"/>
          </w:tcPr>
          <w:p>
            <w:pPr>
              <w:pStyle w:val="12"/>
            </w:pPr>
            <w:r>
              <w:t>良以上</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审计价格</w:t>
            </w:r>
          </w:p>
        </w:tc>
        <w:tc>
          <w:tcPr>
            <w:tcW w:w="2835" w:type="dxa"/>
            <w:vAlign w:val="center"/>
          </w:tcPr>
          <w:p>
            <w:pPr>
              <w:pStyle w:val="12"/>
            </w:pPr>
            <w:r>
              <w:t>审计价格</w:t>
            </w:r>
          </w:p>
        </w:tc>
        <w:tc>
          <w:tcPr>
            <w:tcW w:w="2551" w:type="dxa"/>
            <w:vAlign w:val="center"/>
          </w:tcPr>
          <w:p>
            <w:pPr>
              <w:pStyle w:val="12"/>
            </w:pPr>
            <w:r>
              <w:t>179.74万元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13、唐邱镇追加机关单位养老保险资金（县补助）绩效目标表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1.保障本单位按时上缴社会养老保险金。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追加养老保险资金</w:t>
            </w:r>
          </w:p>
        </w:tc>
        <w:tc>
          <w:tcPr>
            <w:tcW w:w="2835" w:type="dxa"/>
            <w:vAlign w:val="center"/>
          </w:tcPr>
          <w:p>
            <w:pPr>
              <w:pStyle w:val="12"/>
            </w:pPr>
            <w:r>
              <w:t>追加养老保险资金</w:t>
            </w:r>
          </w:p>
        </w:tc>
        <w:tc>
          <w:tcPr>
            <w:tcW w:w="2551" w:type="dxa"/>
            <w:vAlign w:val="center"/>
          </w:tcPr>
          <w:p>
            <w:pPr>
              <w:pStyle w:val="12"/>
            </w:pPr>
            <w:r>
              <w:t>15.22万元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养老金发放到位率</w:t>
            </w:r>
          </w:p>
        </w:tc>
        <w:tc>
          <w:tcPr>
            <w:tcW w:w="2835" w:type="dxa"/>
            <w:vAlign w:val="center"/>
          </w:tcPr>
          <w:p>
            <w:pPr>
              <w:pStyle w:val="12"/>
            </w:pPr>
            <w:r>
              <w:t>养老金发放到位率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追加养老保险资金</w:t>
            </w:r>
          </w:p>
        </w:tc>
        <w:tc>
          <w:tcPr>
            <w:tcW w:w="2835" w:type="dxa"/>
            <w:vAlign w:val="center"/>
          </w:tcPr>
          <w:p>
            <w:pPr>
              <w:pStyle w:val="12"/>
            </w:pPr>
            <w:r>
              <w:t>追加养老保险资金</w:t>
            </w:r>
          </w:p>
        </w:tc>
        <w:tc>
          <w:tcPr>
            <w:tcW w:w="2551" w:type="dxa"/>
            <w:vAlign w:val="center"/>
          </w:tcPr>
          <w:p>
            <w:pPr>
              <w:pStyle w:val="12"/>
            </w:pPr>
            <w:r>
              <w:t>15.22万元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2835" w:type="dxa"/>
            <w:vAlign w:val="center"/>
          </w:tcPr>
          <w:p>
            <w:pPr>
              <w:pStyle w:val="12"/>
            </w:pPr>
            <w:r>
              <w:t>促进生态文明建设，推动绿色发展和绿色生活方式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14、退役军人公用经费-村党组织活动经费（体制内）</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1.保障退役军人合法权益落实到位，主要负责退役军人优抚、安置等相关工作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办理退役军人日常业务件数</w:t>
            </w:r>
          </w:p>
        </w:tc>
        <w:tc>
          <w:tcPr>
            <w:tcW w:w="2835" w:type="dxa"/>
            <w:vAlign w:val="center"/>
          </w:tcPr>
          <w:p>
            <w:pPr>
              <w:pStyle w:val="12"/>
            </w:pPr>
            <w:r>
              <w:t>办理退役军人日常业务件数</w:t>
            </w:r>
          </w:p>
        </w:tc>
        <w:tc>
          <w:tcPr>
            <w:tcW w:w="2551" w:type="dxa"/>
            <w:vAlign w:val="center"/>
          </w:tcPr>
          <w:p>
            <w:pPr>
              <w:pStyle w:val="12"/>
            </w:pPr>
            <w:r>
              <w:t>≥10件/周</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综合业务管理工作完成率</w:t>
            </w:r>
          </w:p>
        </w:tc>
        <w:tc>
          <w:tcPr>
            <w:tcW w:w="2835" w:type="dxa"/>
            <w:vAlign w:val="center"/>
          </w:tcPr>
          <w:p>
            <w:pPr>
              <w:pStyle w:val="12"/>
            </w:pPr>
            <w:r>
              <w:t>综合业务管理工作完成率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完成工作目标所需资金</w:t>
            </w:r>
          </w:p>
        </w:tc>
        <w:tc>
          <w:tcPr>
            <w:tcW w:w="2835" w:type="dxa"/>
            <w:vAlign w:val="center"/>
          </w:tcPr>
          <w:p>
            <w:pPr>
              <w:pStyle w:val="12"/>
            </w:pPr>
            <w:r>
              <w:t>完成工作目标所需资金</w:t>
            </w:r>
          </w:p>
        </w:tc>
        <w:tc>
          <w:tcPr>
            <w:tcW w:w="2551" w:type="dxa"/>
            <w:vAlign w:val="center"/>
          </w:tcPr>
          <w:p>
            <w:pPr>
              <w:pStyle w:val="12"/>
            </w:pPr>
            <w:r>
              <w:t>26.86万元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≥50%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15、乡村振兴示范村工作队经费（县补助）绩效目标表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1.保障驻村工作队的驻村期间的必要费用。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驻村工作队队员人数</w:t>
            </w:r>
          </w:p>
        </w:tc>
        <w:tc>
          <w:tcPr>
            <w:tcW w:w="2835" w:type="dxa"/>
            <w:vAlign w:val="center"/>
          </w:tcPr>
          <w:p>
            <w:pPr>
              <w:pStyle w:val="12"/>
            </w:pPr>
            <w:r>
              <w:t>驻村工作队队员人数</w:t>
            </w:r>
          </w:p>
        </w:tc>
        <w:tc>
          <w:tcPr>
            <w:tcW w:w="2551" w:type="dxa"/>
            <w:vAlign w:val="center"/>
          </w:tcPr>
          <w:p>
            <w:pPr>
              <w:pStyle w:val="12"/>
            </w:pPr>
            <w:r>
              <w:t>3人</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驻村工作队每周下乡次数</w:t>
            </w:r>
          </w:p>
        </w:tc>
        <w:tc>
          <w:tcPr>
            <w:tcW w:w="2835" w:type="dxa"/>
            <w:vAlign w:val="center"/>
          </w:tcPr>
          <w:p>
            <w:pPr>
              <w:pStyle w:val="12"/>
            </w:pPr>
            <w:r>
              <w:t>驻村工作队每周下乡次数</w:t>
            </w:r>
          </w:p>
        </w:tc>
        <w:tc>
          <w:tcPr>
            <w:tcW w:w="2551" w:type="dxa"/>
            <w:vAlign w:val="center"/>
          </w:tcPr>
          <w:p>
            <w:pPr>
              <w:pStyle w:val="12"/>
            </w:pPr>
            <w:r>
              <w:t>≥4天</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住房、水电、交通补贴等共计</w:t>
            </w:r>
          </w:p>
        </w:tc>
        <w:tc>
          <w:tcPr>
            <w:tcW w:w="2835" w:type="dxa"/>
            <w:vAlign w:val="center"/>
          </w:tcPr>
          <w:p>
            <w:pPr>
              <w:pStyle w:val="12"/>
            </w:pPr>
            <w:r>
              <w:t>住房、水电、交通补贴等共计</w:t>
            </w:r>
          </w:p>
        </w:tc>
        <w:tc>
          <w:tcPr>
            <w:tcW w:w="2551" w:type="dxa"/>
            <w:vAlign w:val="center"/>
          </w:tcPr>
          <w:p>
            <w:pPr>
              <w:pStyle w:val="12"/>
            </w:pPr>
            <w:r>
              <w:t>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2022年，宁晋县唐邱镇人民政府本级安排政府采购预算0.00万元。具体内容见下表。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宁晋县唐邱镇人民政府本级上年末固定资产金额为</w:t>
      </w:r>
      <w:r>
        <w:rPr>
          <w:rFonts w:hint="eastAsia" w:eastAsia="方正仿宋_GBK"/>
          <w:color w:val="000000"/>
          <w:sz w:val="28"/>
          <w:lang w:val="en-US" w:eastAsia="zh-CN"/>
        </w:rPr>
        <w:t>210.742</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963001宁晋县唐邱镇人民政府本级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05EF2"/>
    <w:multiLevelType w:val="singleLevel"/>
    <w:tmpl w:val="84505EF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1OWJkZGEzOTk4ZGE3ZDhhYzAxY2Y1NjAyODY3YTAifQ=="/>
  </w:docVars>
  <w:rsids>
    <w:rsidRoot w:val="0048179D"/>
    <w:rsid w:val="0048179D"/>
    <w:rsid w:val="009F0DF8"/>
    <w:rsid w:val="00F50F7B"/>
    <w:rsid w:val="05C94225"/>
    <w:rsid w:val="1E5E5B8F"/>
    <w:rsid w:val="20C66B8F"/>
    <w:rsid w:val="243F4F27"/>
    <w:rsid w:val="291969C2"/>
    <w:rsid w:val="2EDF00C5"/>
    <w:rsid w:val="339E1B5B"/>
    <w:rsid w:val="3BE92468"/>
    <w:rsid w:val="46B7537D"/>
    <w:rsid w:val="56534650"/>
    <w:rsid w:val="62B03E93"/>
    <w:rsid w:val="68042E71"/>
    <w:rsid w:val="6E117011"/>
    <w:rsid w:val="6FD11CCE"/>
    <w:rsid w:val="7E1529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paragraph" w:customStyle="1" w:styleId="35">
    <w:name w:val="[Normal]"/>
    <w:qFormat/>
    <w:uiPriority w:val="0"/>
    <w:rPr>
      <w:rFonts w:ascii="宋体" w:hAnsi="宋体" w:eastAsia="宋体" w:cs="Times New Roman"/>
      <w:sz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fontTable.xml" Type="http://schemas.openxmlformats.org/officeDocument/2006/relationships/fontTable"/><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2022-07-27T10:19:14Z</dcterms:created>
  <dcterms:modified xsi:type="dcterms:W3CDTF">2022-07-27T02:19:13Z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2022-07-27T10:19:12Z</dcterms:created>
  <dcterms:modified xsi:type="dcterms:W3CDTF">2022-07-27T02:19:12Z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2022-07-27T10:19:09Z</dcterms:created>
  <dcterms:modified xsi:type="dcterms:W3CDTF">2022-07-27T02:19:09Z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C56DE6C-5EB2-445C-908F-59022445BC98}">
  <ds:schemaRefs/>
</ds:datastoreItem>
</file>

<file path=customXml/itemProps10.xml><?xml version="1.0" encoding="utf-8"?>
<ds:datastoreItem xmlns:ds="http://schemas.openxmlformats.org/officeDocument/2006/customXml" ds:itemID="{E10CFD5F-755E-4888-A3DE-E0FA23A1AD40}">
  <ds:schemaRefs/>
</ds:datastoreItem>
</file>

<file path=customXml/itemProps11.xml><?xml version="1.0" encoding="utf-8"?>
<ds:datastoreItem xmlns:ds="http://schemas.openxmlformats.org/officeDocument/2006/customXml" ds:itemID="{D720A5DC-D471-4135-8416-1CD9661520A1}">
  <ds:schemaRefs/>
</ds:datastoreItem>
</file>

<file path=customXml/itemProps12.xml><?xml version="1.0" encoding="utf-8"?>
<ds:datastoreItem xmlns:ds="http://schemas.openxmlformats.org/officeDocument/2006/customXml" ds:itemID="{5227AB9A-6862-45A8-970E-91A863ED8192}">
  <ds:schemaRefs/>
</ds:datastoreItem>
</file>

<file path=customXml/itemProps13.xml><?xml version="1.0" encoding="utf-8"?>
<ds:datastoreItem xmlns:ds="http://schemas.openxmlformats.org/officeDocument/2006/customXml" ds:itemID="{896D823E-0779-4E4B-A0E9-ED09ECA3354B}">
  <ds:schemaRefs/>
</ds:datastoreItem>
</file>

<file path=customXml/itemProps14.xml><?xml version="1.0" encoding="utf-8"?>
<ds:datastoreItem xmlns:ds="http://schemas.openxmlformats.org/officeDocument/2006/customXml" ds:itemID="{5BD9F41B-B78A-41CD-80A5-53F2B56CED54}">
  <ds:schemaRefs/>
</ds:datastoreItem>
</file>

<file path=customXml/itemProps15.xml><?xml version="1.0" encoding="utf-8"?>
<ds:datastoreItem xmlns:ds="http://schemas.openxmlformats.org/officeDocument/2006/customXml" ds:itemID="{421E8C1A-14E1-4DD1-9197-2EB3036A4ECF}">
  <ds:schemaRefs/>
</ds:datastoreItem>
</file>

<file path=customXml/itemProps16.xml><?xml version="1.0" encoding="utf-8"?>
<ds:datastoreItem xmlns:ds="http://schemas.openxmlformats.org/officeDocument/2006/customXml" ds:itemID="{270D3495-F006-47AB-B7FA-4E7C0524C398}">
  <ds:schemaRefs/>
</ds:datastoreItem>
</file>

<file path=customXml/itemProps17.xml><?xml version="1.0" encoding="utf-8"?>
<ds:datastoreItem xmlns:ds="http://schemas.openxmlformats.org/officeDocument/2006/customXml" ds:itemID="{48F78162-097A-4043-9786-7B16044D18A1}">
  <ds:schemaRefs/>
</ds:datastoreItem>
</file>

<file path=customXml/itemProps18.xml><?xml version="1.0" encoding="utf-8"?>
<ds:datastoreItem xmlns:ds="http://schemas.openxmlformats.org/officeDocument/2006/customXml" ds:itemID="{14B59164-8C82-4B06-8448-C3987EC5B41E}">
  <ds:schemaRefs/>
</ds:datastoreItem>
</file>

<file path=customXml/itemProps19.xml><?xml version="1.0" encoding="utf-8"?>
<ds:datastoreItem xmlns:ds="http://schemas.openxmlformats.org/officeDocument/2006/customXml" ds:itemID="{DBD29581-3BC1-4404-9C9C-9EB94B05E332}">
  <ds:schemaRefs/>
</ds:datastoreItem>
</file>

<file path=customXml/itemProps2.xml><?xml version="1.0" encoding="utf-8"?>
<ds:datastoreItem xmlns:ds="http://schemas.openxmlformats.org/officeDocument/2006/customXml" ds:itemID="{A62B14FF-24FF-4D08-9A74-0765CE7ABBE3}">
  <ds:schemaRefs/>
</ds:datastoreItem>
</file>

<file path=customXml/itemProps20.xml><?xml version="1.0" encoding="utf-8"?>
<ds:datastoreItem xmlns:ds="http://schemas.openxmlformats.org/officeDocument/2006/customXml" ds:itemID="{C5086C34-498C-4524-ADD5-1D9B0F74674B}">
  <ds:schemaRefs/>
</ds:datastoreItem>
</file>

<file path=customXml/itemProps21.xml><?xml version="1.0" encoding="utf-8"?>
<ds:datastoreItem xmlns:ds="http://schemas.openxmlformats.org/officeDocument/2006/customXml" ds:itemID="{83C58D19-C555-4D95-9436-8F5FB211D764}">
  <ds:schemaRefs/>
</ds:datastoreItem>
</file>

<file path=customXml/itemProps22.xml><?xml version="1.0" encoding="utf-8"?>
<ds:datastoreItem xmlns:ds="http://schemas.openxmlformats.org/officeDocument/2006/customXml" ds:itemID="{A3EC0CFA-2D0C-447F-ADAA-97255010E80F}">
  <ds:schemaRefs/>
</ds:datastoreItem>
</file>

<file path=customXml/itemProps23.xml><?xml version="1.0" encoding="utf-8"?>
<ds:datastoreItem xmlns:ds="http://schemas.openxmlformats.org/officeDocument/2006/customXml" ds:itemID="{B416AA64-A55A-4A57-8920-EC439E46E508}">
  <ds:schemaRefs/>
</ds:datastoreItem>
</file>

<file path=customXml/itemProps24.xml><?xml version="1.0" encoding="utf-8"?>
<ds:datastoreItem xmlns:ds="http://schemas.openxmlformats.org/officeDocument/2006/customXml" ds:itemID="{8D2BC34E-2709-4714-913B-8685BC538658}">
  <ds:schemaRefs/>
</ds:datastoreItem>
</file>

<file path=customXml/itemProps25.xml><?xml version="1.0" encoding="utf-8"?>
<ds:datastoreItem xmlns:ds="http://schemas.openxmlformats.org/officeDocument/2006/customXml" ds:itemID="{D84BB4D3-B4DC-4CC6-8222-4B62C9C4DCDE}">
  <ds:schemaRefs/>
</ds:datastoreItem>
</file>

<file path=customXml/itemProps26.xml><?xml version="1.0" encoding="utf-8"?>
<ds:datastoreItem xmlns:ds="http://schemas.openxmlformats.org/officeDocument/2006/customXml" ds:itemID="{AF8AFAB5-BBB8-4FF2-ACC3-08EFF3C594E1}">
  <ds:schemaRefs/>
</ds:datastoreItem>
</file>

<file path=customXml/itemProps27.xml><?xml version="1.0" encoding="utf-8"?>
<ds:datastoreItem xmlns:ds="http://schemas.openxmlformats.org/officeDocument/2006/customXml" ds:itemID="{45930F69-427C-4FF4-9118-1C03B3611CA4}">
  <ds:schemaRefs/>
</ds:datastoreItem>
</file>

<file path=customXml/itemProps28.xml><?xml version="1.0" encoding="utf-8"?>
<ds:datastoreItem xmlns:ds="http://schemas.openxmlformats.org/officeDocument/2006/customXml" ds:itemID="{2F6B0DC3-362E-4F41-8AE7-9860B694A476}">
  <ds:schemaRefs/>
</ds:datastoreItem>
</file>

<file path=customXml/itemProps29.xml><?xml version="1.0" encoding="utf-8"?>
<ds:datastoreItem xmlns:ds="http://schemas.openxmlformats.org/officeDocument/2006/customXml" ds:itemID="{F7DF5704-D1D5-4787-AF2C-0DAD922C5400}">
  <ds:schemaRefs/>
</ds:datastoreItem>
</file>

<file path=customXml/itemProps3.xml><?xml version="1.0" encoding="utf-8"?>
<ds:datastoreItem xmlns:ds="http://schemas.openxmlformats.org/officeDocument/2006/customXml" ds:itemID="{30C4E232-4379-48F6-BDEF-3C4F6D297C88}">
  <ds:schemaRefs/>
</ds:datastoreItem>
</file>

<file path=customXml/itemProps30.xml><?xml version="1.0" encoding="utf-8"?>
<ds:datastoreItem xmlns:ds="http://schemas.openxmlformats.org/officeDocument/2006/customXml" ds:itemID="{EC9C46F5-466C-4364-89E8-D6A0A30394F0}">
  <ds:schemaRefs/>
</ds:datastoreItem>
</file>

<file path=customXml/itemProps31.xml><?xml version="1.0" encoding="utf-8"?>
<ds:datastoreItem xmlns:ds="http://schemas.openxmlformats.org/officeDocument/2006/customXml" ds:itemID="{25DF9CF8-29D4-41C7-A2A1-56E82FAEB033}">
  <ds:schemaRefs/>
</ds:datastoreItem>
</file>

<file path=customXml/itemProps32.xml><?xml version="1.0" encoding="utf-8"?>
<ds:datastoreItem xmlns:ds="http://schemas.openxmlformats.org/officeDocument/2006/customXml" ds:itemID="{750A764C-B7AC-4C25-A290-5DE886E7754D}">
  <ds:schemaRefs/>
</ds:datastoreItem>
</file>

<file path=customXml/itemProps33.xml><?xml version="1.0" encoding="utf-8"?>
<ds:datastoreItem xmlns:ds="http://schemas.openxmlformats.org/officeDocument/2006/customXml" ds:itemID="{83130F34-4F68-4282-B26B-CB149B421697}">
  <ds:schemaRefs/>
</ds:datastoreItem>
</file>

<file path=customXml/itemProps34.xml><?xml version="1.0" encoding="utf-8"?>
<ds:datastoreItem xmlns:ds="http://schemas.openxmlformats.org/officeDocument/2006/customXml" ds:itemID="{BCF373FE-778F-408C-97CC-2BAF894726E2}">
  <ds:schemaRefs/>
</ds:datastoreItem>
</file>

<file path=customXml/itemProps35.xml><?xml version="1.0" encoding="utf-8"?>
<ds:datastoreItem xmlns:ds="http://schemas.openxmlformats.org/officeDocument/2006/customXml" ds:itemID="{BDDC50FC-866F-4FD9-B02C-84AC073F0145}">
  <ds:schemaRefs/>
</ds:datastoreItem>
</file>

<file path=customXml/itemProps36.xml><?xml version="1.0" encoding="utf-8"?>
<ds:datastoreItem xmlns:ds="http://schemas.openxmlformats.org/officeDocument/2006/customXml" ds:itemID="{68AAF8EE-433A-42D1-92FC-7F137904FC57}">
  <ds:schemaRefs/>
</ds:datastoreItem>
</file>

<file path=customXml/itemProps37.xml><?xml version="1.0" encoding="utf-8"?>
<ds:datastoreItem xmlns:ds="http://schemas.openxmlformats.org/officeDocument/2006/customXml" ds:itemID="{8525B2ED-B8DC-4EE4-8919-C88886C8022B}">
  <ds:schemaRefs/>
</ds:datastoreItem>
</file>

<file path=customXml/itemProps38.xml><?xml version="1.0" encoding="utf-8"?>
<ds:datastoreItem xmlns:ds="http://schemas.openxmlformats.org/officeDocument/2006/customXml" ds:itemID="{55EC8B20-FB76-4960-ADDF-0DBA999C599F}">
  <ds:schemaRefs/>
</ds:datastoreItem>
</file>

<file path=customXml/itemProps39.xml><?xml version="1.0" encoding="utf-8"?>
<ds:datastoreItem xmlns:ds="http://schemas.openxmlformats.org/officeDocument/2006/customXml" ds:itemID="{25D0DF2F-6090-4392-9E02-0A3DDEC87B77}">
  <ds:schemaRefs/>
</ds:datastoreItem>
</file>

<file path=customXml/itemProps4.xml><?xml version="1.0" encoding="utf-8"?>
<ds:datastoreItem xmlns:ds="http://schemas.openxmlformats.org/officeDocument/2006/customXml" ds:itemID="{35CE014A-33E7-48AC-AEB7-2756A165F175}">
  <ds:schemaRefs/>
</ds:datastoreItem>
</file>

<file path=customXml/itemProps40.xml><?xml version="1.0" encoding="utf-8"?>
<ds:datastoreItem xmlns:ds="http://schemas.openxmlformats.org/officeDocument/2006/customXml" ds:itemID="{985599D5-4E1F-4D4F-9185-57B4244AC28B}">
  <ds:schemaRefs/>
</ds:datastoreItem>
</file>

<file path=customXml/itemProps41.xml><?xml version="1.0" encoding="utf-8"?>
<ds:datastoreItem xmlns:ds="http://schemas.openxmlformats.org/officeDocument/2006/customXml" ds:itemID="{E49D4CD3-6584-4F18-A75D-A6DD40E81F05}">
  <ds:schemaRefs/>
</ds:datastoreItem>
</file>

<file path=customXml/itemProps42.xml><?xml version="1.0" encoding="utf-8"?>
<ds:datastoreItem xmlns:ds="http://schemas.openxmlformats.org/officeDocument/2006/customXml" ds:itemID="{6B8C9027-942B-4C29-BCB8-98FFDD71D51C}">
  <ds:schemaRefs/>
</ds:datastoreItem>
</file>

<file path=customXml/itemProps43.xml><?xml version="1.0" encoding="utf-8"?>
<ds:datastoreItem xmlns:ds="http://schemas.openxmlformats.org/officeDocument/2006/customXml" ds:itemID="{CAE798BD-A204-4F86-829A-49B15FF1984D}">
  <ds:schemaRefs/>
</ds:datastoreItem>
</file>

<file path=customXml/itemProps44.xml><?xml version="1.0" encoding="utf-8"?>
<ds:datastoreItem xmlns:ds="http://schemas.openxmlformats.org/officeDocument/2006/customXml" ds:itemID="{0DF0D831-CFCB-4361-90A6-A6787CB3D901}">
  <ds:schemaRefs/>
</ds:datastoreItem>
</file>

<file path=customXml/itemProps45.xml><?xml version="1.0" encoding="utf-8"?>
<ds:datastoreItem xmlns:ds="http://schemas.openxmlformats.org/officeDocument/2006/customXml" ds:itemID="{D86236BB-4B12-4CAB-AD9C-00C87DA1DF78}">
  <ds:schemaRefs/>
</ds:datastoreItem>
</file>

<file path=customXml/itemProps46.xml><?xml version="1.0" encoding="utf-8"?>
<ds:datastoreItem xmlns:ds="http://schemas.openxmlformats.org/officeDocument/2006/customXml" ds:itemID="{A676D5E3-4F6E-4516-807E-1AD3D2309464}">
  <ds:schemaRefs/>
</ds:datastoreItem>
</file>

<file path=customXml/itemProps47.xml><?xml version="1.0" encoding="utf-8"?>
<ds:datastoreItem xmlns:ds="http://schemas.openxmlformats.org/officeDocument/2006/customXml" ds:itemID="{73D8A744-59B6-4E7D-888E-8A40F5A5CE59}">
  <ds:schemaRefs/>
</ds:datastoreItem>
</file>

<file path=customXml/itemProps48.xml><?xml version="1.0" encoding="utf-8"?>
<ds:datastoreItem xmlns:ds="http://schemas.openxmlformats.org/officeDocument/2006/customXml" ds:itemID="{C1898800-5B89-421E-A7A7-0CCA425A82BD}">
  <ds:schemaRefs/>
</ds:datastoreItem>
</file>

<file path=customXml/itemProps49.xml><?xml version="1.0" encoding="utf-8"?>
<ds:datastoreItem xmlns:ds="http://schemas.openxmlformats.org/officeDocument/2006/customXml" ds:itemID="{FB54BC0D-A47E-48E6-BB3C-C99ED310C8BF}">
  <ds:schemaRefs/>
</ds:datastoreItem>
</file>

<file path=customXml/itemProps5.xml><?xml version="1.0" encoding="utf-8"?>
<ds:datastoreItem xmlns:ds="http://schemas.openxmlformats.org/officeDocument/2006/customXml" ds:itemID="{34A330EC-1B21-4582-8162-41341F0F5302}">
  <ds:schemaRefs/>
</ds:datastoreItem>
</file>

<file path=customXml/itemProps50.xml><?xml version="1.0" encoding="utf-8"?>
<ds:datastoreItem xmlns:ds="http://schemas.openxmlformats.org/officeDocument/2006/customXml" ds:itemID="{9D75586F-DB24-43BF-A499-BA39077581E6}">
  <ds:schemaRefs/>
</ds:datastoreItem>
</file>

<file path=customXml/itemProps51.xml><?xml version="1.0" encoding="utf-8"?>
<ds:datastoreItem xmlns:ds="http://schemas.openxmlformats.org/officeDocument/2006/customXml" ds:itemID="{0E0D3EBA-8EB5-4FDA-A201-BD425530F84C}">
  <ds:schemaRefs/>
</ds:datastoreItem>
</file>

<file path=customXml/itemProps52.xml><?xml version="1.0" encoding="utf-8"?>
<ds:datastoreItem xmlns:ds="http://schemas.openxmlformats.org/officeDocument/2006/customXml" ds:itemID="{E82041E7-7189-4895-A839-51AE1CBCEC9C}">
  <ds:schemaRefs/>
</ds:datastoreItem>
</file>

<file path=customXml/itemProps53.xml><?xml version="1.0" encoding="utf-8"?>
<ds:datastoreItem xmlns:ds="http://schemas.openxmlformats.org/officeDocument/2006/customXml" ds:itemID="{C0AD4917-F11B-4F05-9465-64E41F8764D8}">
  <ds:schemaRefs/>
</ds:datastoreItem>
</file>

<file path=customXml/itemProps54.xml><?xml version="1.0" encoding="utf-8"?>
<ds:datastoreItem xmlns:ds="http://schemas.openxmlformats.org/officeDocument/2006/customXml" ds:itemID="{F49AE909-82E6-498C-ABE1-F7BE0E33A81D}">
  <ds:schemaRefs/>
</ds:datastoreItem>
</file>

<file path=customXml/itemProps55.xml><?xml version="1.0" encoding="utf-8"?>
<ds:datastoreItem xmlns:ds="http://schemas.openxmlformats.org/officeDocument/2006/customXml" ds:itemID="{81705EA9-EC98-4384-9A8B-B6F96AC98E4C}">
  <ds:schemaRefs/>
</ds:datastoreItem>
</file>

<file path=customXml/itemProps56.xml><?xml version="1.0" encoding="utf-8"?>
<ds:datastoreItem xmlns:ds="http://schemas.openxmlformats.org/officeDocument/2006/customXml" ds:itemID="{ED1780CD-6D81-4B2D-8F30-9A571B989017}">
  <ds:schemaRefs/>
</ds:datastoreItem>
</file>

<file path=customXml/itemProps57.xml><?xml version="1.0" encoding="utf-8"?>
<ds:datastoreItem xmlns:ds="http://schemas.openxmlformats.org/officeDocument/2006/customXml" ds:itemID="{C7CF9C22-2D0C-44AC-8F3E-65E376021227}">
  <ds:schemaRefs/>
</ds:datastoreItem>
</file>

<file path=customXml/itemProps58.xml><?xml version="1.0" encoding="utf-8"?>
<ds:datastoreItem xmlns:ds="http://schemas.openxmlformats.org/officeDocument/2006/customXml" ds:itemID="{6FCACFE3-906F-496B-83CF-B7AC88550CF9}">
  <ds:schemaRefs/>
</ds:datastoreItem>
</file>

<file path=customXml/itemProps59.xml><?xml version="1.0" encoding="utf-8"?>
<ds:datastoreItem xmlns:ds="http://schemas.openxmlformats.org/officeDocument/2006/customXml" ds:itemID="{4472C2C9-C379-4BAA-92FB-94098950F120}">
  <ds:schemaRefs/>
</ds:datastoreItem>
</file>

<file path=customXml/itemProps6.xml><?xml version="1.0" encoding="utf-8"?>
<ds:datastoreItem xmlns:ds="http://schemas.openxmlformats.org/officeDocument/2006/customXml" ds:itemID="{C17E9C3F-DE37-4C37-B655-99E3FB74B88E}">
  <ds:schemaRefs/>
</ds:datastoreItem>
</file>

<file path=customXml/itemProps60.xml><?xml version="1.0" encoding="utf-8"?>
<ds:datastoreItem xmlns:ds="http://schemas.openxmlformats.org/officeDocument/2006/customXml" ds:itemID="{85F21917-056F-4522-B36D-9E149A90A5EF}">
  <ds:schemaRefs/>
</ds:datastoreItem>
</file>

<file path=customXml/itemProps61.xml><?xml version="1.0" encoding="utf-8"?>
<ds:datastoreItem xmlns:ds="http://schemas.openxmlformats.org/officeDocument/2006/customXml" ds:itemID="{067CA9DF-B404-4F84-913D-7905A9EF16E5}">
  <ds:schemaRefs/>
</ds:datastoreItem>
</file>

<file path=customXml/itemProps62.xml><?xml version="1.0" encoding="utf-8"?>
<ds:datastoreItem xmlns:ds="http://schemas.openxmlformats.org/officeDocument/2006/customXml" ds:itemID="{E7174D37-5394-4A3A-8C8A-7C4B77A10F49}">
  <ds:schemaRefs/>
</ds:datastoreItem>
</file>

<file path=customXml/itemProps63.xml><?xml version="1.0" encoding="utf-8"?>
<ds:datastoreItem xmlns:ds="http://schemas.openxmlformats.org/officeDocument/2006/customXml" ds:itemID="{A939D7E3-3086-4C5A-B72F-24B1033FF0A0}">
  <ds:schemaRefs/>
</ds:datastoreItem>
</file>

<file path=customXml/itemProps64.xml><?xml version="1.0" encoding="utf-8"?>
<ds:datastoreItem xmlns:ds="http://schemas.openxmlformats.org/officeDocument/2006/customXml" ds:itemID="{C65328C1-08CB-46C5-9498-065CF4B43DFD}">
  <ds:schemaRefs/>
</ds:datastoreItem>
</file>

<file path=customXml/itemProps65.xml><?xml version="1.0" encoding="utf-8"?>
<ds:datastoreItem xmlns:ds="http://schemas.openxmlformats.org/officeDocument/2006/customXml" ds:itemID="{AC7F33B3-056B-45C2-9F17-18701A1E1098}">
  <ds:schemaRefs/>
</ds:datastoreItem>
</file>

<file path=customXml/itemProps66.xml><?xml version="1.0" encoding="utf-8"?>
<ds:datastoreItem xmlns:ds="http://schemas.openxmlformats.org/officeDocument/2006/customXml" ds:itemID="{9A11B6AB-6990-4E85-A5D6-843C7FEE5CB5}">
  <ds:schemaRefs/>
</ds:datastoreItem>
</file>

<file path=customXml/itemProps67.xml><?xml version="1.0" encoding="utf-8"?>
<ds:datastoreItem xmlns:ds="http://schemas.openxmlformats.org/officeDocument/2006/customXml" ds:itemID="{26D96CAB-D0ED-4D62-BEA2-18580C81B55E}">
  <ds:schemaRefs/>
</ds:datastoreItem>
</file>

<file path=customXml/itemProps68.xml><?xml version="1.0" encoding="utf-8"?>
<ds:datastoreItem xmlns:ds="http://schemas.openxmlformats.org/officeDocument/2006/customXml" ds:itemID="{9FF80C5C-684B-49F1-8DCB-954A05106FBE}">
  <ds:schemaRefs/>
</ds:datastoreItem>
</file>

<file path=customXml/itemProps69.xml><?xml version="1.0" encoding="utf-8"?>
<ds:datastoreItem xmlns:ds="http://schemas.openxmlformats.org/officeDocument/2006/customXml" ds:itemID="{CD952590-6817-4C99-A687-0FE08BA65625}">
  <ds:schemaRefs/>
</ds:datastoreItem>
</file>

<file path=customXml/itemProps7.xml><?xml version="1.0" encoding="utf-8"?>
<ds:datastoreItem xmlns:ds="http://schemas.openxmlformats.org/officeDocument/2006/customXml" ds:itemID="{D05BDA8E-7ED9-477B-974F-664D0EDEE939}">
  <ds:schemaRefs/>
</ds:datastoreItem>
</file>

<file path=customXml/itemProps70.xml><?xml version="1.0" encoding="utf-8"?>
<ds:datastoreItem xmlns:ds="http://schemas.openxmlformats.org/officeDocument/2006/customXml" ds:itemID="{C02ADE5F-DF7D-4B44-9822-021045E63685}">
  <ds:schemaRefs/>
</ds:datastoreItem>
</file>

<file path=customXml/itemProps8.xml><?xml version="1.0" encoding="utf-8"?>
<ds:datastoreItem xmlns:ds="http://schemas.openxmlformats.org/officeDocument/2006/customXml" ds:itemID="{9BF3A2A3-FEB1-488D-B326-2696C5C9C624}">
  <ds:schemaRefs/>
</ds:datastoreItem>
</file>

<file path=customXml/itemProps9.xml><?xml version="1.0" encoding="utf-8"?>
<ds:datastoreItem xmlns:ds="http://schemas.openxmlformats.org/officeDocument/2006/customXml" ds:itemID="{1428052F-A7E2-4CD6-9BE0-BCEDCF93189C}">
  <ds:schemaRefs/>
</ds:datastoreItem>
</file>

<file path=docProps/app.xml><?xml version="1.0" encoding="utf-8"?>
<Properties xmlns="http://schemas.openxmlformats.org/officeDocument/2006/extended-properties" xmlns:vt="http://schemas.openxmlformats.org/officeDocument/2006/docPropsVTypes">
  <Template>Normal</Template>
  <Company>CaiHong</Company>
  <Pages>41</Pages>
  <Words>10686</Words>
  <Characters>13435</Characters>
  <Lines>240</Lines>
  <Paragraphs>67</Paragraphs>
  <TotalTime>7</TotalTime>
  <ScaleCrop>false</ScaleCrop>
  <LinksUpToDate>false</LinksUpToDate>
  <CharactersWithSpaces>13610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2022-07-27T02:23:00Z</dcterms:created>
  <dc:creator>Administrator</dc:creator>
  <cp:lastModifiedBy>elsa112233</cp:lastModifiedBy>
  <cp:lastPrinted>2022-07-27T02:50:00Z</cp:lastPrinted>
  <dcterms:modified xsi:type="dcterms:W3CDTF">2024-02-01T06:29:46Z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DE388DB7BE6D45899C18ADB73E6935DC</vt:lpwstr>
  </property>
</Properties>
</file>