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bookmarkStart w:id="43" w:name="_GoBack"/>
      <w:bookmarkEnd w:id="43"/>
    </w:p>
    <w:p>
      <w:pPr>
        <w:rPr>
          <w:rFonts w:hint="eastAsia"/>
        </w:rPr>
      </w:pPr>
    </w:p>
    <w:p>
      <w:pPr>
        <w:jc w:val="center"/>
        <w:rPr>
          <w:rFonts w:hint="eastAsia" w:ascii="宋体-方正超大字符集" w:hAnsi="宋体-方正超大字符集" w:eastAsia="宋体-方正超大字符集" w:cs="宋体-方正超大字符集"/>
          <w:b/>
          <w:bCs/>
          <w:sz w:val="44"/>
          <w:szCs w:val="44"/>
        </w:rPr>
      </w:pPr>
      <w:r>
        <w:rPr>
          <w:rFonts w:hint="eastAsia" w:ascii="宋体-方正超大字符集" w:hAnsi="宋体-方正超大字符集" w:eastAsia="宋体-方正超大字符集" w:cs="宋体-方正超大字符集"/>
          <w:b/>
          <w:bCs/>
          <w:sz w:val="44"/>
          <w:szCs w:val="44"/>
        </w:rPr>
        <w:t>宁晋县民政局</w:t>
      </w:r>
    </w:p>
    <w:p>
      <w:pPr>
        <w:jc w:val="center"/>
        <w:rPr>
          <w:rFonts w:hint="eastAsia"/>
          <w:b/>
          <w:bCs/>
          <w:sz w:val="44"/>
          <w:szCs w:val="44"/>
        </w:rPr>
      </w:pPr>
      <w:r>
        <w:rPr>
          <w:rFonts w:hint="eastAsia" w:ascii="宋体-方正超大字符集" w:hAnsi="宋体-方正超大字符集" w:eastAsia="宋体-方正超大字符集" w:cs="宋体-方正超大字符集"/>
          <w:b/>
          <w:bCs/>
          <w:sz w:val="44"/>
          <w:szCs w:val="44"/>
        </w:rPr>
        <w:t>2021年单位预算信息公开目录</w:t>
      </w:r>
    </w:p>
    <w:p>
      <w:pPr>
        <w:autoSpaceDE w:val="0"/>
        <w:autoSpaceDN w:val="0"/>
        <w:adjustRightInd w:val="0"/>
        <w:ind w:firstLine="585"/>
        <w:jc w:val="left"/>
        <w:rPr>
          <w:rFonts w:hint="eastAsia" w:ascii="仿宋_GB2312" w:hAnsi="仿宋_GB2312" w:eastAsia="仿宋_GB2312" w:cs="仿宋_GB2312"/>
          <w:sz w:val="30"/>
          <w:szCs w:val="30"/>
        </w:rPr>
      </w:pPr>
    </w:p>
    <w:p>
      <w:pPr>
        <w:autoSpaceDE w:val="0"/>
        <w:autoSpaceDN w:val="0"/>
        <w:adjustRightInd w:val="0"/>
        <w:ind w:firstLine="585"/>
        <w:jc w:val="left"/>
        <w:rPr>
          <w:rFonts w:hint="eastAsia" w:ascii="仿宋_GB2312" w:hAnsi="仿宋_GB2312" w:eastAsia="微软雅黑" w:cs="仿宋_GB2312"/>
          <w:sz w:val="30"/>
          <w:szCs w:val="30"/>
          <w:lang w:eastAsia="zh-CN"/>
        </w:rPr>
      </w:pPr>
      <w:r>
        <w:rPr>
          <w:rFonts w:hint="eastAsia" w:ascii="仿宋_GB2312" w:hAnsi="仿宋_GB2312" w:eastAsia="仿宋_GB2312" w:cs="仿宋_GB2312"/>
          <w:sz w:val="30"/>
          <w:szCs w:val="30"/>
        </w:rPr>
        <w:t>一、宁晋县民政局本级收支预算</w:t>
      </w:r>
      <w:r>
        <w:rPr>
          <w:rFonts w:hint="eastAsia" w:ascii="仿宋_GB2312" w:hAnsi="仿宋_GB2312" w:eastAsia="仿宋_GB2312" w:cs="仿宋_GB2312"/>
          <w:sz w:val="30"/>
          <w:szCs w:val="30"/>
        </w:rPr>
        <w:tab/>
      </w:r>
      <w:bookmarkStart w:id="0" w:name="OLE_LINK3"/>
      <w:bookmarkStart w:id="1" w:name="OLE_LINK2"/>
      <w:r>
        <w:rPr>
          <w:rFonts w:hint="eastAsia" w:ascii="微软雅黑" w:hAnsi="微软雅黑" w:eastAsia="微软雅黑" w:cs="仿宋_GB2312"/>
          <w:sz w:val="30"/>
          <w:szCs w:val="30"/>
        </w:rPr>
        <w:t>┈┈┈</w:t>
      </w:r>
      <w:bookmarkEnd w:id="0"/>
      <w:bookmarkEnd w:id="1"/>
      <w:r>
        <w:rPr>
          <w:rFonts w:hint="eastAsia" w:ascii="微软雅黑" w:hAnsi="微软雅黑" w:eastAsia="微软雅黑" w:cs="仿宋_GB2312"/>
          <w:sz w:val="30"/>
          <w:szCs w:val="30"/>
        </w:rPr>
        <w:t>┈┈┈┈┈┈┈┈┈┈┈┈┈┈┈┈┈┈┈┈┈┈┈┈┈┈┈┈┈┈</w:t>
      </w:r>
      <w:r>
        <w:rPr>
          <w:rFonts w:hint="eastAsia" w:ascii="仿宋_GB2312" w:hAnsi="仿宋_GB2312" w:eastAsia="仿宋_GB2312" w:cs="仿宋_GB2312"/>
          <w:sz w:val="30"/>
          <w:szCs w:val="30"/>
          <w:lang w:val="en-US" w:eastAsia="zh-CN"/>
        </w:rPr>
        <w:t>2</w:t>
      </w:r>
    </w:p>
    <w:p>
      <w:pPr>
        <w:autoSpaceDE w:val="0"/>
        <w:autoSpaceDN w:val="0"/>
        <w:adjustRightInd w:val="0"/>
        <w:ind w:firstLine="585"/>
        <w:jc w:val="left"/>
        <w:rPr>
          <w:rFonts w:hint="default" w:ascii="仿宋_GB2312" w:hAnsi="仿宋_GB2312" w:eastAsia="微软雅黑" w:cs="仿宋_GB2312"/>
          <w:sz w:val="30"/>
          <w:szCs w:val="30"/>
          <w:lang w:val="en-US" w:eastAsia="zh-CN"/>
        </w:rPr>
      </w:pPr>
      <w:r>
        <w:rPr>
          <w:rFonts w:hint="eastAsia" w:ascii="仿宋_GB2312" w:hAnsi="仿宋_GB2312" w:eastAsia="仿宋_GB2312" w:cs="仿宋_GB2312"/>
          <w:sz w:val="30"/>
          <w:szCs w:val="30"/>
        </w:rPr>
        <w:t>二、宁晋县民政事业服务中心收支预算</w:t>
      </w:r>
      <w:r>
        <w:rPr>
          <w:rFonts w:hint="eastAsia" w:ascii="仿宋_GB2312" w:hAnsi="仿宋_GB2312" w:eastAsia="仿宋_GB2312" w:cs="仿宋_GB2312"/>
          <w:sz w:val="30"/>
          <w:szCs w:val="30"/>
        </w:rPr>
        <w:tab/>
      </w:r>
      <w:bookmarkStart w:id="2" w:name="OLE_LINK11"/>
      <w:bookmarkStart w:id="3" w:name="OLE_LINK10"/>
      <w:r>
        <w:rPr>
          <w:rFonts w:hint="eastAsia" w:ascii="微软雅黑" w:hAnsi="微软雅黑" w:eastAsia="微软雅黑" w:cs="仿宋_GB2312"/>
          <w:sz w:val="30"/>
          <w:szCs w:val="30"/>
        </w:rPr>
        <w:t>┈┈┈┈</w:t>
      </w:r>
      <w:bookmarkEnd w:id="2"/>
      <w:bookmarkEnd w:id="3"/>
      <w:r>
        <w:rPr>
          <w:rFonts w:hint="eastAsia" w:ascii="微软雅黑" w:hAnsi="微软雅黑" w:eastAsia="微软雅黑" w:cs="仿宋_GB2312"/>
          <w:sz w:val="30"/>
          <w:szCs w:val="30"/>
        </w:rPr>
        <w:t>┈┈┈┈┈┈┈┈┈┈┈┈┈┈┈┈┈┈┈┈┈┈</w:t>
      </w:r>
      <w:bookmarkStart w:id="4" w:name="OLE_LINK7"/>
      <w:bookmarkStart w:id="5" w:name="OLE_LINK4"/>
      <w:r>
        <w:rPr>
          <w:rFonts w:hint="eastAsia" w:ascii="微软雅黑" w:hAnsi="微软雅黑" w:eastAsia="微软雅黑" w:cs="仿宋_GB2312"/>
          <w:sz w:val="30"/>
          <w:szCs w:val="30"/>
        </w:rPr>
        <w:t>┈</w:t>
      </w:r>
      <w:bookmarkEnd w:id="4"/>
      <w:bookmarkEnd w:id="5"/>
      <w:r>
        <w:rPr>
          <w:rFonts w:hint="eastAsia" w:ascii="微软雅黑" w:hAnsi="微软雅黑" w:eastAsia="微软雅黑" w:cs="仿宋_GB2312"/>
          <w:sz w:val="30"/>
          <w:szCs w:val="30"/>
        </w:rPr>
        <w:t>┈</w:t>
      </w:r>
      <w:r>
        <w:rPr>
          <w:rFonts w:hint="eastAsia" w:ascii="仿宋_GB2312" w:hAnsi="仿宋_GB2312" w:eastAsia="仿宋_GB2312" w:cs="仿宋_GB2312"/>
          <w:sz w:val="30"/>
          <w:szCs w:val="30"/>
          <w:lang w:val="en-US" w:eastAsia="zh-CN"/>
        </w:rPr>
        <w:t>84</w:t>
      </w:r>
    </w:p>
    <w:p>
      <w:pPr>
        <w:autoSpaceDE w:val="0"/>
        <w:autoSpaceDN w:val="0"/>
        <w:adjustRightInd w:val="0"/>
        <w:ind w:firstLine="585"/>
        <w:jc w:val="left"/>
        <w:rPr>
          <w:rFonts w:hint="default" w:ascii="仿宋_GB2312" w:hAnsi="仿宋_GB2312" w:eastAsia="微软雅黑" w:cs="仿宋_GB2312"/>
          <w:sz w:val="30"/>
          <w:szCs w:val="30"/>
          <w:lang w:val="en-US" w:eastAsia="zh-CN"/>
        </w:rPr>
      </w:pPr>
      <w:r>
        <w:rPr>
          <w:rFonts w:hint="eastAsia" w:ascii="仿宋_GB2312" w:hAnsi="仿宋_GB2312" w:eastAsia="仿宋_GB2312" w:cs="仿宋_GB2312"/>
          <w:sz w:val="30"/>
          <w:szCs w:val="30"/>
        </w:rPr>
        <w:t>三、宁晋县殡葬管理所收支预算</w:t>
      </w:r>
      <w:r>
        <w:rPr>
          <w:rFonts w:hint="eastAsia" w:ascii="微软雅黑" w:hAnsi="微软雅黑" w:eastAsia="微软雅黑" w:cs="仿宋_GB2312"/>
          <w:sz w:val="30"/>
          <w:szCs w:val="30"/>
        </w:rPr>
        <w:t>┈┈┈┈┈┈┈┈┈┈┈┈┈┈┈┈┈┈┈┈┈┈┈┈┈┈┈┈┈┈┈┈</w:t>
      </w:r>
      <w:bookmarkStart w:id="6" w:name="OLE_LINK12"/>
      <w:bookmarkStart w:id="7" w:name="OLE_LINK13"/>
      <w:r>
        <w:rPr>
          <w:rFonts w:hint="eastAsia" w:ascii="微软雅黑" w:hAnsi="微软雅黑" w:eastAsia="微软雅黑" w:cs="仿宋_GB2312"/>
          <w:sz w:val="30"/>
          <w:szCs w:val="30"/>
        </w:rPr>
        <w:t>┈</w:t>
      </w:r>
      <w:bookmarkEnd w:id="6"/>
      <w:bookmarkEnd w:id="7"/>
      <w:r>
        <w:rPr>
          <w:rFonts w:hint="eastAsia" w:ascii="微软雅黑" w:hAnsi="微软雅黑" w:eastAsia="微软雅黑" w:cs="仿宋_GB2312"/>
          <w:sz w:val="30"/>
          <w:szCs w:val="30"/>
        </w:rPr>
        <w:t>┈</w:t>
      </w:r>
      <w:r>
        <w:rPr>
          <w:rFonts w:hint="eastAsia" w:ascii="仿宋_GB2312" w:hAnsi="仿宋_GB2312" w:eastAsia="仿宋_GB2312" w:cs="仿宋_GB2312"/>
          <w:sz w:val="30"/>
          <w:szCs w:val="30"/>
          <w:lang w:val="en-US" w:eastAsia="zh-CN"/>
        </w:rPr>
        <w:t>104</w:t>
      </w: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b/>
          <w:bCs/>
          <w:sz w:val="44"/>
          <w:szCs w:val="44"/>
        </w:rPr>
      </w:pPr>
      <w:r>
        <w:rPr>
          <w:rFonts w:hint="eastAsia" w:ascii="仿宋_GB2312" w:hAnsi="仿宋_GB2312" w:eastAsia="仿宋_GB2312" w:cs="仿宋_GB2312"/>
          <w:b/>
          <w:bCs/>
          <w:sz w:val="44"/>
          <w:szCs w:val="44"/>
        </w:rPr>
        <w:t>一、宁晋县民政局本级收支预算</w:t>
      </w:r>
    </w:p>
    <w:p/>
    <w:tbl>
      <w:tblPr>
        <w:tblStyle w:val="8"/>
        <w:tblW w:w="10280" w:type="dxa"/>
        <w:jc w:val="center"/>
        <w:tblLayout w:type="fixed"/>
        <w:tblCellMar>
          <w:top w:w="0" w:type="dxa"/>
          <w:left w:w="108" w:type="dxa"/>
          <w:bottom w:w="0" w:type="dxa"/>
          <w:right w:w="108" w:type="dxa"/>
        </w:tblCellMar>
      </w:tblPr>
      <w:tblGrid>
        <w:gridCol w:w="1080"/>
        <w:gridCol w:w="2800"/>
        <w:gridCol w:w="1660"/>
        <w:gridCol w:w="2740"/>
        <w:gridCol w:w="2000"/>
      </w:tblGrid>
      <w:tr>
        <w:tblPrEx>
          <w:tblCellMar>
            <w:top w:w="0" w:type="dxa"/>
            <w:left w:w="108" w:type="dxa"/>
            <w:bottom w:w="0" w:type="dxa"/>
            <w:right w:w="108" w:type="dxa"/>
          </w:tblCellMar>
        </w:tblPrEx>
        <w:trPr>
          <w:trHeight w:val="645" w:hRule="atLeast"/>
          <w:jc w:val="center"/>
        </w:trPr>
        <w:tc>
          <w:tcPr>
            <w:tcW w:w="10280" w:type="dxa"/>
            <w:gridSpan w:val="5"/>
            <w:tcBorders>
              <w:top w:val="nil"/>
              <w:left w:val="nil"/>
              <w:bottom w:val="nil"/>
              <w:right w:val="nil"/>
            </w:tcBorders>
            <w:shd w:val="clear" w:color="000000" w:fill="FFFFFF"/>
            <w:vAlign w:val="center"/>
          </w:tcPr>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单位预算收支总表</w:t>
            </w:r>
          </w:p>
        </w:tc>
      </w:tr>
      <w:tr>
        <w:tblPrEx>
          <w:tblCellMar>
            <w:top w:w="0" w:type="dxa"/>
            <w:left w:w="108" w:type="dxa"/>
            <w:bottom w:w="0" w:type="dxa"/>
            <w:right w:w="108" w:type="dxa"/>
          </w:tblCellMar>
        </w:tblPrEx>
        <w:trPr>
          <w:trHeight w:val="345" w:hRule="atLeast"/>
          <w:jc w:val="center"/>
        </w:trPr>
        <w:tc>
          <w:tcPr>
            <w:tcW w:w="5540" w:type="dxa"/>
            <w:gridSpan w:val="3"/>
            <w:tcBorders>
              <w:top w:val="nil"/>
              <w:left w:val="nil"/>
              <w:bottom w:val="nil"/>
              <w:right w:val="nil"/>
            </w:tcBorders>
            <w:shd w:val="clear" w:color="000000" w:fill="FFFFFF"/>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预算单位编码及名称：[314001]宁晋县民政局本级</w:t>
            </w:r>
          </w:p>
        </w:tc>
        <w:tc>
          <w:tcPr>
            <w:tcW w:w="2740" w:type="dxa"/>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预算年度：2021</w:t>
            </w:r>
          </w:p>
        </w:tc>
        <w:tc>
          <w:tcPr>
            <w:tcW w:w="2000" w:type="dxa"/>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金额单位：万元</w:t>
            </w:r>
          </w:p>
        </w:tc>
      </w:tr>
      <w:tr>
        <w:tblPrEx>
          <w:tblCellMar>
            <w:top w:w="0" w:type="dxa"/>
            <w:left w:w="108" w:type="dxa"/>
            <w:bottom w:w="0" w:type="dxa"/>
            <w:right w:w="108" w:type="dxa"/>
          </w:tblCellMar>
        </w:tblPrEx>
        <w:trPr>
          <w:trHeight w:val="345" w:hRule="atLeast"/>
          <w:jc w:val="center"/>
        </w:trPr>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序号</w:t>
            </w:r>
          </w:p>
        </w:tc>
        <w:tc>
          <w:tcPr>
            <w:tcW w:w="4460"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收入</w:t>
            </w:r>
          </w:p>
        </w:tc>
        <w:tc>
          <w:tcPr>
            <w:tcW w:w="4740"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支出</w:t>
            </w:r>
          </w:p>
        </w:tc>
      </w:tr>
      <w:tr>
        <w:tblPrEx>
          <w:tblCellMar>
            <w:top w:w="0" w:type="dxa"/>
            <w:left w:w="108" w:type="dxa"/>
            <w:bottom w:w="0" w:type="dxa"/>
            <w:right w:w="108" w:type="dxa"/>
          </w:tblCellMar>
        </w:tblPrEx>
        <w:trPr>
          <w:trHeight w:val="345" w:hRule="atLeast"/>
          <w:jc w:val="center"/>
        </w:trPr>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28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项    目</w:t>
            </w:r>
          </w:p>
        </w:tc>
        <w:tc>
          <w:tcPr>
            <w:tcW w:w="16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预算数</w:t>
            </w:r>
          </w:p>
        </w:tc>
        <w:tc>
          <w:tcPr>
            <w:tcW w:w="27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项    目</w:t>
            </w:r>
          </w:p>
        </w:tc>
        <w:tc>
          <w:tcPr>
            <w:tcW w:w="20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预算数</w:t>
            </w:r>
          </w:p>
        </w:tc>
      </w:tr>
      <w:tr>
        <w:tblPrEx>
          <w:tblCellMar>
            <w:top w:w="0" w:type="dxa"/>
            <w:left w:w="108" w:type="dxa"/>
            <w:bottom w:w="0" w:type="dxa"/>
            <w:right w:w="108" w:type="dxa"/>
          </w:tblCellMar>
        </w:tblPrEx>
        <w:trPr>
          <w:trHeight w:val="345" w:hRule="atLeast"/>
          <w:jc w:val="center"/>
        </w:trPr>
        <w:tc>
          <w:tcPr>
            <w:tcW w:w="1080" w:type="dxa"/>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栏次</w:t>
            </w:r>
          </w:p>
        </w:tc>
        <w:tc>
          <w:tcPr>
            <w:tcW w:w="28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16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27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20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一、一般公共预算拨款收入</w:t>
            </w:r>
          </w:p>
        </w:tc>
        <w:tc>
          <w:tcPr>
            <w:tcW w:w="16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10639.81</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一、一般公共服务支出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二、政府性基金预算拨款收入</w:t>
            </w:r>
          </w:p>
        </w:tc>
        <w:tc>
          <w:tcPr>
            <w:tcW w:w="16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853.00</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二、外交支出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三、国有资本经营预算拨款收入</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三、国防支出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四、财政专户管理资金收入</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四、公共安全支出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五、事业收入</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五、教育支出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六、事业单位经营收入</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六、科学技术支出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七、上级补助收入</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七、文化旅游体育与传媒支出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八、附属单位上缴收入</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八、社会保障和就业支出</w:t>
            </w:r>
          </w:p>
        </w:tc>
        <w:tc>
          <w:tcPr>
            <w:tcW w:w="20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10613.94</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九、其他收入</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九、社会保险基金支出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十、卫生健康支出</w:t>
            </w:r>
          </w:p>
        </w:tc>
        <w:tc>
          <w:tcPr>
            <w:tcW w:w="20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十一、节能环保支出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十二、城乡社区支出</w:t>
            </w:r>
          </w:p>
        </w:tc>
        <w:tc>
          <w:tcPr>
            <w:tcW w:w="20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13</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十三、农林水支出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十四、交通运输支出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十五、资源勘探工业信息等支出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十六、商业服务业等支出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十七、金融支出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十八、援助其他地区支出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十九、自然资源海洋气象等支出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二十、住房保障支出</w:t>
            </w:r>
          </w:p>
        </w:tc>
        <w:tc>
          <w:tcPr>
            <w:tcW w:w="20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21</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二十一、粮油物资储备支出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22</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二十二、国有资本经营预算支出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二十三、灾害防治及应急管理支出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24</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二十四、预备费</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25</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二十五、其他支出</w:t>
            </w:r>
          </w:p>
        </w:tc>
        <w:tc>
          <w:tcPr>
            <w:tcW w:w="20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353.00</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26</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二十六、转移性支出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二十七、债务还本支出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二十八、债务付息支出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二十九、债务发行费用支出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28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三十、抗疫特别国债安排的支出</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31</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本年收入合计</w:t>
            </w:r>
          </w:p>
        </w:tc>
        <w:tc>
          <w:tcPr>
            <w:tcW w:w="16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本年支出合计</w:t>
            </w:r>
          </w:p>
        </w:tc>
        <w:tc>
          <w:tcPr>
            <w:tcW w:w="20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32</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上年结转结余</w:t>
            </w:r>
          </w:p>
        </w:tc>
        <w:tc>
          <w:tcPr>
            <w:tcW w:w="16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年终结转结余</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33</w:t>
            </w:r>
          </w:p>
        </w:tc>
        <w:tc>
          <w:tcPr>
            <w:tcW w:w="28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收入总计</w:t>
            </w:r>
          </w:p>
        </w:tc>
        <w:tc>
          <w:tcPr>
            <w:tcW w:w="16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c>
          <w:tcPr>
            <w:tcW w:w="27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支出总计</w:t>
            </w:r>
          </w:p>
        </w:tc>
        <w:tc>
          <w:tcPr>
            <w:tcW w:w="20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r>
    </w:tbl>
    <w:p/>
    <w:tbl>
      <w:tblPr>
        <w:tblStyle w:val="8"/>
        <w:tblpPr w:leftFromText="180" w:rightFromText="180" w:vertAnchor="text" w:horzAnchor="margin" w:tblpXSpec="center" w:tblpY="-1982"/>
        <w:tblW w:w="11512" w:type="dxa"/>
        <w:tblInd w:w="0" w:type="dxa"/>
        <w:tblLayout w:type="fixed"/>
        <w:tblCellMar>
          <w:top w:w="0" w:type="dxa"/>
          <w:left w:w="108" w:type="dxa"/>
          <w:bottom w:w="0" w:type="dxa"/>
          <w:right w:w="108" w:type="dxa"/>
        </w:tblCellMar>
      </w:tblPr>
      <w:tblGrid>
        <w:gridCol w:w="798"/>
        <w:gridCol w:w="846"/>
        <w:gridCol w:w="2580"/>
        <w:gridCol w:w="936"/>
        <w:gridCol w:w="936"/>
        <w:gridCol w:w="940"/>
        <w:gridCol w:w="460"/>
        <w:gridCol w:w="540"/>
        <w:gridCol w:w="500"/>
        <w:gridCol w:w="962"/>
        <w:gridCol w:w="358"/>
        <w:gridCol w:w="68"/>
        <w:gridCol w:w="472"/>
        <w:gridCol w:w="1116"/>
      </w:tblGrid>
      <w:tr>
        <w:tblPrEx>
          <w:tblCellMar>
            <w:top w:w="0" w:type="dxa"/>
            <w:left w:w="108" w:type="dxa"/>
            <w:bottom w:w="0" w:type="dxa"/>
            <w:right w:w="108" w:type="dxa"/>
          </w:tblCellMar>
        </w:tblPrEx>
        <w:trPr>
          <w:trHeight w:val="870" w:hRule="atLeast"/>
        </w:trPr>
        <w:tc>
          <w:tcPr>
            <w:tcW w:w="11512" w:type="dxa"/>
            <w:gridSpan w:val="14"/>
            <w:tcBorders>
              <w:top w:val="nil"/>
              <w:left w:val="nil"/>
              <w:bottom w:val="nil"/>
              <w:right w:val="nil"/>
            </w:tcBorders>
            <w:shd w:val="clear" w:color="000000" w:fill="FFFFFF"/>
            <w:vAlign w:val="center"/>
          </w:tcPr>
          <w:p>
            <w:pPr>
              <w:widowControl/>
              <w:jc w:val="center"/>
              <w:rPr>
                <w:rFonts w:ascii="宋体" w:hAnsi="宋体" w:eastAsia="宋体" w:cs="宋体"/>
                <w:b/>
                <w:bCs/>
                <w:kern w:val="0"/>
                <w:sz w:val="44"/>
                <w:szCs w:val="44"/>
              </w:rPr>
            </w:pP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单位预算收入总表</w:t>
            </w:r>
          </w:p>
        </w:tc>
      </w:tr>
      <w:tr>
        <w:tblPrEx>
          <w:tblCellMar>
            <w:top w:w="0" w:type="dxa"/>
            <w:left w:w="108" w:type="dxa"/>
            <w:bottom w:w="0" w:type="dxa"/>
            <w:right w:w="108" w:type="dxa"/>
          </w:tblCellMar>
        </w:tblPrEx>
        <w:trPr>
          <w:trHeight w:val="510" w:hRule="atLeast"/>
        </w:trPr>
        <w:tc>
          <w:tcPr>
            <w:tcW w:w="8536" w:type="dxa"/>
            <w:gridSpan w:val="9"/>
            <w:tcBorders>
              <w:top w:val="nil"/>
              <w:left w:val="nil"/>
              <w:bottom w:val="nil"/>
              <w:right w:val="nil"/>
            </w:tcBorders>
            <w:shd w:val="clear" w:color="000000" w:fill="FFFFFF"/>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预算单位编码及名称：[314001]宁晋县民政局本级                                          </w:t>
            </w:r>
          </w:p>
        </w:tc>
        <w:tc>
          <w:tcPr>
            <w:tcW w:w="1320" w:type="dxa"/>
            <w:gridSpan w:val="2"/>
            <w:tcBorders>
              <w:top w:val="nil"/>
              <w:left w:val="nil"/>
              <w:bottom w:val="nil"/>
              <w:right w:val="nil"/>
            </w:tcBorders>
            <w:shd w:val="clear" w:color="000000" w:fill="FFFFFF"/>
            <w:vAlign w:val="center"/>
          </w:tcPr>
          <w:p>
            <w:pPr>
              <w:widowControl/>
              <w:ind w:right="360"/>
              <w:rPr>
                <w:rFonts w:ascii="宋体" w:hAnsi="宋体" w:eastAsia="宋体" w:cs="宋体"/>
                <w:kern w:val="0"/>
                <w:sz w:val="18"/>
                <w:szCs w:val="18"/>
              </w:rPr>
            </w:pPr>
            <w:r>
              <w:rPr>
                <w:rFonts w:hint="eastAsia" w:ascii="宋体" w:hAnsi="宋体" w:eastAsia="宋体" w:cs="宋体"/>
                <w:kern w:val="0"/>
                <w:sz w:val="18"/>
                <w:szCs w:val="18"/>
              </w:rPr>
              <w:t>预算年度：2021</w:t>
            </w:r>
          </w:p>
        </w:tc>
        <w:tc>
          <w:tcPr>
            <w:tcW w:w="1656" w:type="dxa"/>
            <w:gridSpan w:val="3"/>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金额单位：万元</w:t>
            </w:r>
          </w:p>
        </w:tc>
      </w:tr>
      <w:tr>
        <w:tblPrEx>
          <w:tblCellMar>
            <w:top w:w="0" w:type="dxa"/>
            <w:left w:w="108" w:type="dxa"/>
            <w:bottom w:w="0" w:type="dxa"/>
            <w:right w:w="108" w:type="dxa"/>
          </w:tblCellMar>
        </w:tblPrEx>
        <w:trPr>
          <w:trHeight w:val="270" w:hRule="atLeast"/>
        </w:trPr>
        <w:tc>
          <w:tcPr>
            <w:tcW w:w="798"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序号</w:t>
            </w:r>
          </w:p>
        </w:tc>
        <w:tc>
          <w:tcPr>
            <w:tcW w:w="3426"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功能分类科目</w:t>
            </w:r>
          </w:p>
        </w:tc>
        <w:tc>
          <w:tcPr>
            <w:tcW w:w="936"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合计</w:t>
            </w:r>
          </w:p>
        </w:tc>
        <w:tc>
          <w:tcPr>
            <w:tcW w:w="5236" w:type="dxa"/>
            <w:gridSpan w:val="9"/>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本年收入</w:t>
            </w:r>
          </w:p>
        </w:tc>
        <w:tc>
          <w:tcPr>
            <w:tcW w:w="1116"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上年结转</w:t>
            </w:r>
          </w:p>
        </w:tc>
      </w:tr>
      <w:tr>
        <w:tblPrEx>
          <w:tblCellMar>
            <w:top w:w="0" w:type="dxa"/>
            <w:left w:w="108" w:type="dxa"/>
            <w:bottom w:w="0" w:type="dxa"/>
            <w:right w:w="108" w:type="dxa"/>
          </w:tblCellMar>
        </w:tblPrEx>
        <w:trPr>
          <w:trHeight w:val="675" w:hRule="atLeast"/>
        </w:trPr>
        <w:tc>
          <w:tcPr>
            <w:tcW w:w="79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846"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科目编码</w:t>
            </w:r>
          </w:p>
        </w:tc>
        <w:tc>
          <w:tcPr>
            <w:tcW w:w="25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科目名称</w:t>
            </w:r>
          </w:p>
        </w:tc>
        <w:tc>
          <w:tcPr>
            <w:tcW w:w="93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936"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小计</w:t>
            </w:r>
          </w:p>
        </w:tc>
        <w:tc>
          <w:tcPr>
            <w:tcW w:w="9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财政拨款收入</w:t>
            </w:r>
          </w:p>
        </w:tc>
        <w:tc>
          <w:tcPr>
            <w:tcW w:w="4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财政专户收入</w:t>
            </w:r>
          </w:p>
        </w:tc>
        <w:tc>
          <w:tcPr>
            <w:tcW w:w="5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事业收入</w:t>
            </w:r>
          </w:p>
        </w:tc>
        <w:tc>
          <w:tcPr>
            <w:tcW w:w="5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经营收入</w:t>
            </w:r>
          </w:p>
        </w:tc>
        <w:tc>
          <w:tcPr>
            <w:tcW w:w="962"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上级补助收入</w:t>
            </w:r>
          </w:p>
        </w:tc>
        <w:tc>
          <w:tcPr>
            <w:tcW w:w="426"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附属单位上缴收入</w:t>
            </w:r>
          </w:p>
        </w:tc>
        <w:tc>
          <w:tcPr>
            <w:tcW w:w="472"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其他收入</w:t>
            </w:r>
          </w:p>
        </w:tc>
        <w:tc>
          <w:tcPr>
            <w:tcW w:w="111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栏次</w:t>
            </w:r>
          </w:p>
        </w:tc>
        <w:tc>
          <w:tcPr>
            <w:tcW w:w="846"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25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936"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936"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9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5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962"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426"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472"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1116"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84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5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合计</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c>
          <w:tcPr>
            <w:tcW w:w="9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c>
          <w:tcPr>
            <w:tcW w:w="4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6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26" w:type="dxa"/>
            <w:gridSpan w:val="2"/>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11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社会保障和就业支出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10613.94</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10613.94</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10613.94</w:t>
            </w:r>
          </w:p>
        </w:tc>
        <w:tc>
          <w:tcPr>
            <w:tcW w:w="46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4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0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6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26" w:type="dxa"/>
            <w:gridSpan w:val="2"/>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7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116"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民政管理事务</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413.32</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413.32</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413.32</w:t>
            </w:r>
          </w:p>
        </w:tc>
        <w:tc>
          <w:tcPr>
            <w:tcW w:w="46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4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0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6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26" w:type="dxa"/>
            <w:gridSpan w:val="2"/>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7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116"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2080201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行政运行</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171.71</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171.71</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171.71</w:t>
            </w:r>
          </w:p>
        </w:tc>
        <w:tc>
          <w:tcPr>
            <w:tcW w:w="46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4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0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6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26" w:type="dxa"/>
            <w:gridSpan w:val="2"/>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7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116"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2080202</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一般行政管理事务</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185.48</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185.48</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185.48</w:t>
            </w:r>
          </w:p>
        </w:tc>
        <w:tc>
          <w:tcPr>
            <w:tcW w:w="46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4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0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6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26" w:type="dxa"/>
            <w:gridSpan w:val="2"/>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7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116"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2080299</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其他民政管理事务支出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56.13</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56.13</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56.13</w:t>
            </w:r>
          </w:p>
        </w:tc>
        <w:tc>
          <w:tcPr>
            <w:tcW w:w="46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4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0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6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26" w:type="dxa"/>
            <w:gridSpan w:val="2"/>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7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116"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20805</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行政事业单位养老支出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43.55</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43.55</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43.55</w:t>
            </w:r>
          </w:p>
        </w:tc>
        <w:tc>
          <w:tcPr>
            <w:tcW w:w="46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4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0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6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26" w:type="dxa"/>
            <w:gridSpan w:val="2"/>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7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116"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2080501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行政单位离退休</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22.00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22.00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22.00</w:t>
            </w:r>
          </w:p>
        </w:tc>
        <w:tc>
          <w:tcPr>
            <w:tcW w:w="46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4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0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6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26" w:type="dxa"/>
            <w:gridSpan w:val="2"/>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7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116"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45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2080505</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机关事业单位基本养老保险缴费支出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21.55</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21.55</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21.55</w:t>
            </w:r>
          </w:p>
        </w:tc>
        <w:tc>
          <w:tcPr>
            <w:tcW w:w="46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4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0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6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26" w:type="dxa"/>
            <w:gridSpan w:val="2"/>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7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116"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20808</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抚恤</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46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4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0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6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26" w:type="dxa"/>
            <w:gridSpan w:val="2"/>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7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116"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2080801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死亡抚恤</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46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4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500"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6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26" w:type="dxa"/>
            <w:gridSpan w:val="2"/>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72"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116" w:type="dxa"/>
            <w:tcBorders>
              <w:top w:val="nil"/>
              <w:left w:val="nil"/>
              <w:bottom w:val="single" w:color="auto" w:sz="4" w:space="0"/>
              <w:right w:val="single" w:color="auto" w:sz="4" w:space="0"/>
            </w:tcBorders>
            <w:shd w:val="clear" w:color="auto" w:fill="auto"/>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社会福利</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1703.40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1703.40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1703.40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13</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儿童福利</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260.00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260.00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260.00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2081002</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老年福利</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113.40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113.40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113.40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2081004</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殡葬</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1226.00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1226.00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1226.00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2081005</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社会福利事业单位</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60.00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60.00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60.00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2081006</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养老服务</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44.00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44.00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44.00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残疾人事业</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2081107</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残疾人生活和护理补贴</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20819</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最低生活保障</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5480.00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5480.00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5480.00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21</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2081901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城市最低生活保障金支出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409.00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409.00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409.00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22</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2081902</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农村最低生活保障金支出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5071.00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5071.00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5071.00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20820</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临时救助</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130.00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130.00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130.00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24</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2082001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临时救助支出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115.00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115.00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115.00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25</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2082002</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流浪乞讨人员救助支出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15.00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15.00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15.00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26</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特困人员救助供养</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1639.00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1639.00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1639.00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2082101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城市特困人员救助供养支出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2082102</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农村特困人员救助供养支出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1619.00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1619.00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1619.00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5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20827</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财政对其他社会保险基金的补助</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2082702</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财政对工伤保险基金的补助</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31</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210</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卫生健康支出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5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32</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21012</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财政对基本医疗保险基金的补助</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5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33</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2101201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财政对职工基本医疗保险基金的补助</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34</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212</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城乡社区支出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5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35</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21219</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国有土地使用权出让收入对应专项债务收入安排的支出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5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36</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2121999</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其他国有土地使用权出让收入对应专项债务安排的支出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37</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住房保障支出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38</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22102</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住房改革支出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39</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2210201</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住房公积金</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353.00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353.00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353.00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5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41</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22908</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彩票发行销售机构业务费安排的支出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5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42</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2290804</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福利彩票销售机构的业务费支出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43</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22960</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彩票公益金安排的支出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321.00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321.00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321.00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5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44</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2296002</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用于社会福利的彩票公益金支出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276.00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276.00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276.00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450" w:hRule="atLeast"/>
        </w:trPr>
        <w:tc>
          <w:tcPr>
            <w:tcW w:w="79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45</w:t>
            </w:r>
          </w:p>
        </w:tc>
        <w:tc>
          <w:tcPr>
            <w:tcW w:w="8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2296099</w:t>
            </w:r>
          </w:p>
        </w:tc>
        <w:tc>
          <w:tcPr>
            <w:tcW w:w="2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用于其他社会公益事业的彩票公益金支出</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45.00</w:t>
            </w:r>
          </w:p>
        </w:tc>
        <w:tc>
          <w:tcPr>
            <w:tcW w:w="93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45.00</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45.00</w:t>
            </w:r>
          </w:p>
        </w:tc>
        <w:tc>
          <w:tcPr>
            <w:tcW w:w="4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5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96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47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1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bl>
    <w:p>
      <w:pPr>
        <w:spacing w:line="560" w:lineRule="exact"/>
        <w:rPr>
          <w:rFonts w:ascii="黑体" w:hAnsi="宋体" w:eastAsia="黑体"/>
          <w:b/>
          <w:sz w:val="44"/>
          <w:szCs w:val="44"/>
        </w:rPr>
      </w:pPr>
      <w:r>
        <w:rPr>
          <w:rFonts w:hint="eastAsia" w:ascii="黑体" w:hAnsi="宋体" w:eastAsia="黑体"/>
          <w:b/>
          <w:sz w:val="44"/>
          <w:szCs w:val="44"/>
        </w:rPr>
        <w:t xml:space="preserve">   </w:t>
      </w:r>
    </w:p>
    <w:p>
      <w:pPr>
        <w:spacing w:line="560" w:lineRule="exact"/>
        <w:rPr>
          <w:rFonts w:ascii="黑体" w:hAnsi="宋体" w:eastAsia="黑体"/>
          <w:b/>
          <w:sz w:val="44"/>
          <w:szCs w:val="44"/>
        </w:rPr>
      </w:pPr>
      <w:r>
        <w:rPr>
          <w:rFonts w:hint="eastAsia" w:ascii="黑体" w:hAnsi="宋体" w:eastAsia="黑体"/>
          <w:b/>
          <w:sz w:val="44"/>
          <w:szCs w:val="44"/>
        </w:rPr>
        <w:t xml:space="preserve">  </w:t>
      </w: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tbl>
      <w:tblPr>
        <w:tblStyle w:val="8"/>
        <w:tblW w:w="10721" w:type="dxa"/>
        <w:jc w:val="center"/>
        <w:tblLayout w:type="fixed"/>
        <w:tblCellMar>
          <w:top w:w="0" w:type="dxa"/>
          <w:left w:w="108" w:type="dxa"/>
          <w:bottom w:w="0" w:type="dxa"/>
          <w:right w:w="108" w:type="dxa"/>
        </w:tblCellMar>
      </w:tblPr>
      <w:tblGrid>
        <w:gridCol w:w="449"/>
        <w:gridCol w:w="846"/>
        <w:gridCol w:w="4350"/>
        <w:gridCol w:w="937"/>
        <w:gridCol w:w="887"/>
        <w:gridCol w:w="936"/>
        <w:gridCol w:w="772"/>
        <w:gridCol w:w="772"/>
        <w:gridCol w:w="772"/>
      </w:tblGrid>
      <w:tr>
        <w:tblPrEx>
          <w:tblCellMar>
            <w:top w:w="0" w:type="dxa"/>
            <w:left w:w="108" w:type="dxa"/>
            <w:bottom w:w="0" w:type="dxa"/>
            <w:right w:w="108" w:type="dxa"/>
          </w:tblCellMar>
        </w:tblPrEx>
        <w:trPr>
          <w:trHeight w:val="540" w:hRule="atLeast"/>
          <w:jc w:val="center"/>
        </w:trPr>
        <w:tc>
          <w:tcPr>
            <w:tcW w:w="10721" w:type="dxa"/>
            <w:gridSpan w:val="9"/>
            <w:tcBorders>
              <w:top w:val="nil"/>
              <w:left w:val="nil"/>
              <w:bottom w:val="nil"/>
              <w:right w:val="nil"/>
            </w:tcBorders>
            <w:shd w:val="clear" w:color="000000" w:fill="FFFFFF"/>
            <w:vAlign w:val="center"/>
          </w:tcPr>
          <w:p>
            <w:pPr>
              <w:widowControl/>
              <w:jc w:val="center"/>
              <w:rPr>
                <w:rFonts w:hint="eastAsia" w:ascii="宋体" w:hAnsi="宋体" w:eastAsia="宋体" w:cs="宋体"/>
                <w:b/>
                <w:bCs/>
                <w:kern w:val="0"/>
                <w:sz w:val="44"/>
                <w:szCs w:val="44"/>
              </w:rPr>
            </w:pPr>
          </w:p>
          <w:p>
            <w:pPr>
              <w:widowControl/>
              <w:jc w:val="center"/>
              <w:rPr>
                <w:rFonts w:hint="eastAsia" w:ascii="宋体" w:hAnsi="宋体" w:eastAsia="宋体" w:cs="宋体"/>
                <w:b/>
                <w:bCs/>
                <w:kern w:val="0"/>
                <w:sz w:val="44"/>
                <w:szCs w:val="44"/>
              </w:rPr>
            </w:pPr>
          </w:p>
          <w:p>
            <w:pPr>
              <w:widowControl/>
              <w:jc w:val="center"/>
              <w:rPr>
                <w:rFonts w:hint="eastAsia" w:ascii="宋体" w:hAnsi="宋体" w:eastAsia="宋体" w:cs="宋体"/>
                <w:b/>
                <w:bCs/>
                <w:kern w:val="0"/>
                <w:sz w:val="44"/>
                <w:szCs w:val="44"/>
              </w:rPr>
            </w:pPr>
          </w:p>
          <w:p>
            <w:pPr>
              <w:widowControl/>
              <w:jc w:val="center"/>
              <w:rPr>
                <w:rFonts w:hint="eastAsia" w:ascii="宋体" w:hAnsi="宋体" w:eastAsia="宋体" w:cs="宋体"/>
                <w:b/>
                <w:bCs/>
                <w:kern w:val="0"/>
                <w:sz w:val="44"/>
                <w:szCs w:val="44"/>
              </w:rPr>
            </w:pPr>
          </w:p>
          <w:p>
            <w:pPr>
              <w:widowControl/>
              <w:jc w:val="center"/>
              <w:rPr>
                <w:rFonts w:hint="eastAsia" w:ascii="宋体" w:hAnsi="宋体" w:eastAsia="宋体" w:cs="宋体"/>
                <w:b/>
                <w:bCs/>
                <w:kern w:val="0"/>
                <w:sz w:val="44"/>
                <w:szCs w:val="44"/>
              </w:rPr>
            </w:pP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单位预算支出总表</w:t>
            </w:r>
          </w:p>
        </w:tc>
      </w:tr>
      <w:tr>
        <w:tblPrEx>
          <w:tblCellMar>
            <w:top w:w="0" w:type="dxa"/>
            <w:left w:w="108" w:type="dxa"/>
            <w:bottom w:w="0" w:type="dxa"/>
            <w:right w:w="108" w:type="dxa"/>
          </w:tblCellMar>
        </w:tblPrEx>
        <w:trPr>
          <w:trHeight w:val="270" w:hRule="atLeast"/>
          <w:jc w:val="center"/>
        </w:trPr>
        <w:tc>
          <w:tcPr>
            <w:tcW w:w="7469" w:type="dxa"/>
            <w:gridSpan w:val="5"/>
            <w:tcBorders>
              <w:top w:val="nil"/>
              <w:left w:val="nil"/>
              <w:bottom w:val="nil"/>
              <w:right w:val="nil"/>
            </w:tcBorders>
            <w:shd w:val="clear" w:color="000000" w:fill="FFFFFF"/>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预算单位编码及名称：[314001]宁晋县民政局本级</w:t>
            </w:r>
          </w:p>
        </w:tc>
        <w:tc>
          <w:tcPr>
            <w:tcW w:w="1708" w:type="dxa"/>
            <w:gridSpan w:val="2"/>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预算年度：2021</w:t>
            </w:r>
          </w:p>
        </w:tc>
        <w:tc>
          <w:tcPr>
            <w:tcW w:w="1544" w:type="dxa"/>
            <w:gridSpan w:val="2"/>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金额单位：万元</w:t>
            </w:r>
          </w:p>
        </w:tc>
      </w:tr>
      <w:tr>
        <w:tblPrEx>
          <w:tblCellMar>
            <w:top w:w="0" w:type="dxa"/>
            <w:left w:w="108" w:type="dxa"/>
            <w:bottom w:w="0" w:type="dxa"/>
            <w:right w:w="108" w:type="dxa"/>
          </w:tblCellMar>
        </w:tblPrEx>
        <w:trPr>
          <w:trHeight w:val="270" w:hRule="atLeast"/>
          <w:jc w:val="center"/>
        </w:trPr>
        <w:tc>
          <w:tcPr>
            <w:tcW w:w="449"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序号</w:t>
            </w:r>
          </w:p>
        </w:tc>
        <w:tc>
          <w:tcPr>
            <w:tcW w:w="5196"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支出功能分类科目</w:t>
            </w:r>
          </w:p>
        </w:tc>
        <w:tc>
          <w:tcPr>
            <w:tcW w:w="937"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本年支出合计</w:t>
            </w:r>
          </w:p>
        </w:tc>
        <w:tc>
          <w:tcPr>
            <w:tcW w:w="887"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基本支出</w:t>
            </w:r>
          </w:p>
        </w:tc>
        <w:tc>
          <w:tcPr>
            <w:tcW w:w="936"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项目支出</w:t>
            </w:r>
          </w:p>
        </w:tc>
        <w:tc>
          <w:tcPr>
            <w:tcW w:w="772"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经营支出</w:t>
            </w:r>
          </w:p>
        </w:tc>
        <w:tc>
          <w:tcPr>
            <w:tcW w:w="772"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上缴上级支出</w:t>
            </w:r>
          </w:p>
        </w:tc>
        <w:tc>
          <w:tcPr>
            <w:tcW w:w="772"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对附属单位补助支出</w:t>
            </w:r>
          </w:p>
        </w:tc>
      </w:tr>
      <w:tr>
        <w:tblPrEx>
          <w:tblCellMar>
            <w:top w:w="0" w:type="dxa"/>
            <w:left w:w="108" w:type="dxa"/>
            <w:bottom w:w="0" w:type="dxa"/>
            <w:right w:w="108" w:type="dxa"/>
          </w:tblCellMar>
        </w:tblPrEx>
        <w:trPr>
          <w:trHeight w:val="270" w:hRule="atLeast"/>
          <w:jc w:val="center"/>
        </w:trPr>
        <w:tc>
          <w:tcPr>
            <w:tcW w:w="44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846"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科目编码</w:t>
            </w:r>
          </w:p>
        </w:tc>
        <w:tc>
          <w:tcPr>
            <w:tcW w:w="435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科目名称</w:t>
            </w:r>
          </w:p>
        </w:tc>
        <w:tc>
          <w:tcPr>
            <w:tcW w:w="93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88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93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77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77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77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栏次</w:t>
            </w:r>
          </w:p>
        </w:tc>
        <w:tc>
          <w:tcPr>
            <w:tcW w:w="846"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435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937"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887"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936"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772"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772"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772"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84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合计</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245.80</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11247.01</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社会保障和就业支出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10613.94</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219.93</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10394.01</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民政管理事务</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413.32</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171.71</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241.61</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2080201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行政运行</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171.71</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171.71</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2080202</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一般行政管理事务</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185.48</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185.48</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2080299</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其他民政管理事务支出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56.13</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56.13</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20805</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行政事业单位养老支出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43.55</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43.55</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13</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2080501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行政单位离退休</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22.00</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22.00</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2080505</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机关事业单位基本养老保险缴费支出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21.55</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21.55</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20808</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抚恤</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2080801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死亡抚恤</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社会福利</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1703.40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1703.40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儿童福利</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260.00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260.00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2081002</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老年福利</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113.40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113.40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2081004</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殡葬</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1226.00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1226.00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21</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2081005</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社会福利事业单位</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60.00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60.00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22</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2081006</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养老服务</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44.00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44.00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残疾人事业</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24</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2081107</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残疾人生活和护理补贴</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25</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20819</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最低生活保障</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5480.00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5480.00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26</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2081901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城市最低生活保障金支出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409.00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409.00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2081902</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农村最低生活保障金支出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5071.00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5071.00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20820</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临时救助</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130.00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130.00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2082001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临时救助支出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115.00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115.00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2082002</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流浪乞讨人员救助支出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15.00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15.00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31</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特困人员救助供养</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1639.00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1639.00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32</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2082101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城市特困人员救助供养支出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33</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2082102</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农村特困人员救助供养支出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1619.00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1619.00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34</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20827</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财政对其他社会保险基金的补助</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35</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2082702</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财政对工伤保险基金的补助</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36</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210</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卫生健康支出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37</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21012</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财政对基本医疗保险基金的补助</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38</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2101201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财政对职工基本医疗保险基金的补助</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39</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212</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城乡社区支出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21219</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国有土地使用权出让收入对应专项债务收入安排的支出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41</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2121999</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其他国有土地使用权出让收入对应专项债务安排的支出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42</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住房保障支出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43</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22102</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住房改革支出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44</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2210201</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住房公积金</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88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93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45</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353.00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353.00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46</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22908</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彩票发行销售机构业务费安排的支出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47</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2290804</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福利彩票销售机构的业务费支出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48</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22960</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彩票公益金安排的支出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321.00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321.00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49</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2296002</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用于社会福利的彩票公益金支出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276.00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276.00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44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2296099</w:t>
            </w:r>
          </w:p>
        </w:tc>
        <w:tc>
          <w:tcPr>
            <w:tcW w:w="435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用于其他社会公益事业的彩票公益金支出</w:t>
            </w:r>
          </w:p>
        </w:tc>
        <w:tc>
          <w:tcPr>
            <w:tcW w:w="937"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45.00</w:t>
            </w:r>
          </w:p>
        </w:tc>
        <w:tc>
          <w:tcPr>
            <w:tcW w:w="887"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3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45.00</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7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bl>
    <w:p>
      <w:pPr>
        <w:spacing w:line="560" w:lineRule="exact"/>
        <w:rPr>
          <w:rFonts w:ascii="黑体" w:hAnsi="宋体" w:eastAsia="黑体"/>
          <w:b/>
          <w:sz w:val="44"/>
          <w:szCs w:val="44"/>
        </w:rPr>
      </w:pPr>
    </w:p>
    <w:tbl>
      <w:tblPr>
        <w:tblStyle w:val="8"/>
        <w:tblW w:w="10580" w:type="dxa"/>
        <w:jc w:val="center"/>
        <w:tblLayout w:type="fixed"/>
        <w:tblCellMar>
          <w:top w:w="0" w:type="dxa"/>
          <w:left w:w="108" w:type="dxa"/>
          <w:bottom w:w="0" w:type="dxa"/>
          <w:right w:w="108" w:type="dxa"/>
        </w:tblCellMar>
      </w:tblPr>
      <w:tblGrid>
        <w:gridCol w:w="660"/>
        <w:gridCol w:w="2320"/>
        <w:gridCol w:w="940"/>
        <w:gridCol w:w="2760"/>
        <w:gridCol w:w="1080"/>
        <w:gridCol w:w="1080"/>
        <w:gridCol w:w="840"/>
        <w:gridCol w:w="900"/>
      </w:tblGrid>
      <w:tr>
        <w:tblPrEx>
          <w:tblCellMar>
            <w:top w:w="0" w:type="dxa"/>
            <w:left w:w="108" w:type="dxa"/>
            <w:bottom w:w="0" w:type="dxa"/>
            <w:right w:w="108" w:type="dxa"/>
          </w:tblCellMar>
        </w:tblPrEx>
        <w:trPr>
          <w:trHeight w:val="810" w:hRule="atLeast"/>
          <w:jc w:val="center"/>
        </w:trPr>
        <w:tc>
          <w:tcPr>
            <w:tcW w:w="10580" w:type="dxa"/>
            <w:gridSpan w:val="8"/>
            <w:tcBorders>
              <w:top w:val="nil"/>
              <w:left w:val="nil"/>
              <w:bottom w:val="nil"/>
              <w:right w:val="nil"/>
            </w:tcBorders>
            <w:shd w:val="clear" w:color="000000" w:fill="FFFFFF"/>
            <w:vAlign w:val="center"/>
          </w:tcPr>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单位预算财政拨款收支总表</w:t>
            </w:r>
          </w:p>
        </w:tc>
      </w:tr>
      <w:tr>
        <w:tblPrEx>
          <w:tblCellMar>
            <w:top w:w="0" w:type="dxa"/>
            <w:left w:w="108" w:type="dxa"/>
            <w:bottom w:w="0" w:type="dxa"/>
            <w:right w:w="108" w:type="dxa"/>
          </w:tblCellMar>
        </w:tblPrEx>
        <w:trPr>
          <w:trHeight w:val="270" w:hRule="atLeast"/>
          <w:jc w:val="center"/>
        </w:trPr>
        <w:tc>
          <w:tcPr>
            <w:tcW w:w="6680" w:type="dxa"/>
            <w:gridSpan w:val="4"/>
            <w:tcBorders>
              <w:top w:val="nil"/>
              <w:left w:val="nil"/>
              <w:bottom w:val="nil"/>
              <w:right w:val="nil"/>
            </w:tcBorders>
            <w:shd w:val="clear" w:color="000000" w:fill="FFFFFF"/>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预算单位编码及名称：[314001]宁晋县民政局本级</w:t>
            </w:r>
          </w:p>
        </w:tc>
        <w:tc>
          <w:tcPr>
            <w:tcW w:w="2160" w:type="dxa"/>
            <w:gridSpan w:val="2"/>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预算年度：2021</w:t>
            </w:r>
          </w:p>
        </w:tc>
        <w:tc>
          <w:tcPr>
            <w:tcW w:w="1740" w:type="dxa"/>
            <w:gridSpan w:val="2"/>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金额单位：万元</w:t>
            </w:r>
          </w:p>
        </w:tc>
      </w:tr>
      <w:tr>
        <w:tblPrEx>
          <w:tblCellMar>
            <w:top w:w="0" w:type="dxa"/>
            <w:left w:w="108" w:type="dxa"/>
            <w:bottom w:w="0" w:type="dxa"/>
            <w:right w:w="108" w:type="dxa"/>
          </w:tblCellMar>
        </w:tblPrEx>
        <w:trPr>
          <w:trHeight w:val="270" w:hRule="atLeast"/>
          <w:jc w:val="center"/>
        </w:trPr>
        <w:tc>
          <w:tcPr>
            <w:tcW w:w="66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序号</w:t>
            </w:r>
          </w:p>
        </w:tc>
        <w:tc>
          <w:tcPr>
            <w:tcW w:w="3260"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收入</w:t>
            </w:r>
          </w:p>
        </w:tc>
        <w:tc>
          <w:tcPr>
            <w:tcW w:w="6660" w:type="dxa"/>
            <w:gridSpan w:val="5"/>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支出</w:t>
            </w:r>
          </w:p>
        </w:tc>
      </w:tr>
      <w:tr>
        <w:tblPrEx>
          <w:tblCellMar>
            <w:top w:w="0" w:type="dxa"/>
            <w:left w:w="108" w:type="dxa"/>
            <w:bottom w:w="0" w:type="dxa"/>
            <w:right w:w="108" w:type="dxa"/>
          </w:tblCellMar>
        </w:tblPrEx>
        <w:trPr>
          <w:trHeight w:val="675" w:hRule="atLeast"/>
          <w:jc w:val="center"/>
        </w:trPr>
        <w:tc>
          <w:tcPr>
            <w:tcW w:w="6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232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项    目</w:t>
            </w:r>
          </w:p>
        </w:tc>
        <w:tc>
          <w:tcPr>
            <w:tcW w:w="9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金额</w:t>
            </w:r>
          </w:p>
        </w:tc>
        <w:tc>
          <w:tcPr>
            <w:tcW w:w="27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项    目</w:t>
            </w: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合计</w:t>
            </w: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一般公共预算财政拨款</w:t>
            </w:r>
          </w:p>
        </w:tc>
        <w:tc>
          <w:tcPr>
            <w:tcW w:w="8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政府性基金预算财政拨款</w:t>
            </w:r>
          </w:p>
        </w:tc>
        <w:tc>
          <w:tcPr>
            <w:tcW w:w="9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国有资本经营预算财政拨款</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栏次</w:t>
            </w:r>
          </w:p>
        </w:tc>
        <w:tc>
          <w:tcPr>
            <w:tcW w:w="232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9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27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8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9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23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一、一般公共预算拨款</w:t>
            </w:r>
          </w:p>
        </w:tc>
        <w:tc>
          <w:tcPr>
            <w:tcW w:w="9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10639.81</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一、一般公共服务支出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23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二、政府性基金预算拨款</w:t>
            </w:r>
          </w:p>
        </w:tc>
        <w:tc>
          <w:tcPr>
            <w:tcW w:w="9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853.00</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二、外交支出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23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三、国有资本经营预算拨款</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三、国防支出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四、公共安全支出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五、教育支出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六、科学技术支出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七、文化旅游体育与传媒支出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八、社会保障和就业支出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10613.94</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10613.94</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九、社会保险基金支出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十、卫生健康支出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十一、节能环保支出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十二、城乡社区支出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13</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十三、农林水支出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十四、交通运输支出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十五、资源勘探工业信息等支出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十六、商业服务业等支出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十七、金融支出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十八、援助其他地区支出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十九、自然资源海洋气象等支出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二十、住房保障支出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21</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二十一、粮油物资储备支出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22</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二十二、国有资本经营预算支出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二十三、灾害防治及应急管理支出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24</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二十四、预备费</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25</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二十五、其他支出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353.00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353.00</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26</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二十六、转移性支出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二十七、债务还本支出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二十八、债务付息支出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二十九、债务发行费用支出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23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三十、抗疫特别国债安排的支出</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31</w:t>
            </w:r>
          </w:p>
        </w:tc>
        <w:tc>
          <w:tcPr>
            <w:tcW w:w="23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本年收入合计</w:t>
            </w:r>
          </w:p>
        </w:tc>
        <w:tc>
          <w:tcPr>
            <w:tcW w:w="9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本年支出合计</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10639.81</w:t>
            </w:r>
          </w:p>
        </w:tc>
        <w:tc>
          <w:tcPr>
            <w:tcW w:w="8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853.00</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32</w:t>
            </w:r>
          </w:p>
        </w:tc>
        <w:tc>
          <w:tcPr>
            <w:tcW w:w="23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年初财政拨款结转和结余</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年末财政拨款结转和结余</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33</w:t>
            </w:r>
          </w:p>
        </w:tc>
        <w:tc>
          <w:tcPr>
            <w:tcW w:w="23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一、一般公共预算拨款</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34</w:t>
            </w:r>
          </w:p>
        </w:tc>
        <w:tc>
          <w:tcPr>
            <w:tcW w:w="23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二、政府性基金预算拨款</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35</w:t>
            </w:r>
          </w:p>
        </w:tc>
        <w:tc>
          <w:tcPr>
            <w:tcW w:w="23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三、国有资本经营预算拨款</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7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8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6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36</w:t>
            </w:r>
          </w:p>
        </w:tc>
        <w:tc>
          <w:tcPr>
            <w:tcW w:w="23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收入总计</w:t>
            </w:r>
          </w:p>
        </w:tc>
        <w:tc>
          <w:tcPr>
            <w:tcW w:w="9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c>
          <w:tcPr>
            <w:tcW w:w="27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支出总计</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11492.81</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10639.81</w:t>
            </w:r>
          </w:p>
        </w:tc>
        <w:tc>
          <w:tcPr>
            <w:tcW w:w="8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853.00</w:t>
            </w:r>
          </w:p>
        </w:tc>
        <w:tc>
          <w:tcPr>
            <w:tcW w:w="9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bl>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tbl>
      <w:tblPr>
        <w:tblStyle w:val="8"/>
        <w:tblW w:w="10606" w:type="dxa"/>
        <w:jc w:val="center"/>
        <w:tblLayout w:type="fixed"/>
        <w:tblCellMar>
          <w:top w:w="0" w:type="dxa"/>
          <w:left w:w="108" w:type="dxa"/>
          <w:bottom w:w="0" w:type="dxa"/>
          <w:right w:w="108" w:type="dxa"/>
        </w:tblCellMar>
      </w:tblPr>
      <w:tblGrid>
        <w:gridCol w:w="700"/>
        <w:gridCol w:w="846"/>
        <w:gridCol w:w="2960"/>
        <w:gridCol w:w="1080"/>
        <w:gridCol w:w="1080"/>
        <w:gridCol w:w="1080"/>
        <w:gridCol w:w="1300"/>
        <w:gridCol w:w="1560"/>
      </w:tblGrid>
      <w:tr>
        <w:tblPrEx>
          <w:tblCellMar>
            <w:top w:w="0" w:type="dxa"/>
            <w:left w:w="108" w:type="dxa"/>
            <w:bottom w:w="0" w:type="dxa"/>
            <w:right w:w="108" w:type="dxa"/>
          </w:tblCellMar>
        </w:tblPrEx>
        <w:trPr>
          <w:trHeight w:val="975" w:hRule="atLeast"/>
          <w:jc w:val="center"/>
        </w:trPr>
        <w:tc>
          <w:tcPr>
            <w:tcW w:w="10606" w:type="dxa"/>
            <w:gridSpan w:val="8"/>
            <w:tcBorders>
              <w:top w:val="nil"/>
              <w:left w:val="nil"/>
              <w:bottom w:val="nil"/>
              <w:right w:val="nil"/>
            </w:tcBorders>
            <w:shd w:val="clear" w:color="000000" w:fill="FFFFFF"/>
            <w:vAlign w:val="center"/>
          </w:tcPr>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单位预算一般公共预算财政拨款支出表</w:t>
            </w:r>
          </w:p>
        </w:tc>
      </w:tr>
      <w:tr>
        <w:tblPrEx>
          <w:tblCellMar>
            <w:top w:w="0" w:type="dxa"/>
            <w:left w:w="108" w:type="dxa"/>
            <w:bottom w:w="0" w:type="dxa"/>
            <w:right w:w="108" w:type="dxa"/>
          </w:tblCellMar>
        </w:tblPrEx>
        <w:trPr>
          <w:trHeight w:val="270" w:hRule="atLeast"/>
          <w:jc w:val="center"/>
        </w:trPr>
        <w:tc>
          <w:tcPr>
            <w:tcW w:w="6666" w:type="dxa"/>
            <w:gridSpan w:val="5"/>
            <w:tcBorders>
              <w:top w:val="nil"/>
              <w:left w:val="nil"/>
              <w:bottom w:val="nil"/>
              <w:right w:val="nil"/>
            </w:tcBorders>
            <w:shd w:val="clear" w:color="000000" w:fill="FFFFFF"/>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预算单位编码及名称：[314001]宁晋县民政局本级</w:t>
            </w:r>
          </w:p>
        </w:tc>
        <w:tc>
          <w:tcPr>
            <w:tcW w:w="2380" w:type="dxa"/>
            <w:gridSpan w:val="2"/>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预算年度：2021</w:t>
            </w:r>
          </w:p>
        </w:tc>
        <w:tc>
          <w:tcPr>
            <w:tcW w:w="1560" w:type="dxa"/>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金额单位：万元</w:t>
            </w:r>
          </w:p>
        </w:tc>
      </w:tr>
      <w:tr>
        <w:tblPrEx>
          <w:tblCellMar>
            <w:top w:w="0" w:type="dxa"/>
            <w:left w:w="108" w:type="dxa"/>
            <w:bottom w:w="0" w:type="dxa"/>
            <w:right w:w="108" w:type="dxa"/>
          </w:tblCellMar>
        </w:tblPrEx>
        <w:trPr>
          <w:trHeight w:val="270" w:hRule="atLeast"/>
          <w:jc w:val="center"/>
        </w:trPr>
        <w:tc>
          <w:tcPr>
            <w:tcW w:w="70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序号</w:t>
            </w:r>
          </w:p>
        </w:tc>
        <w:tc>
          <w:tcPr>
            <w:tcW w:w="3806"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支出功能分类科目</w:t>
            </w:r>
          </w:p>
        </w:tc>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合计</w:t>
            </w:r>
          </w:p>
        </w:tc>
        <w:tc>
          <w:tcPr>
            <w:tcW w:w="3460" w:type="dxa"/>
            <w:gridSpan w:val="3"/>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基本支出</w:t>
            </w:r>
          </w:p>
        </w:tc>
        <w:tc>
          <w:tcPr>
            <w:tcW w:w="156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项目支出</w:t>
            </w:r>
          </w:p>
        </w:tc>
      </w:tr>
      <w:tr>
        <w:tblPrEx>
          <w:tblCellMar>
            <w:top w:w="0" w:type="dxa"/>
            <w:left w:w="108" w:type="dxa"/>
            <w:bottom w:w="0" w:type="dxa"/>
            <w:right w:w="108" w:type="dxa"/>
          </w:tblCellMar>
        </w:tblPrEx>
        <w:trPr>
          <w:trHeight w:val="450" w:hRule="atLeast"/>
          <w:jc w:val="center"/>
        </w:trPr>
        <w:tc>
          <w:tcPr>
            <w:tcW w:w="70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846"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科目编码</w:t>
            </w:r>
          </w:p>
        </w:tc>
        <w:tc>
          <w:tcPr>
            <w:tcW w:w="29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科目名称</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小计</w:t>
            </w: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人员经费</w:t>
            </w:r>
          </w:p>
        </w:tc>
        <w:tc>
          <w:tcPr>
            <w:tcW w:w="13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公用经费</w:t>
            </w:r>
          </w:p>
        </w:tc>
        <w:tc>
          <w:tcPr>
            <w:tcW w:w="15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栏次</w:t>
            </w:r>
          </w:p>
        </w:tc>
        <w:tc>
          <w:tcPr>
            <w:tcW w:w="846"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29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3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5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846"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合计</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10639.81</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245.80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219.76</w:t>
            </w:r>
          </w:p>
        </w:tc>
        <w:tc>
          <w:tcPr>
            <w:tcW w:w="13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26.04</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10762.56</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社会保障和就业支出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10613.94</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219.93</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193.89</w:t>
            </w:r>
          </w:p>
        </w:tc>
        <w:tc>
          <w:tcPr>
            <w:tcW w:w="13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26.04</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10394.01</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民政管理事务</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413.32</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171.71</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146.17</w:t>
            </w:r>
          </w:p>
        </w:tc>
        <w:tc>
          <w:tcPr>
            <w:tcW w:w="13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25.54</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241.61</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2080201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行政运行</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171.71</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171.71</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146.17</w:t>
            </w:r>
          </w:p>
        </w:tc>
        <w:tc>
          <w:tcPr>
            <w:tcW w:w="13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25.54</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2080202</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一般行政管理事务</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185.48</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185.48</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2080299</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其他民政管理事务支出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56.13</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56.13</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20805</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行政事业单位养老支出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43.55</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43.55</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43.05</w:t>
            </w:r>
          </w:p>
        </w:tc>
        <w:tc>
          <w:tcPr>
            <w:tcW w:w="13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0.50</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2080501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行政单位离退休</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22.00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22.00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21.50</w:t>
            </w:r>
          </w:p>
        </w:tc>
        <w:tc>
          <w:tcPr>
            <w:tcW w:w="13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0.50</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2080505</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机关事业单位基本养老保险缴费支出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21.55</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21.55</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21.55</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20808</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抚恤</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2080801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死亡抚恤</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社会福利</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1703.40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1703.40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13</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儿童福利</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260.00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260.00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2081002</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老年福利</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113.40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113.40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2081004</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殡葬</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1226.00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1226.00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2081005</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社会福利事业单位</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60.00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60.00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2081006</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养老服务</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44.00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44.00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残疾人事业</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2081107</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残疾人生活和护理补贴</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1200.00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20819</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最低生活保障</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5480.00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5480.00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21</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2081901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城市最低生活保障金支出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409.00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409.00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22</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2081902</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农村最低生活保障金支出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5071.00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5071.00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20820</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临时救助</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130.00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130.00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24</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2082001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临时救助支出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115.00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115.00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25</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2082002</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流浪乞讨人员救助支出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15.00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15.00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26</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特困人员救助供养</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1639.00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1639.00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2082101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城市特困人员救助供养支出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2082102</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农村特困人员救助供养支出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1619.00</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1619.00</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20827</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财政对其他社会保险基金的补助</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2082702</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财政对工伤保险基金的补助</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31</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210</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卫生健康支出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32</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21012</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财政对基本医疗保险基金的补助</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33</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2101201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财政对职工基本医疗保险基金的补助</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34</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住房保障支出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35</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22102</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住房改革支出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70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36</w:t>
            </w:r>
          </w:p>
        </w:tc>
        <w:tc>
          <w:tcPr>
            <w:tcW w:w="84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2210201</w:t>
            </w:r>
          </w:p>
        </w:tc>
        <w:tc>
          <w:tcPr>
            <w:tcW w:w="29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住房公积金</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3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5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bl>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tbl>
      <w:tblPr>
        <w:tblStyle w:val="8"/>
        <w:tblW w:w="9560" w:type="dxa"/>
        <w:jc w:val="center"/>
        <w:tblLayout w:type="fixed"/>
        <w:tblCellMar>
          <w:top w:w="0" w:type="dxa"/>
          <w:left w:w="108" w:type="dxa"/>
          <w:bottom w:w="0" w:type="dxa"/>
          <w:right w:w="108" w:type="dxa"/>
        </w:tblCellMar>
      </w:tblPr>
      <w:tblGrid>
        <w:gridCol w:w="1080"/>
        <w:gridCol w:w="1080"/>
        <w:gridCol w:w="2680"/>
        <w:gridCol w:w="1680"/>
        <w:gridCol w:w="1440"/>
        <w:gridCol w:w="1600"/>
      </w:tblGrid>
      <w:tr>
        <w:tblPrEx>
          <w:tblCellMar>
            <w:top w:w="0" w:type="dxa"/>
            <w:left w:w="108" w:type="dxa"/>
            <w:bottom w:w="0" w:type="dxa"/>
            <w:right w:w="108" w:type="dxa"/>
          </w:tblCellMar>
        </w:tblPrEx>
        <w:trPr>
          <w:trHeight w:val="1185" w:hRule="atLeast"/>
          <w:jc w:val="center"/>
        </w:trPr>
        <w:tc>
          <w:tcPr>
            <w:tcW w:w="9560" w:type="dxa"/>
            <w:gridSpan w:val="6"/>
            <w:tcBorders>
              <w:top w:val="nil"/>
              <w:left w:val="nil"/>
              <w:bottom w:val="nil"/>
              <w:right w:val="nil"/>
            </w:tcBorders>
            <w:shd w:val="clear" w:color="000000" w:fill="FFFFFF"/>
            <w:vAlign w:val="center"/>
          </w:tcPr>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单位预算一般公共预算财政拨款基本支出表</w:t>
            </w:r>
          </w:p>
        </w:tc>
      </w:tr>
      <w:tr>
        <w:tblPrEx>
          <w:tblCellMar>
            <w:top w:w="0" w:type="dxa"/>
            <w:left w:w="108" w:type="dxa"/>
            <w:bottom w:w="0" w:type="dxa"/>
            <w:right w:w="108" w:type="dxa"/>
          </w:tblCellMar>
        </w:tblPrEx>
        <w:trPr>
          <w:trHeight w:val="270" w:hRule="atLeast"/>
          <w:jc w:val="center"/>
        </w:trPr>
        <w:tc>
          <w:tcPr>
            <w:tcW w:w="6520" w:type="dxa"/>
            <w:gridSpan w:val="4"/>
            <w:tcBorders>
              <w:top w:val="nil"/>
              <w:left w:val="nil"/>
              <w:bottom w:val="nil"/>
              <w:right w:val="nil"/>
            </w:tcBorders>
            <w:shd w:val="clear" w:color="000000" w:fill="FFFFFF"/>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预算单位编码及名称：[314001]宁晋县民政局本级</w:t>
            </w:r>
          </w:p>
        </w:tc>
        <w:tc>
          <w:tcPr>
            <w:tcW w:w="1440" w:type="dxa"/>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预算年度：2021</w:t>
            </w:r>
          </w:p>
        </w:tc>
        <w:tc>
          <w:tcPr>
            <w:tcW w:w="1600" w:type="dxa"/>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金额单位：万元</w:t>
            </w:r>
          </w:p>
        </w:tc>
      </w:tr>
      <w:tr>
        <w:tblPrEx>
          <w:tblCellMar>
            <w:top w:w="0" w:type="dxa"/>
            <w:left w:w="108" w:type="dxa"/>
            <w:bottom w:w="0" w:type="dxa"/>
            <w:right w:w="108" w:type="dxa"/>
          </w:tblCellMar>
        </w:tblPrEx>
        <w:trPr>
          <w:trHeight w:val="270" w:hRule="atLeast"/>
          <w:jc w:val="center"/>
        </w:trPr>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序号</w:t>
            </w:r>
          </w:p>
        </w:tc>
        <w:tc>
          <w:tcPr>
            <w:tcW w:w="3760"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支出部门经济分类科目</w:t>
            </w:r>
          </w:p>
        </w:tc>
        <w:tc>
          <w:tcPr>
            <w:tcW w:w="4720" w:type="dxa"/>
            <w:gridSpan w:val="3"/>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一般公共预算基本支出</w:t>
            </w:r>
          </w:p>
        </w:tc>
      </w:tr>
      <w:tr>
        <w:tblPrEx>
          <w:tblCellMar>
            <w:top w:w="0" w:type="dxa"/>
            <w:left w:w="108" w:type="dxa"/>
            <w:bottom w:w="0" w:type="dxa"/>
            <w:right w:w="108" w:type="dxa"/>
          </w:tblCellMar>
        </w:tblPrEx>
        <w:trPr>
          <w:trHeight w:val="270" w:hRule="atLeast"/>
          <w:jc w:val="center"/>
        </w:trPr>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科目编码</w:t>
            </w:r>
          </w:p>
        </w:tc>
        <w:tc>
          <w:tcPr>
            <w:tcW w:w="26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科目名称</w:t>
            </w:r>
          </w:p>
        </w:tc>
        <w:tc>
          <w:tcPr>
            <w:tcW w:w="16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合计</w:t>
            </w:r>
          </w:p>
        </w:tc>
        <w:tc>
          <w:tcPr>
            <w:tcW w:w="14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人员经费</w:t>
            </w:r>
          </w:p>
        </w:tc>
        <w:tc>
          <w:tcPr>
            <w:tcW w:w="16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公用经费</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栏次</w:t>
            </w: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26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16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4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6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10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合计</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245.80</w:t>
            </w:r>
          </w:p>
        </w:tc>
        <w:tc>
          <w:tcPr>
            <w:tcW w:w="14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219.76</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26.04</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301</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工资福利支出</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194.26</w:t>
            </w:r>
          </w:p>
        </w:tc>
        <w:tc>
          <w:tcPr>
            <w:tcW w:w="14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194.26</w:t>
            </w:r>
          </w:p>
        </w:tc>
        <w:tc>
          <w:tcPr>
            <w:tcW w:w="16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30101</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基本工资</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146.17</w:t>
            </w:r>
          </w:p>
        </w:tc>
        <w:tc>
          <w:tcPr>
            <w:tcW w:w="14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146.17</w:t>
            </w:r>
          </w:p>
        </w:tc>
        <w:tc>
          <w:tcPr>
            <w:tcW w:w="16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30108</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机关事业单位基本养老保险缴费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21.55</w:t>
            </w:r>
          </w:p>
        </w:tc>
        <w:tc>
          <w:tcPr>
            <w:tcW w:w="14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21.55</w:t>
            </w:r>
          </w:p>
        </w:tc>
        <w:tc>
          <w:tcPr>
            <w:tcW w:w="16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30110</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城镇职工基本医疗保险缴费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4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9.70</w:t>
            </w:r>
          </w:p>
        </w:tc>
        <w:tc>
          <w:tcPr>
            <w:tcW w:w="16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30112</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其他社会保障缴费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14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0.67</w:t>
            </w:r>
          </w:p>
        </w:tc>
        <w:tc>
          <w:tcPr>
            <w:tcW w:w="16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30113</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住房公积金</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4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16.17</w:t>
            </w:r>
          </w:p>
        </w:tc>
        <w:tc>
          <w:tcPr>
            <w:tcW w:w="16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商品和服务支出</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25.49</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25.49</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30201</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办公费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3.27</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3.27</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30205</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水费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0.10</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0.10</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30207</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邮电费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4.80</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4.80</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30211</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差旅费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1.00</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1.00</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13</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30215</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会议费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0.50</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0.50</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30217</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公务接待费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0.20</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0.20</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30228</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工会经费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1.54</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1.54</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30229</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福利费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2.08</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2.08</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30231</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公务用车运行维护费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30239</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其他交通费用</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9.50</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9.50</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30299</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其他商品和服务支出</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0.50</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0.50</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303</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对个人和家庭的补助</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25.50</w:t>
            </w:r>
          </w:p>
        </w:tc>
        <w:tc>
          <w:tcPr>
            <w:tcW w:w="14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25.50</w:t>
            </w:r>
          </w:p>
        </w:tc>
        <w:tc>
          <w:tcPr>
            <w:tcW w:w="16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21</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30302</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退休费</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21.50</w:t>
            </w:r>
          </w:p>
        </w:tc>
        <w:tc>
          <w:tcPr>
            <w:tcW w:w="14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21.50</w:t>
            </w:r>
          </w:p>
        </w:tc>
        <w:tc>
          <w:tcPr>
            <w:tcW w:w="16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22</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30304</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抚恤金</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14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4.00</w:t>
            </w:r>
          </w:p>
        </w:tc>
        <w:tc>
          <w:tcPr>
            <w:tcW w:w="16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310</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资本性支出</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0.55</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0.55</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24</w:t>
            </w:r>
          </w:p>
        </w:tc>
        <w:tc>
          <w:tcPr>
            <w:tcW w:w="10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31002</w:t>
            </w:r>
          </w:p>
        </w:tc>
        <w:tc>
          <w:tcPr>
            <w:tcW w:w="26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办公设备购置</w:t>
            </w:r>
          </w:p>
        </w:tc>
        <w:tc>
          <w:tcPr>
            <w:tcW w:w="16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0.55</w:t>
            </w:r>
          </w:p>
        </w:tc>
        <w:tc>
          <w:tcPr>
            <w:tcW w:w="14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0.55</w:t>
            </w:r>
          </w:p>
        </w:tc>
      </w:tr>
    </w:tbl>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tbl>
      <w:tblPr>
        <w:tblStyle w:val="8"/>
        <w:tblW w:w="10160" w:type="dxa"/>
        <w:jc w:val="center"/>
        <w:tblLayout w:type="fixed"/>
        <w:tblCellMar>
          <w:top w:w="0" w:type="dxa"/>
          <w:left w:w="108" w:type="dxa"/>
          <w:bottom w:w="0" w:type="dxa"/>
          <w:right w:w="108" w:type="dxa"/>
        </w:tblCellMar>
      </w:tblPr>
      <w:tblGrid>
        <w:gridCol w:w="740"/>
        <w:gridCol w:w="940"/>
        <w:gridCol w:w="4620"/>
        <w:gridCol w:w="1080"/>
        <w:gridCol w:w="1420"/>
        <w:gridCol w:w="1360"/>
      </w:tblGrid>
      <w:tr>
        <w:tblPrEx>
          <w:tblCellMar>
            <w:top w:w="0" w:type="dxa"/>
            <w:left w:w="108" w:type="dxa"/>
            <w:bottom w:w="0" w:type="dxa"/>
            <w:right w:w="108" w:type="dxa"/>
          </w:tblCellMar>
        </w:tblPrEx>
        <w:trPr>
          <w:trHeight w:val="1290" w:hRule="atLeast"/>
          <w:jc w:val="center"/>
        </w:trPr>
        <w:tc>
          <w:tcPr>
            <w:tcW w:w="10160" w:type="dxa"/>
            <w:gridSpan w:val="6"/>
            <w:tcBorders>
              <w:top w:val="nil"/>
              <w:left w:val="nil"/>
              <w:bottom w:val="nil"/>
              <w:right w:val="nil"/>
            </w:tcBorders>
            <w:shd w:val="clear" w:color="000000" w:fill="FFFFFF"/>
            <w:vAlign w:val="center"/>
          </w:tcPr>
          <w:p>
            <w:pPr>
              <w:widowControl/>
              <w:jc w:val="center"/>
              <w:rPr>
                <w:rFonts w:hint="eastAsia" w:ascii="宋体" w:hAnsi="宋体" w:eastAsia="宋体" w:cs="宋体"/>
                <w:b/>
                <w:bCs/>
                <w:kern w:val="0"/>
                <w:sz w:val="44"/>
                <w:szCs w:val="44"/>
              </w:rPr>
            </w:pPr>
          </w:p>
          <w:p>
            <w:pPr>
              <w:widowControl/>
              <w:jc w:val="center"/>
              <w:rPr>
                <w:rFonts w:hint="eastAsia" w:ascii="宋体" w:hAnsi="宋体" w:eastAsia="宋体" w:cs="宋体"/>
                <w:b/>
                <w:bCs/>
                <w:kern w:val="0"/>
                <w:sz w:val="44"/>
                <w:szCs w:val="44"/>
              </w:rPr>
            </w:pPr>
          </w:p>
          <w:p>
            <w:pPr>
              <w:widowControl/>
              <w:jc w:val="center"/>
              <w:rPr>
                <w:rFonts w:hint="eastAsia" w:ascii="宋体" w:hAnsi="宋体" w:eastAsia="宋体" w:cs="宋体"/>
                <w:b/>
                <w:bCs/>
                <w:kern w:val="0"/>
                <w:sz w:val="44"/>
                <w:szCs w:val="44"/>
              </w:rPr>
            </w:pPr>
          </w:p>
          <w:p>
            <w:pPr>
              <w:widowControl/>
              <w:jc w:val="center"/>
              <w:rPr>
                <w:rFonts w:hint="eastAsia" w:ascii="宋体" w:hAnsi="宋体" w:eastAsia="宋体" w:cs="宋体"/>
                <w:b/>
                <w:bCs/>
                <w:kern w:val="0"/>
                <w:sz w:val="44"/>
                <w:szCs w:val="44"/>
              </w:rPr>
            </w:pPr>
          </w:p>
          <w:p>
            <w:pPr>
              <w:widowControl/>
              <w:jc w:val="center"/>
              <w:rPr>
                <w:rFonts w:hint="eastAsia" w:ascii="宋体" w:hAnsi="宋体" w:eastAsia="宋体" w:cs="宋体"/>
                <w:b/>
                <w:bCs/>
                <w:kern w:val="0"/>
                <w:sz w:val="44"/>
                <w:szCs w:val="44"/>
              </w:rPr>
            </w:pPr>
          </w:p>
          <w:p>
            <w:pPr>
              <w:widowControl/>
              <w:jc w:val="center"/>
              <w:rPr>
                <w:rFonts w:hint="eastAsia" w:ascii="宋体" w:hAnsi="宋体" w:eastAsia="宋体" w:cs="宋体"/>
                <w:b/>
                <w:bCs/>
                <w:kern w:val="0"/>
                <w:sz w:val="44"/>
                <w:szCs w:val="44"/>
              </w:rPr>
            </w:pPr>
          </w:p>
          <w:p>
            <w:pPr>
              <w:widowControl/>
              <w:jc w:val="center"/>
              <w:rPr>
                <w:rFonts w:hint="eastAsia" w:ascii="宋体" w:hAnsi="宋体" w:eastAsia="宋体" w:cs="宋体"/>
                <w:b/>
                <w:bCs/>
                <w:kern w:val="0"/>
                <w:sz w:val="44"/>
                <w:szCs w:val="44"/>
              </w:rPr>
            </w:pPr>
          </w:p>
          <w:p>
            <w:pPr>
              <w:widowControl/>
              <w:jc w:val="center"/>
              <w:rPr>
                <w:rFonts w:hint="eastAsia" w:ascii="宋体" w:hAnsi="宋体" w:eastAsia="宋体" w:cs="宋体"/>
                <w:b/>
                <w:bCs/>
                <w:kern w:val="0"/>
                <w:sz w:val="44"/>
                <w:szCs w:val="44"/>
              </w:rPr>
            </w:pP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单位预算政府基金预算财政拨款支出表</w:t>
            </w:r>
          </w:p>
        </w:tc>
      </w:tr>
      <w:tr>
        <w:tblPrEx>
          <w:tblCellMar>
            <w:top w:w="0" w:type="dxa"/>
            <w:left w:w="108" w:type="dxa"/>
            <w:bottom w:w="0" w:type="dxa"/>
            <w:right w:w="108" w:type="dxa"/>
          </w:tblCellMar>
        </w:tblPrEx>
        <w:trPr>
          <w:trHeight w:val="270" w:hRule="atLeast"/>
          <w:jc w:val="center"/>
        </w:trPr>
        <w:tc>
          <w:tcPr>
            <w:tcW w:w="7380" w:type="dxa"/>
            <w:gridSpan w:val="4"/>
            <w:tcBorders>
              <w:top w:val="nil"/>
              <w:left w:val="nil"/>
              <w:bottom w:val="nil"/>
              <w:right w:val="nil"/>
            </w:tcBorders>
            <w:shd w:val="clear" w:color="000000" w:fill="FFFFFF"/>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预算单位编码及名称：[314001]宁晋县民政局本级</w:t>
            </w:r>
          </w:p>
        </w:tc>
        <w:tc>
          <w:tcPr>
            <w:tcW w:w="1420" w:type="dxa"/>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预算年度：2021</w:t>
            </w:r>
          </w:p>
        </w:tc>
        <w:tc>
          <w:tcPr>
            <w:tcW w:w="1360" w:type="dxa"/>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金额单位：万元</w:t>
            </w:r>
          </w:p>
        </w:tc>
      </w:tr>
      <w:tr>
        <w:tblPrEx>
          <w:tblCellMar>
            <w:top w:w="0" w:type="dxa"/>
            <w:left w:w="108" w:type="dxa"/>
            <w:bottom w:w="0" w:type="dxa"/>
            <w:right w:w="108" w:type="dxa"/>
          </w:tblCellMar>
        </w:tblPrEx>
        <w:trPr>
          <w:trHeight w:val="270" w:hRule="atLeast"/>
          <w:jc w:val="center"/>
        </w:trPr>
        <w:tc>
          <w:tcPr>
            <w:tcW w:w="7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序号</w:t>
            </w:r>
          </w:p>
        </w:tc>
        <w:tc>
          <w:tcPr>
            <w:tcW w:w="5560"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支出功能分类科目</w:t>
            </w:r>
          </w:p>
        </w:tc>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合计</w:t>
            </w:r>
          </w:p>
        </w:tc>
        <w:tc>
          <w:tcPr>
            <w:tcW w:w="142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基本支出</w:t>
            </w:r>
          </w:p>
        </w:tc>
        <w:tc>
          <w:tcPr>
            <w:tcW w:w="136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项目支出</w:t>
            </w:r>
          </w:p>
        </w:tc>
      </w:tr>
      <w:tr>
        <w:tblPrEx>
          <w:tblCellMar>
            <w:top w:w="0" w:type="dxa"/>
            <w:left w:w="108" w:type="dxa"/>
            <w:bottom w:w="0" w:type="dxa"/>
            <w:right w:w="108" w:type="dxa"/>
          </w:tblCellMar>
        </w:tblPrEx>
        <w:trPr>
          <w:trHeight w:val="270" w:hRule="atLeast"/>
          <w:jc w:val="center"/>
        </w:trPr>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9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科目编码</w:t>
            </w:r>
          </w:p>
        </w:tc>
        <w:tc>
          <w:tcPr>
            <w:tcW w:w="462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科目名称</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14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13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270" w:hRule="atLeast"/>
          <w:jc w:val="center"/>
        </w:trPr>
        <w:tc>
          <w:tcPr>
            <w:tcW w:w="740" w:type="dxa"/>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栏次</w:t>
            </w:r>
          </w:p>
        </w:tc>
        <w:tc>
          <w:tcPr>
            <w:tcW w:w="9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462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10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42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3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r>
      <w:tr>
        <w:tblPrEx>
          <w:tblCellMar>
            <w:top w:w="0" w:type="dxa"/>
            <w:left w:w="108" w:type="dxa"/>
            <w:bottom w:w="0" w:type="dxa"/>
            <w:right w:w="108" w:type="dxa"/>
          </w:tblCellMar>
        </w:tblPrEx>
        <w:trPr>
          <w:trHeight w:val="270" w:hRule="atLeast"/>
          <w:jc w:val="center"/>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94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46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合计</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853.00</w:t>
            </w:r>
          </w:p>
        </w:tc>
        <w:tc>
          <w:tcPr>
            <w:tcW w:w="14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853.00</w:t>
            </w:r>
          </w:p>
        </w:tc>
      </w:tr>
      <w:tr>
        <w:tblPrEx>
          <w:tblCellMar>
            <w:top w:w="0" w:type="dxa"/>
            <w:left w:w="108" w:type="dxa"/>
            <w:bottom w:w="0" w:type="dxa"/>
            <w:right w:w="108" w:type="dxa"/>
          </w:tblCellMar>
        </w:tblPrEx>
        <w:trPr>
          <w:trHeight w:val="270" w:hRule="atLeast"/>
          <w:jc w:val="center"/>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9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212</w:t>
            </w:r>
          </w:p>
        </w:tc>
        <w:tc>
          <w:tcPr>
            <w:tcW w:w="46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城乡社区支出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14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r>
      <w:tr>
        <w:tblPrEx>
          <w:tblCellMar>
            <w:top w:w="0" w:type="dxa"/>
            <w:left w:w="108" w:type="dxa"/>
            <w:bottom w:w="0" w:type="dxa"/>
            <w:right w:w="108" w:type="dxa"/>
          </w:tblCellMar>
        </w:tblPrEx>
        <w:trPr>
          <w:trHeight w:val="270" w:hRule="atLeast"/>
          <w:jc w:val="center"/>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9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21219</w:t>
            </w:r>
          </w:p>
        </w:tc>
        <w:tc>
          <w:tcPr>
            <w:tcW w:w="46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国有土地使用权出让收入对应专项债务收入安排的支出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14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r>
      <w:tr>
        <w:tblPrEx>
          <w:tblCellMar>
            <w:top w:w="0" w:type="dxa"/>
            <w:left w:w="108" w:type="dxa"/>
            <w:bottom w:w="0" w:type="dxa"/>
            <w:right w:w="108" w:type="dxa"/>
          </w:tblCellMar>
        </w:tblPrEx>
        <w:trPr>
          <w:trHeight w:val="270" w:hRule="atLeast"/>
          <w:jc w:val="center"/>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9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2121999</w:t>
            </w:r>
          </w:p>
        </w:tc>
        <w:tc>
          <w:tcPr>
            <w:tcW w:w="46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其他国有土地使用权出让收入对应专项债务安排的支出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c>
          <w:tcPr>
            <w:tcW w:w="14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500.00</w:t>
            </w:r>
          </w:p>
        </w:tc>
      </w:tr>
      <w:tr>
        <w:tblPrEx>
          <w:tblCellMar>
            <w:top w:w="0" w:type="dxa"/>
            <w:left w:w="108" w:type="dxa"/>
            <w:bottom w:w="0" w:type="dxa"/>
            <w:right w:w="108" w:type="dxa"/>
          </w:tblCellMar>
        </w:tblPrEx>
        <w:trPr>
          <w:trHeight w:val="270" w:hRule="atLeast"/>
          <w:jc w:val="center"/>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9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w:t>
            </w:r>
          </w:p>
        </w:tc>
        <w:tc>
          <w:tcPr>
            <w:tcW w:w="46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其他支出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353.00</w:t>
            </w:r>
          </w:p>
        </w:tc>
        <w:tc>
          <w:tcPr>
            <w:tcW w:w="14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353.00</w:t>
            </w:r>
          </w:p>
        </w:tc>
      </w:tr>
      <w:tr>
        <w:tblPrEx>
          <w:tblCellMar>
            <w:top w:w="0" w:type="dxa"/>
            <w:left w:w="108" w:type="dxa"/>
            <w:bottom w:w="0" w:type="dxa"/>
            <w:right w:w="108" w:type="dxa"/>
          </w:tblCellMar>
        </w:tblPrEx>
        <w:trPr>
          <w:trHeight w:val="270" w:hRule="atLeast"/>
          <w:jc w:val="center"/>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9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22908</w:t>
            </w:r>
          </w:p>
        </w:tc>
        <w:tc>
          <w:tcPr>
            <w:tcW w:w="46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彩票发行销售机构业务费安排的支出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14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r>
      <w:tr>
        <w:tblPrEx>
          <w:tblCellMar>
            <w:top w:w="0" w:type="dxa"/>
            <w:left w:w="108" w:type="dxa"/>
            <w:bottom w:w="0" w:type="dxa"/>
            <w:right w:w="108" w:type="dxa"/>
          </w:tblCellMar>
        </w:tblPrEx>
        <w:trPr>
          <w:trHeight w:val="270" w:hRule="atLeast"/>
          <w:jc w:val="center"/>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9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2290804</w:t>
            </w:r>
          </w:p>
        </w:tc>
        <w:tc>
          <w:tcPr>
            <w:tcW w:w="46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福利彩票销售机构的业务费支出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c>
          <w:tcPr>
            <w:tcW w:w="14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32.00</w:t>
            </w:r>
          </w:p>
        </w:tc>
      </w:tr>
      <w:tr>
        <w:tblPrEx>
          <w:tblCellMar>
            <w:top w:w="0" w:type="dxa"/>
            <w:left w:w="108" w:type="dxa"/>
            <w:bottom w:w="0" w:type="dxa"/>
            <w:right w:w="108" w:type="dxa"/>
          </w:tblCellMar>
        </w:tblPrEx>
        <w:trPr>
          <w:trHeight w:val="270" w:hRule="atLeast"/>
          <w:jc w:val="center"/>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9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22960</w:t>
            </w:r>
          </w:p>
        </w:tc>
        <w:tc>
          <w:tcPr>
            <w:tcW w:w="46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彩票公益金安排的支出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321.00</w:t>
            </w:r>
          </w:p>
        </w:tc>
        <w:tc>
          <w:tcPr>
            <w:tcW w:w="14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321.00</w:t>
            </w:r>
          </w:p>
        </w:tc>
      </w:tr>
      <w:tr>
        <w:tblPrEx>
          <w:tblCellMar>
            <w:top w:w="0" w:type="dxa"/>
            <w:left w:w="108" w:type="dxa"/>
            <w:bottom w:w="0" w:type="dxa"/>
            <w:right w:w="108" w:type="dxa"/>
          </w:tblCellMar>
        </w:tblPrEx>
        <w:trPr>
          <w:trHeight w:val="270" w:hRule="atLeast"/>
          <w:jc w:val="center"/>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9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2296002</w:t>
            </w:r>
          </w:p>
        </w:tc>
        <w:tc>
          <w:tcPr>
            <w:tcW w:w="46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用于社会福利的彩票公益金支出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276.00</w:t>
            </w:r>
          </w:p>
        </w:tc>
        <w:tc>
          <w:tcPr>
            <w:tcW w:w="14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276.00</w:t>
            </w:r>
          </w:p>
        </w:tc>
      </w:tr>
      <w:tr>
        <w:tblPrEx>
          <w:tblCellMar>
            <w:top w:w="0" w:type="dxa"/>
            <w:left w:w="108" w:type="dxa"/>
            <w:bottom w:w="0" w:type="dxa"/>
            <w:right w:w="108" w:type="dxa"/>
          </w:tblCellMar>
        </w:tblPrEx>
        <w:trPr>
          <w:trHeight w:val="270" w:hRule="atLeast"/>
          <w:jc w:val="center"/>
        </w:trPr>
        <w:tc>
          <w:tcPr>
            <w:tcW w:w="74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9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2296099</w:t>
            </w:r>
          </w:p>
        </w:tc>
        <w:tc>
          <w:tcPr>
            <w:tcW w:w="46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用于其他社会公益事业的彩票公益金支出</w:t>
            </w:r>
          </w:p>
        </w:tc>
        <w:tc>
          <w:tcPr>
            <w:tcW w:w="10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45.00</w:t>
            </w:r>
          </w:p>
        </w:tc>
        <w:tc>
          <w:tcPr>
            <w:tcW w:w="142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3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45.00</w:t>
            </w:r>
          </w:p>
        </w:tc>
      </w:tr>
    </w:tbl>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tbl>
      <w:tblPr>
        <w:tblStyle w:val="8"/>
        <w:tblW w:w="9780" w:type="dxa"/>
        <w:jc w:val="center"/>
        <w:tblLayout w:type="fixed"/>
        <w:tblCellMar>
          <w:top w:w="0" w:type="dxa"/>
          <w:left w:w="108" w:type="dxa"/>
          <w:bottom w:w="0" w:type="dxa"/>
          <w:right w:w="108" w:type="dxa"/>
        </w:tblCellMar>
      </w:tblPr>
      <w:tblGrid>
        <w:gridCol w:w="1080"/>
        <w:gridCol w:w="1420"/>
        <w:gridCol w:w="2140"/>
        <w:gridCol w:w="1780"/>
        <w:gridCol w:w="1660"/>
        <w:gridCol w:w="1700"/>
      </w:tblGrid>
      <w:tr>
        <w:tblPrEx>
          <w:tblCellMar>
            <w:top w:w="0" w:type="dxa"/>
            <w:left w:w="108" w:type="dxa"/>
            <w:bottom w:w="0" w:type="dxa"/>
            <w:right w:w="108" w:type="dxa"/>
          </w:tblCellMar>
        </w:tblPrEx>
        <w:trPr>
          <w:trHeight w:val="1125" w:hRule="atLeast"/>
          <w:jc w:val="center"/>
        </w:trPr>
        <w:tc>
          <w:tcPr>
            <w:tcW w:w="9780" w:type="dxa"/>
            <w:gridSpan w:val="6"/>
            <w:tcBorders>
              <w:top w:val="nil"/>
              <w:left w:val="nil"/>
              <w:bottom w:val="nil"/>
              <w:right w:val="nil"/>
            </w:tcBorders>
            <w:shd w:val="clear" w:color="000000" w:fill="FFFFFF"/>
            <w:vAlign w:val="center"/>
          </w:tcPr>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单位预算国有资本经营预算财政拨款支出表</w:t>
            </w:r>
          </w:p>
        </w:tc>
      </w:tr>
      <w:tr>
        <w:tblPrEx>
          <w:tblCellMar>
            <w:top w:w="0" w:type="dxa"/>
            <w:left w:w="108" w:type="dxa"/>
            <w:bottom w:w="0" w:type="dxa"/>
            <w:right w:w="108" w:type="dxa"/>
          </w:tblCellMar>
        </w:tblPrEx>
        <w:trPr>
          <w:trHeight w:val="270" w:hRule="atLeast"/>
          <w:jc w:val="center"/>
        </w:trPr>
        <w:tc>
          <w:tcPr>
            <w:tcW w:w="6420" w:type="dxa"/>
            <w:gridSpan w:val="4"/>
            <w:tcBorders>
              <w:top w:val="nil"/>
              <w:left w:val="nil"/>
              <w:bottom w:val="nil"/>
              <w:right w:val="nil"/>
            </w:tcBorders>
            <w:shd w:val="clear" w:color="000000" w:fill="FFFFFF"/>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预算单位编码及名称：[314001]宁晋县民政局本级</w:t>
            </w:r>
          </w:p>
        </w:tc>
        <w:tc>
          <w:tcPr>
            <w:tcW w:w="1660" w:type="dxa"/>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预算年度：2021</w:t>
            </w:r>
          </w:p>
        </w:tc>
        <w:tc>
          <w:tcPr>
            <w:tcW w:w="1700" w:type="dxa"/>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金额单位：万元</w:t>
            </w:r>
          </w:p>
        </w:tc>
      </w:tr>
      <w:tr>
        <w:tblPrEx>
          <w:tblCellMar>
            <w:top w:w="0" w:type="dxa"/>
            <w:left w:w="108" w:type="dxa"/>
            <w:bottom w:w="0" w:type="dxa"/>
            <w:right w:w="108" w:type="dxa"/>
          </w:tblCellMar>
        </w:tblPrEx>
        <w:trPr>
          <w:trHeight w:val="270" w:hRule="atLeast"/>
          <w:jc w:val="center"/>
        </w:trPr>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序号</w:t>
            </w:r>
          </w:p>
        </w:tc>
        <w:tc>
          <w:tcPr>
            <w:tcW w:w="3560" w:type="dxa"/>
            <w:gridSpan w:val="2"/>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支出功能分类科目</w:t>
            </w:r>
          </w:p>
        </w:tc>
        <w:tc>
          <w:tcPr>
            <w:tcW w:w="17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合计</w:t>
            </w:r>
          </w:p>
        </w:tc>
        <w:tc>
          <w:tcPr>
            <w:tcW w:w="166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基本支出</w:t>
            </w:r>
          </w:p>
        </w:tc>
        <w:tc>
          <w:tcPr>
            <w:tcW w:w="170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项目支出</w:t>
            </w:r>
          </w:p>
        </w:tc>
      </w:tr>
      <w:tr>
        <w:tblPrEx>
          <w:tblCellMar>
            <w:top w:w="0" w:type="dxa"/>
            <w:left w:w="108" w:type="dxa"/>
            <w:bottom w:w="0" w:type="dxa"/>
            <w:right w:w="108" w:type="dxa"/>
          </w:tblCellMar>
        </w:tblPrEx>
        <w:trPr>
          <w:trHeight w:val="270" w:hRule="atLeast"/>
          <w:jc w:val="center"/>
        </w:trPr>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142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科目编码</w:t>
            </w:r>
          </w:p>
        </w:tc>
        <w:tc>
          <w:tcPr>
            <w:tcW w:w="21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科目名称</w:t>
            </w:r>
          </w:p>
        </w:tc>
        <w:tc>
          <w:tcPr>
            <w:tcW w:w="17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16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170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栏次</w:t>
            </w:r>
          </w:p>
        </w:tc>
        <w:tc>
          <w:tcPr>
            <w:tcW w:w="142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214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17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6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7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4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21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7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6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7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4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21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7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6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7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42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21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7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6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c>
          <w:tcPr>
            <w:tcW w:w="170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color w:val="000000"/>
                <w:kern w:val="0"/>
                <w:sz w:val="22"/>
                <w:szCs w:val="22"/>
              </w:rPr>
            </w:pPr>
            <w:r>
              <w:rPr>
                <w:rFonts w:hint="eastAsia" w:ascii="宋体" w:hAnsi="宋体" w:eastAsia="宋体" w:cs="宋体"/>
                <w:color w:val="000000"/>
                <w:kern w:val="0"/>
                <w:sz w:val="22"/>
                <w:szCs w:val="22"/>
              </w:rPr>
              <w:t>　</w:t>
            </w:r>
          </w:p>
        </w:tc>
      </w:tr>
      <w:tr>
        <w:tblPrEx>
          <w:tblCellMar>
            <w:top w:w="0" w:type="dxa"/>
            <w:left w:w="108" w:type="dxa"/>
            <w:bottom w:w="0" w:type="dxa"/>
            <w:right w:w="108" w:type="dxa"/>
          </w:tblCellMar>
        </w:tblPrEx>
        <w:trPr>
          <w:trHeight w:val="270" w:hRule="atLeast"/>
          <w:jc w:val="center"/>
        </w:trPr>
        <w:tc>
          <w:tcPr>
            <w:tcW w:w="9780" w:type="dxa"/>
            <w:gridSpan w:val="6"/>
            <w:tcBorders>
              <w:top w:val="single" w:color="auto" w:sz="4" w:space="0"/>
              <w:left w:val="nil"/>
              <w:bottom w:val="nil"/>
              <w:right w:val="nil"/>
            </w:tcBorders>
            <w:shd w:val="clear" w:color="auto" w:fill="auto"/>
            <w:noWrap/>
            <w:vAlign w:val="center"/>
          </w:tcPr>
          <w:p>
            <w:pPr>
              <w:widowControl/>
              <w:jc w:val="center"/>
              <w:rPr>
                <w:rFonts w:ascii="宋体" w:hAnsi="宋体" w:eastAsia="宋体" w:cs="宋体"/>
                <w:color w:val="000000"/>
                <w:kern w:val="0"/>
                <w:sz w:val="22"/>
                <w:szCs w:val="22"/>
              </w:rPr>
            </w:pPr>
            <w:r>
              <w:rPr>
                <w:rFonts w:hint="eastAsia" w:ascii="宋体" w:hAnsi="宋体" w:eastAsia="宋体" w:cs="宋体"/>
                <w:color w:val="000000"/>
                <w:kern w:val="0"/>
                <w:sz w:val="22"/>
                <w:szCs w:val="22"/>
              </w:rPr>
              <w:t>注：无国有资本经营预算，空表列示。</w:t>
            </w:r>
          </w:p>
        </w:tc>
      </w:tr>
    </w:tbl>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tbl>
      <w:tblPr>
        <w:tblStyle w:val="8"/>
        <w:tblW w:w="11180" w:type="dxa"/>
        <w:jc w:val="center"/>
        <w:tblLayout w:type="fixed"/>
        <w:tblCellMar>
          <w:top w:w="0" w:type="dxa"/>
          <w:left w:w="108" w:type="dxa"/>
          <w:bottom w:w="0" w:type="dxa"/>
          <w:right w:w="108" w:type="dxa"/>
        </w:tblCellMar>
      </w:tblPr>
      <w:tblGrid>
        <w:gridCol w:w="1080"/>
        <w:gridCol w:w="2980"/>
        <w:gridCol w:w="1480"/>
        <w:gridCol w:w="2000"/>
        <w:gridCol w:w="1460"/>
        <w:gridCol w:w="2180"/>
      </w:tblGrid>
      <w:tr>
        <w:tblPrEx>
          <w:tblCellMar>
            <w:top w:w="0" w:type="dxa"/>
            <w:left w:w="108" w:type="dxa"/>
            <w:bottom w:w="0" w:type="dxa"/>
            <w:right w:w="108" w:type="dxa"/>
          </w:tblCellMar>
        </w:tblPrEx>
        <w:trPr>
          <w:trHeight w:val="1155" w:hRule="atLeast"/>
          <w:jc w:val="center"/>
        </w:trPr>
        <w:tc>
          <w:tcPr>
            <w:tcW w:w="11180" w:type="dxa"/>
            <w:gridSpan w:val="6"/>
            <w:tcBorders>
              <w:top w:val="nil"/>
              <w:left w:val="nil"/>
              <w:bottom w:val="nil"/>
              <w:right w:val="nil"/>
            </w:tcBorders>
            <w:shd w:val="clear" w:color="000000" w:fill="FFFFFF"/>
            <w:vAlign w:val="center"/>
          </w:tcPr>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单位预算财政拨款“三公”经费支出表</w:t>
            </w:r>
          </w:p>
        </w:tc>
      </w:tr>
      <w:tr>
        <w:tblPrEx>
          <w:tblCellMar>
            <w:top w:w="0" w:type="dxa"/>
            <w:left w:w="108" w:type="dxa"/>
            <w:bottom w:w="0" w:type="dxa"/>
            <w:right w:w="108" w:type="dxa"/>
          </w:tblCellMar>
        </w:tblPrEx>
        <w:trPr>
          <w:trHeight w:val="270" w:hRule="atLeast"/>
          <w:jc w:val="center"/>
        </w:trPr>
        <w:tc>
          <w:tcPr>
            <w:tcW w:w="7540" w:type="dxa"/>
            <w:gridSpan w:val="4"/>
            <w:tcBorders>
              <w:top w:val="nil"/>
              <w:left w:val="nil"/>
              <w:bottom w:val="nil"/>
              <w:right w:val="nil"/>
            </w:tcBorders>
            <w:shd w:val="clear" w:color="000000" w:fill="FFFFFF"/>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预算单位编码及名称：[314001]宁晋县民政局本级</w:t>
            </w:r>
          </w:p>
        </w:tc>
        <w:tc>
          <w:tcPr>
            <w:tcW w:w="1460" w:type="dxa"/>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预算年度：2021</w:t>
            </w:r>
          </w:p>
        </w:tc>
        <w:tc>
          <w:tcPr>
            <w:tcW w:w="2180" w:type="dxa"/>
            <w:tcBorders>
              <w:top w:val="nil"/>
              <w:left w:val="nil"/>
              <w:bottom w:val="nil"/>
              <w:right w:val="nil"/>
            </w:tcBorders>
            <w:shd w:val="clear" w:color="000000" w:fill="FFFFFF"/>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金额单位：万元</w:t>
            </w:r>
          </w:p>
        </w:tc>
      </w:tr>
      <w:tr>
        <w:tblPrEx>
          <w:tblCellMar>
            <w:top w:w="0" w:type="dxa"/>
            <w:left w:w="108" w:type="dxa"/>
            <w:bottom w:w="0" w:type="dxa"/>
            <w:right w:w="108" w:type="dxa"/>
          </w:tblCellMar>
        </w:tblPrEx>
        <w:trPr>
          <w:trHeight w:val="270" w:hRule="atLeast"/>
          <w:jc w:val="center"/>
        </w:trPr>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序号</w:t>
            </w:r>
          </w:p>
        </w:tc>
        <w:tc>
          <w:tcPr>
            <w:tcW w:w="29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项  目</w:t>
            </w:r>
          </w:p>
        </w:tc>
        <w:tc>
          <w:tcPr>
            <w:tcW w:w="7120" w:type="dxa"/>
            <w:gridSpan w:val="4"/>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资金性质</w:t>
            </w:r>
          </w:p>
        </w:tc>
      </w:tr>
      <w:tr>
        <w:tblPrEx>
          <w:tblCellMar>
            <w:top w:w="0" w:type="dxa"/>
            <w:left w:w="108" w:type="dxa"/>
            <w:bottom w:w="0" w:type="dxa"/>
            <w:right w:w="108" w:type="dxa"/>
          </w:tblCellMar>
        </w:tblPrEx>
        <w:trPr>
          <w:trHeight w:val="450" w:hRule="atLeast"/>
          <w:jc w:val="center"/>
        </w:trPr>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29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18"/>
                <w:szCs w:val="18"/>
              </w:rPr>
            </w:pPr>
          </w:p>
        </w:tc>
        <w:tc>
          <w:tcPr>
            <w:tcW w:w="14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合计</w:t>
            </w:r>
          </w:p>
        </w:tc>
        <w:tc>
          <w:tcPr>
            <w:tcW w:w="20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一般公共预算财政拨款</w:t>
            </w:r>
          </w:p>
        </w:tc>
        <w:tc>
          <w:tcPr>
            <w:tcW w:w="14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政府性基金财政拨款</w:t>
            </w:r>
          </w:p>
        </w:tc>
        <w:tc>
          <w:tcPr>
            <w:tcW w:w="21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国有资本经营预算财政拨款</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栏次</w:t>
            </w:r>
          </w:p>
        </w:tc>
        <w:tc>
          <w:tcPr>
            <w:tcW w:w="29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14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200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46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218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29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合计</w:t>
            </w:r>
          </w:p>
        </w:tc>
        <w:tc>
          <w:tcPr>
            <w:tcW w:w="14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4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1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29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一、因公出国（境）费</w:t>
            </w:r>
          </w:p>
        </w:tc>
        <w:tc>
          <w:tcPr>
            <w:tcW w:w="14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4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1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29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二、公务用车购置及运维费</w:t>
            </w:r>
          </w:p>
        </w:tc>
        <w:tc>
          <w:tcPr>
            <w:tcW w:w="14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4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1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29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    其中：公务用车购置费</w:t>
            </w:r>
          </w:p>
        </w:tc>
        <w:tc>
          <w:tcPr>
            <w:tcW w:w="14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00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14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1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29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 xml:space="preserve">          公务用车运行维护费</w:t>
            </w:r>
          </w:p>
        </w:tc>
        <w:tc>
          <w:tcPr>
            <w:tcW w:w="14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w:t>
            </w:r>
          </w:p>
        </w:tc>
        <w:tc>
          <w:tcPr>
            <w:tcW w:w="20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2.00</w:t>
            </w:r>
          </w:p>
        </w:tc>
        <w:tc>
          <w:tcPr>
            <w:tcW w:w="14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1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r>
        <w:tblPrEx>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29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eastAsia="宋体" w:cs="宋体"/>
                <w:kern w:val="0"/>
                <w:sz w:val="18"/>
                <w:szCs w:val="18"/>
              </w:rPr>
            </w:pPr>
            <w:r>
              <w:rPr>
                <w:rFonts w:hint="eastAsia" w:ascii="宋体" w:hAnsi="宋体" w:eastAsia="宋体" w:cs="宋体"/>
                <w:kern w:val="0"/>
                <w:sz w:val="18"/>
                <w:szCs w:val="18"/>
              </w:rPr>
              <w:t>三、公务接待费</w:t>
            </w:r>
          </w:p>
        </w:tc>
        <w:tc>
          <w:tcPr>
            <w:tcW w:w="148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0.20</w:t>
            </w:r>
          </w:p>
        </w:tc>
        <w:tc>
          <w:tcPr>
            <w:tcW w:w="200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eastAsia="宋体" w:cs="宋体"/>
                <w:kern w:val="0"/>
                <w:sz w:val="18"/>
                <w:szCs w:val="18"/>
              </w:rPr>
            </w:pPr>
            <w:r>
              <w:rPr>
                <w:rFonts w:hint="eastAsia" w:ascii="宋体" w:hAnsi="宋体" w:eastAsia="宋体" w:cs="宋体"/>
                <w:kern w:val="0"/>
                <w:sz w:val="18"/>
                <w:szCs w:val="18"/>
              </w:rPr>
              <w:t>0.20</w:t>
            </w:r>
          </w:p>
        </w:tc>
        <w:tc>
          <w:tcPr>
            <w:tcW w:w="146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2180" w:type="dxa"/>
            <w:tcBorders>
              <w:top w:val="nil"/>
              <w:left w:val="nil"/>
              <w:bottom w:val="single" w:color="auto" w:sz="4" w:space="0"/>
              <w:right w:val="single" w:color="auto" w:sz="4" w:space="0"/>
            </w:tcBorders>
            <w:shd w:val="clear" w:color="auto" w:fill="auto"/>
            <w:noWrap/>
          </w:tcPr>
          <w:p>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r>
    </w:tbl>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rPr>
          <w:rFonts w:ascii="黑体" w:hAnsi="宋体" w:eastAsia="黑体"/>
          <w:b/>
          <w:sz w:val="44"/>
          <w:szCs w:val="44"/>
        </w:rPr>
      </w:pPr>
    </w:p>
    <w:p>
      <w:pPr>
        <w:spacing w:line="560" w:lineRule="exact"/>
        <w:jc w:val="center"/>
        <w:rPr>
          <w:rFonts w:ascii="黑体" w:hAnsi="宋体" w:eastAsia="黑体"/>
          <w:b/>
          <w:sz w:val="44"/>
          <w:szCs w:val="44"/>
        </w:rPr>
      </w:pPr>
      <w:r>
        <w:rPr>
          <w:rFonts w:hint="eastAsia" w:ascii="黑体" w:hAnsi="宋体" w:eastAsia="黑体"/>
          <w:b/>
          <w:sz w:val="44"/>
          <w:szCs w:val="44"/>
        </w:rPr>
        <w:t>宁晋县民政局本级2021年部门预算</w:t>
      </w:r>
    </w:p>
    <w:p>
      <w:pPr>
        <w:spacing w:line="560" w:lineRule="exact"/>
        <w:jc w:val="center"/>
        <w:rPr>
          <w:rFonts w:ascii="黑体" w:hAnsi="宋体" w:eastAsia="黑体"/>
          <w:b/>
          <w:sz w:val="44"/>
          <w:szCs w:val="44"/>
        </w:rPr>
      </w:pPr>
      <w:r>
        <w:rPr>
          <w:rFonts w:hint="eastAsia" w:ascii="黑体" w:hAnsi="宋体" w:eastAsia="黑体"/>
          <w:b/>
          <w:sz w:val="44"/>
          <w:szCs w:val="44"/>
        </w:rPr>
        <w:t>信息公开情况说明</w:t>
      </w:r>
    </w:p>
    <w:p>
      <w:pPr>
        <w:spacing w:line="560" w:lineRule="exact"/>
        <w:jc w:val="center"/>
        <w:rPr>
          <w:rFonts w:ascii="黑体" w:hAnsi="宋体" w:eastAsia="黑体"/>
          <w:b/>
          <w:sz w:val="36"/>
          <w:szCs w:val="36"/>
        </w:rPr>
      </w:pPr>
    </w:p>
    <w:p>
      <w:pPr>
        <w:widowControl/>
        <w:spacing w:line="600" w:lineRule="atLeast"/>
        <w:ind w:firstLine="640"/>
        <w:jc w:val="left"/>
        <w:rPr>
          <w:rFonts w:ascii="宋体" w:hAnsi="宋体" w:cs="宋体"/>
          <w:sz w:val="32"/>
          <w:szCs w:val="32"/>
        </w:rPr>
      </w:pPr>
      <w:r>
        <w:rPr>
          <w:rFonts w:hint="eastAsia" w:ascii="宋体" w:hAnsi="宋体" w:cs="宋体"/>
          <w:color w:val="000000"/>
          <w:kern w:val="0"/>
          <w:sz w:val="32"/>
          <w:szCs w:val="32"/>
        </w:rPr>
        <w:t>按照</w:t>
      </w:r>
      <w:r>
        <w:rPr>
          <w:rFonts w:hint="eastAsia" w:ascii="宋体" w:hAnsi="宋体" w:cs="宋体"/>
          <w:color w:val="000000"/>
          <w:kern w:val="0"/>
          <w:sz w:val="32"/>
          <w:szCs w:val="32"/>
          <w:lang w:eastAsia="zh-CN"/>
        </w:rPr>
        <w:t>《中华人民共和国预算法》</w:t>
      </w:r>
      <w:r>
        <w:rPr>
          <w:rFonts w:hint="eastAsia" w:ascii="宋体" w:hAnsi="宋体" w:cs="宋体"/>
          <w:color w:val="000000"/>
          <w:kern w:val="0"/>
          <w:sz w:val="32"/>
          <w:szCs w:val="32"/>
        </w:rPr>
        <w:t>、《地方预决算公开操作规程》和《河北省省级预算公开办法》规定，现将宁晋县民政局2021年部门预算公开如下：</w:t>
      </w:r>
    </w:p>
    <w:p>
      <w:pPr>
        <w:widowControl/>
        <w:ind w:firstLine="640"/>
        <w:jc w:val="left"/>
        <w:rPr>
          <w:rFonts w:ascii="宋体" w:hAnsi="宋体" w:cs="宋体"/>
          <w:b/>
          <w:kern w:val="0"/>
          <w:sz w:val="32"/>
          <w:szCs w:val="32"/>
        </w:rPr>
      </w:pPr>
      <w:r>
        <w:rPr>
          <w:rFonts w:hint="eastAsia" w:ascii="宋体" w:hAnsi="宋体" w:cs="宋体"/>
          <w:b/>
          <w:kern w:val="0"/>
          <w:sz w:val="32"/>
          <w:szCs w:val="32"/>
        </w:rPr>
        <w:t>一、部门职责、机构设置等基本情况</w:t>
      </w:r>
    </w:p>
    <w:p>
      <w:pPr>
        <w:widowControl/>
        <w:ind w:firstLine="640"/>
        <w:jc w:val="left"/>
        <w:rPr>
          <w:rFonts w:asciiTheme="minorEastAsia" w:hAnsiTheme="minorEastAsia"/>
          <w:color w:val="000000"/>
          <w:sz w:val="32"/>
          <w:szCs w:val="32"/>
        </w:rPr>
      </w:pPr>
      <w:r>
        <w:rPr>
          <w:rFonts w:hint="eastAsia" w:asciiTheme="minorEastAsia" w:hAnsiTheme="minorEastAsia"/>
          <w:color w:val="000000"/>
          <w:sz w:val="32"/>
          <w:szCs w:val="32"/>
        </w:rPr>
        <w:t>部门职责</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1．主要职能</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（一）贯彻执行国家、省、市民政及扶贫开发事业发展法律法规、政策、规划,拟订政府规范性文件和政策、规划并组织实施。</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（二）拟订全县社会团体、社会服务机构等社会组织监督管理办法并组织实施,依法对全县社会组织进行监督管理;承担县社会组织党委日常工作。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（三）拟订全县社会救助政策、标准,统筹社会救助体系建设。负责城乡居民最低生活保障、特困人员救助供养、临时救助、生活无着流浪乞讨人员救助工作。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（四）拟订全县基层群众自治和城乡社区治理政策。指导城乡社区治理体系和能力建设,提出加强和改进基层政权建设的建议,推动基层民主政治建设。</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五）拟订全县行政区划、行政区域界线管理和地名管理政策、标准。配合上级部门做好县、乡行政区域及乡镇、街道办事处的设立、命名、变更和政府驻地迁移的调查论证、管理工作，指导村（居）委会的设立、命名和变更工作。负责全县地名管理和县级行政区域界线管理工作。组织、指导乡级行政区域界线的勘定和管理工作。负责地名命名、更名的管理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（六）拟订全县婚姻管理政策并组织实施,推进婚俗改革，指导婚姻服务机构管理工作。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（七）拟订全县殡葬管理政策、服务规范并组织实施,推进殡葬改革,指导殡葬服务机构管理工作。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（八）统筹推进、督促指导、监督管理全县养老服务工作。拟订全县养老服务体系建设规划、政策、标准并组织实施,承担老年人福利和特殊困难老年人救助工作。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（九）拟订全县残疾人权益保护政策并组织实施。统筹推进残疾人福利制度建设和康复辅助器具产业发展。</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（十）拟订全县儿童福利、孤弃儿童保障、儿童收养、儿童救助保护政策、标准。健全农村留守儿童关爱服务体系和困境儿童保障制度。</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（十一）组织拟订促进全县慈善事业发展政策,指导社会捐助工作,负责福利彩票管理工作。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（十二）拟订全县社会工作、志愿服务政策和标准,会同有关部门推进社会工作人才队伍建设和志愿者队伍建设。</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（十三）完成县委、县政府交办的其他任务。</w:t>
      </w:r>
    </w:p>
    <w:p>
      <w:pPr>
        <w:spacing w:line="560" w:lineRule="exact"/>
        <w:ind w:firstLine="640" w:firstLineChars="200"/>
        <w:rPr>
          <w:rFonts w:ascii="宋体" w:hAnsi="宋体" w:cs="宋体"/>
          <w:sz w:val="32"/>
          <w:szCs w:val="32"/>
        </w:rPr>
      </w:pPr>
      <w:r>
        <w:rPr>
          <w:rFonts w:hint="eastAsia" w:ascii="宋体" w:hAnsi="宋体" w:cs="宋体"/>
          <w:sz w:val="32"/>
          <w:szCs w:val="32"/>
        </w:rPr>
        <w:t>单位预算机构设置</w:t>
      </w:r>
    </w:p>
    <w:p>
      <w:pPr>
        <w:spacing w:line="560" w:lineRule="exact"/>
        <w:ind w:firstLine="640" w:firstLineChars="200"/>
        <w:rPr>
          <w:rFonts w:ascii="宋体" w:hAnsi="宋体" w:cs="宋体"/>
          <w:sz w:val="32"/>
          <w:szCs w:val="32"/>
        </w:rPr>
      </w:pPr>
      <w:r>
        <w:rPr>
          <w:rFonts w:hint="eastAsia" w:ascii="宋体" w:hAnsi="宋体" w:cs="宋体"/>
          <w:sz w:val="32"/>
          <w:szCs w:val="32"/>
        </w:rPr>
        <w:t>纳入宁晋县民政局2021年度单位预算编制范围的单位共1个，详细情况见下表：</w:t>
      </w:r>
    </w:p>
    <w:p>
      <w:pPr>
        <w:jc w:val="center"/>
        <w:outlineLvl w:val="0"/>
        <w:rPr>
          <w:rFonts w:ascii="Times New Roman" w:hAnsi="Times New Roman" w:eastAsia="方正小标宋_GBK"/>
          <w:sz w:val="32"/>
        </w:rPr>
      </w:pPr>
    </w:p>
    <w:p>
      <w:pPr>
        <w:jc w:val="center"/>
        <w:outlineLvl w:val="0"/>
        <w:rPr>
          <w:rFonts w:ascii="Times New Roman" w:hAnsi="Times New Roman" w:eastAsia="方正小标宋_GBK"/>
          <w:sz w:val="32"/>
        </w:rPr>
      </w:pPr>
      <w:r>
        <w:rPr>
          <w:rFonts w:hint="eastAsia" w:ascii="Times New Roman" w:hAnsi="Times New Roman" w:eastAsia="方正小标宋_GBK"/>
          <w:sz w:val="32"/>
        </w:rPr>
        <w:t>单位机构设置情况</w:t>
      </w:r>
    </w:p>
    <w:tbl>
      <w:tblPr>
        <w:tblStyle w:val="8"/>
        <w:tblW w:w="90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86"/>
        <w:gridCol w:w="1049"/>
        <w:gridCol w:w="1180"/>
        <w:gridCol w:w="2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086" w:type="dxa"/>
            <w:vMerge w:val="restart"/>
            <w:vAlign w:val="center"/>
          </w:tcPr>
          <w:p>
            <w:pPr>
              <w:spacing w:line="300" w:lineRule="exact"/>
              <w:jc w:val="center"/>
              <w:rPr>
                <w:rFonts w:ascii="Times New Roman" w:hAnsi="Times New Roman" w:eastAsia="方正书宋_GBK"/>
                <w:b/>
              </w:rPr>
            </w:pPr>
            <w:r>
              <w:rPr>
                <w:rFonts w:ascii="Times New Roman" w:hAnsi="Times New Roman" w:eastAsia="方正书宋_GBK"/>
                <w:b/>
              </w:rPr>
              <w:t>单位名称</w:t>
            </w:r>
          </w:p>
        </w:tc>
        <w:tc>
          <w:tcPr>
            <w:tcW w:w="1049" w:type="dxa"/>
            <w:vMerge w:val="restart"/>
            <w:vAlign w:val="center"/>
          </w:tcPr>
          <w:p>
            <w:pPr>
              <w:spacing w:line="300" w:lineRule="exact"/>
              <w:jc w:val="center"/>
              <w:rPr>
                <w:rFonts w:ascii="Times New Roman" w:hAnsi="Times New Roman" w:eastAsia="方正书宋_GBK"/>
                <w:b/>
              </w:rPr>
            </w:pPr>
            <w:r>
              <w:rPr>
                <w:rFonts w:ascii="Times New Roman" w:hAnsi="Times New Roman" w:eastAsia="方正书宋_GBK"/>
                <w:b/>
              </w:rPr>
              <w:t>单位性质</w:t>
            </w:r>
          </w:p>
        </w:tc>
        <w:tc>
          <w:tcPr>
            <w:tcW w:w="1180" w:type="dxa"/>
            <w:vMerge w:val="restart"/>
            <w:vAlign w:val="center"/>
          </w:tcPr>
          <w:p>
            <w:pPr>
              <w:spacing w:line="300" w:lineRule="exact"/>
              <w:jc w:val="center"/>
              <w:rPr>
                <w:rFonts w:ascii="Times New Roman" w:hAnsi="Times New Roman" w:eastAsia="方正书宋_GBK"/>
                <w:b/>
              </w:rPr>
            </w:pPr>
            <w:r>
              <w:rPr>
                <w:rFonts w:ascii="Times New Roman" w:hAnsi="Times New Roman" w:eastAsia="方正书宋_GBK"/>
                <w:b/>
              </w:rPr>
              <w:t>单位规格</w:t>
            </w:r>
          </w:p>
        </w:tc>
        <w:tc>
          <w:tcPr>
            <w:tcW w:w="2685" w:type="dxa"/>
            <w:vMerge w:val="restart"/>
            <w:vAlign w:val="center"/>
          </w:tcPr>
          <w:p>
            <w:pPr>
              <w:spacing w:line="300" w:lineRule="exact"/>
              <w:jc w:val="center"/>
              <w:rPr>
                <w:rFonts w:ascii="Times New Roman" w:hAnsi="Times New Roman" w:eastAsia="方正书宋_GBK"/>
                <w:b/>
              </w:rPr>
            </w:pPr>
            <w:r>
              <w:rPr>
                <w:rFonts w:ascii="Times New Roman" w:hAnsi="Times New Roman"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086" w:type="dxa"/>
            <w:vMerge w:val="continue"/>
            <w:vAlign w:val="center"/>
          </w:tcPr>
          <w:p>
            <w:pPr>
              <w:spacing w:line="300" w:lineRule="exact"/>
              <w:jc w:val="left"/>
              <w:outlineLvl w:val="0"/>
              <w:rPr>
                <w:rFonts w:ascii="Times New Roman" w:hAnsi="Times New Roman"/>
              </w:rPr>
            </w:pPr>
          </w:p>
        </w:tc>
        <w:tc>
          <w:tcPr>
            <w:tcW w:w="1049" w:type="dxa"/>
            <w:vMerge w:val="continue"/>
            <w:vAlign w:val="center"/>
          </w:tcPr>
          <w:p>
            <w:pPr>
              <w:spacing w:line="300" w:lineRule="exact"/>
              <w:jc w:val="left"/>
              <w:outlineLvl w:val="0"/>
              <w:rPr>
                <w:rFonts w:ascii="Times New Roman" w:hAnsi="Times New Roman"/>
              </w:rPr>
            </w:pPr>
          </w:p>
        </w:tc>
        <w:tc>
          <w:tcPr>
            <w:tcW w:w="1180" w:type="dxa"/>
            <w:vMerge w:val="continue"/>
            <w:vAlign w:val="center"/>
          </w:tcPr>
          <w:p>
            <w:pPr>
              <w:spacing w:line="300" w:lineRule="exact"/>
              <w:jc w:val="left"/>
              <w:outlineLvl w:val="0"/>
              <w:rPr>
                <w:rFonts w:ascii="Times New Roman" w:hAnsi="Times New Roman"/>
              </w:rPr>
            </w:pPr>
          </w:p>
        </w:tc>
        <w:tc>
          <w:tcPr>
            <w:tcW w:w="2685" w:type="dxa"/>
            <w:vMerge w:val="continue"/>
            <w:vAlign w:val="center"/>
          </w:tcPr>
          <w:p>
            <w:pPr>
              <w:spacing w:line="300" w:lineRule="exact"/>
              <w:jc w:val="left"/>
              <w:outlineLvl w:val="0"/>
              <w:rPr>
                <w:rFonts w:ascii="Times New Roman" w:hAnsi="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6" w:type="dxa"/>
            <w:vAlign w:val="center"/>
          </w:tcPr>
          <w:p>
            <w:pPr>
              <w:spacing w:line="300" w:lineRule="exact"/>
              <w:jc w:val="left"/>
              <w:rPr>
                <w:rFonts w:ascii="Times New Roman" w:hAnsi="Times New Roman" w:eastAsia="方正书宋_GBK"/>
              </w:rPr>
            </w:pPr>
            <w:r>
              <w:rPr>
                <w:rFonts w:hint="eastAsia" w:ascii="Times New Roman" w:hAnsi="Times New Roman" w:eastAsia="方正书宋_GBK"/>
              </w:rPr>
              <w:t>宁晋县民政局</w:t>
            </w:r>
          </w:p>
        </w:tc>
        <w:tc>
          <w:tcPr>
            <w:tcW w:w="1049" w:type="dxa"/>
            <w:vAlign w:val="center"/>
          </w:tcPr>
          <w:p>
            <w:pPr>
              <w:spacing w:line="300" w:lineRule="exact"/>
              <w:jc w:val="center"/>
              <w:rPr>
                <w:rFonts w:ascii="Times New Roman" w:hAnsi="Times New Roman" w:eastAsia="方正书宋_GBK"/>
              </w:rPr>
            </w:pPr>
            <w:r>
              <w:rPr>
                <w:rFonts w:hint="eastAsia" w:ascii="方正书宋_GBK" w:eastAsia="方正书宋_GBK"/>
              </w:rPr>
              <w:t>行政</w:t>
            </w:r>
          </w:p>
        </w:tc>
        <w:tc>
          <w:tcPr>
            <w:tcW w:w="1180" w:type="dxa"/>
            <w:vAlign w:val="center"/>
          </w:tcPr>
          <w:p>
            <w:pPr>
              <w:spacing w:line="300" w:lineRule="exact"/>
              <w:jc w:val="center"/>
              <w:rPr>
                <w:rFonts w:ascii="Times New Roman" w:hAnsi="Times New Roman" w:eastAsia="方正书宋_GBK"/>
              </w:rPr>
            </w:pPr>
            <w:r>
              <w:rPr>
                <w:rFonts w:hint="eastAsia" w:ascii="方正书宋_GBK" w:eastAsia="方正书宋_GBK"/>
              </w:rPr>
              <w:t>正科级</w:t>
            </w:r>
          </w:p>
        </w:tc>
        <w:tc>
          <w:tcPr>
            <w:tcW w:w="2685" w:type="dxa"/>
            <w:vAlign w:val="center"/>
          </w:tcPr>
          <w:p>
            <w:pPr>
              <w:spacing w:line="300" w:lineRule="exact"/>
              <w:jc w:val="center"/>
              <w:rPr>
                <w:rFonts w:ascii="Times New Roman" w:hAnsi="Times New Roman" w:eastAsia="方正书宋_GBK"/>
              </w:rPr>
            </w:pPr>
            <w:r>
              <w:rPr>
                <w:rFonts w:hint="eastAsia" w:ascii="方正书宋_GBK" w:eastAsia="方正书宋_GBK"/>
              </w:rPr>
              <w:t>财政拨款</w:t>
            </w:r>
          </w:p>
        </w:tc>
      </w:tr>
    </w:tbl>
    <w:p>
      <w:pPr>
        <w:widowControl/>
        <w:jc w:val="left"/>
        <w:rPr>
          <w:rFonts w:asciiTheme="minorEastAsia" w:hAnsiTheme="minorEastAsia"/>
          <w:b/>
          <w:sz w:val="32"/>
          <w:szCs w:val="32"/>
        </w:rPr>
      </w:pPr>
    </w:p>
    <w:p>
      <w:pPr>
        <w:widowControl/>
        <w:ind w:firstLine="643"/>
        <w:jc w:val="left"/>
        <w:rPr>
          <w:rFonts w:asciiTheme="minorEastAsia" w:hAnsiTheme="minorEastAsia"/>
        </w:rPr>
      </w:pPr>
      <w:r>
        <w:rPr>
          <w:rFonts w:hint="eastAsia" w:asciiTheme="minorEastAsia" w:hAnsiTheme="minorEastAsia"/>
          <w:b/>
          <w:sz w:val="32"/>
          <w:szCs w:val="32"/>
        </w:rPr>
        <w:t>二、</w:t>
      </w:r>
      <w:r>
        <w:rPr>
          <w:rFonts w:hint="eastAsia" w:cs="宋体" w:asciiTheme="minorEastAsia" w:hAnsiTheme="minorEastAsia"/>
          <w:b/>
          <w:kern w:val="0"/>
          <w:sz w:val="32"/>
          <w:szCs w:val="32"/>
        </w:rPr>
        <w:t>单位</w:t>
      </w:r>
      <w:r>
        <w:rPr>
          <w:rFonts w:cs="宋体" w:asciiTheme="minorEastAsia" w:hAnsiTheme="minorEastAsia"/>
          <w:b/>
          <w:kern w:val="0"/>
          <w:sz w:val="32"/>
          <w:szCs w:val="32"/>
        </w:rPr>
        <w:t>预算安排总体情况</w:t>
      </w:r>
    </w:p>
    <w:p>
      <w:pPr>
        <w:widowControl/>
        <w:spacing w:line="580" w:lineRule="atLeast"/>
        <w:ind w:firstLine="627"/>
        <w:jc w:val="left"/>
        <w:rPr>
          <w:rFonts w:ascii="宋体" w:hAnsi="宋体" w:cs="宋体"/>
          <w:kern w:val="0"/>
          <w:sz w:val="32"/>
          <w:szCs w:val="32"/>
        </w:rPr>
      </w:pPr>
      <w:r>
        <w:rPr>
          <w:rFonts w:hint="eastAsia" w:ascii="宋体" w:hAnsi="宋体" w:cs="宋体"/>
          <w:kern w:val="0"/>
          <w:sz w:val="32"/>
          <w:szCs w:val="32"/>
        </w:rPr>
        <w:t>1.收入说明</w:t>
      </w:r>
    </w:p>
    <w:p>
      <w:pPr>
        <w:widowControl/>
        <w:spacing w:line="580" w:lineRule="atLeast"/>
        <w:ind w:firstLine="627"/>
        <w:jc w:val="left"/>
        <w:rPr>
          <w:rFonts w:ascii="宋体" w:hAnsi="宋体" w:cs="宋体"/>
          <w:color w:val="000000"/>
          <w:kern w:val="0"/>
          <w:sz w:val="32"/>
          <w:szCs w:val="32"/>
        </w:rPr>
      </w:pPr>
      <w:r>
        <w:rPr>
          <w:rFonts w:hint="eastAsia" w:ascii="宋体" w:hAnsi="宋体" w:cs="宋体"/>
          <w:kern w:val="0"/>
          <w:sz w:val="32"/>
          <w:szCs w:val="32"/>
        </w:rPr>
        <w:t>根据宁晋县财政局《关于2021年县级部门预算的批复》（宁财字〔2021〕19号），</w:t>
      </w:r>
      <w:r>
        <w:rPr>
          <w:rFonts w:hint="eastAsia" w:ascii="宋体" w:hAnsi="宋体" w:cs="宋体"/>
          <w:color w:val="000000"/>
          <w:kern w:val="0"/>
          <w:sz w:val="32"/>
          <w:szCs w:val="32"/>
        </w:rPr>
        <w:t>我单位2021年预算总收入</w:t>
      </w:r>
      <w:r>
        <w:rPr>
          <w:rFonts w:hint="eastAsia" w:cs="FZFSK--GBK1-0" w:asciiTheme="minorEastAsia" w:hAnsiTheme="minorEastAsia"/>
          <w:kern w:val="0"/>
          <w:sz w:val="32"/>
          <w:szCs w:val="32"/>
        </w:rPr>
        <w:t>11492.81</w:t>
      </w:r>
      <w:r>
        <w:rPr>
          <w:rFonts w:hint="eastAsia" w:ascii="宋体" w:hAnsi="宋体" w:cs="宋体"/>
          <w:color w:val="000000"/>
          <w:kern w:val="0"/>
          <w:sz w:val="32"/>
          <w:szCs w:val="32"/>
        </w:rPr>
        <w:t>万元（包括一般预算10639.81万元，基金预算拨款853万元）。</w:t>
      </w:r>
    </w:p>
    <w:p>
      <w:pPr>
        <w:widowControl/>
        <w:spacing w:line="580" w:lineRule="atLeast"/>
        <w:ind w:firstLine="627"/>
        <w:jc w:val="left"/>
        <w:rPr>
          <w:rFonts w:ascii="宋体" w:hAnsi="宋体" w:cs="宋体"/>
          <w:kern w:val="0"/>
          <w:sz w:val="32"/>
          <w:szCs w:val="32"/>
        </w:rPr>
      </w:pPr>
      <w:r>
        <w:rPr>
          <w:rFonts w:hint="eastAsia" w:ascii="宋体" w:hAnsi="宋体" w:cs="宋体"/>
          <w:kern w:val="0"/>
          <w:sz w:val="32"/>
          <w:szCs w:val="32"/>
        </w:rPr>
        <w:t>2.支出说明</w:t>
      </w:r>
    </w:p>
    <w:p>
      <w:pPr>
        <w:widowControl/>
        <w:spacing w:line="580" w:lineRule="atLeast"/>
        <w:ind w:firstLine="627"/>
        <w:jc w:val="left"/>
        <w:rPr>
          <w:rFonts w:ascii="宋体" w:hAnsi="宋体" w:cs="宋体"/>
          <w:kern w:val="0"/>
          <w:sz w:val="32"/>
          <w:szCs w:val="32"/>
        </w:rPr>
      </w:pPr>
      <w:r>
        <w:rPr>
          <w:rFonts w:hint="eastAsia" w:ascii="宋体" w:hAnsi="宋体" w:cs="宋体"/>
          <w:kern w:val="0"/>
          <w:sz w:val="32"/>
          <w:szCs w:val="32"/>
        </w:rPr>
        <w:t>收支预算总表支出栏、基本支出表、项目支出表按经济分类和支出功能分类科目编制，反映宁晋县民政局年度部门预算中支出预算的总体情况。2021年支出预算11492.81万元，其中基本支出245.8万元，包括人员经费219.76万元和日常公用经费26.04万元；项目支出11247.01万元，主要为城乡低保金、城乡特困供养金、孤儿生活补助金、残疾人两项生活补贴、高龄补贴、养老服务体系建设资金，农村公墓建设资金、康乐老年公寓工程款、社会服务兜底工程（殡管所搬迁）工程款等。</w:t>
      </w:r>
    </w:p>
    <w:p>
      <w:pPr>
        <w:widowControl/>
        <w:spacing w:line="580" w:lineRule="atLeast"/>
        <w:ind w:firstLine="627"/>
        <w:jc w:val="left"/>
        <w:rPr>
          <w:rFonts w:ascii="宋体" w:hAnsi="宋体" w:cs="宋体"/>
          <w:kern w:val="0"/>
          <w:sz w:val="32"/>
          <w:szCs w:val="32"/>
        </w:rPr>
      </w:pPr>
      <w:r>
        <w:rPr>
          <w:rFonts w:hint="eastAsia" w:ascii="宋体" w:hAnsi="宋体" w:cs="宋体"/>
          <w:kern w:val="0"/>
          <w:sz w:val="32"/>
          <w:szCs w:val="32"/>
        </w:rPr>
        <w:t>3.比上年增减情况</w:t>
      </w:r>
    </w:p>
    <w:p>
      <w:pPr>
        <w:widowControl/>
        <w:spacing w:line="580" w:lineRule="atLeast"/>
        <w:ind w:firstLine="627"/>
        <w:jc w:val="left"/>
        <w:rPr>
          <w:rFonts w:ascii="宋体" w:hAnsi="宋体" w:cs="宋体"/>
          <w:kern w:val="0"/>
          <w:sz w:val="32"/>
          <w:szCs w:val="32"/>
        </w:rPr>
      </w:pPr>
      <w:r>
        <w:rPr>
          <w:rFonts w:hint="eastAsia" w:ascii="宋体" w:hAnsi="宋体" w:cs="宋体"/>
          <w:color w:val="000000"/>
          <w:kern w:val="0"/>
          <w:sz w:val="32"/>
          <w:szCs w:val="32"/>
        </w:rPr>
        <w:t>2021年预算总收入11492.81万元</w:t>
      </w:r>
      <w:r>
        <w:rPr>
          <w:rFonts w:hint="eastAsia" w:ascii="宋体" w:hAnsi="宋体" w:cs="宋体"/>
          <w:kern w:val="0"/>
          <w:sz w:val="32"/>
          <w:szCs w:val="32"/>
        </w:rPr>
        <w:t>较2020年预算总收入（14292.2万元）减少2799.39万元，减少19.59%，主要为上级专款和康乐老年公寓建设资金减少。</w:t>
      </w:r>
    </w:p>
    <w:p>
      <w:pPr>
        <w:widowControl/>
        <w:ind w:firstLine="640"/>
        <w:jc w:val="left"/>
        <w:rPr>
          <w:rFonts w:asciiTheme="minorEastAsia" w:hAnsiTheme="minorEastAsia"/>
          <w:b/>
        </w:rPr>
      </w:pPr>
      <w:r>
        <w:rPr>
          <w:rFonts w:cs="宋体" w:asciiTheme="minorEastAsia" w:hAnsiTheme="minorEastAsia"/>
          <w:b/>
          <w:kern w:val="0"/>
          <w:sz w:val="32"/>
          <w:szCs w:val="32"/>
        </w:rPr>
        <w:t>三、机关运行经费预算安排情况</w:t>
      </w:r>
    </w:p>
    <w:p>
      <w:pPr>
        <w:widowControl/>
        <w:spacing w:line="580" w:lineRule="atLeast"/>
        <w:ind w:firstLine="640" w:firstLineChars="200"/>
        <w:jc w:val="left"/>
        <w:rPr>
          <w:rFonts w:ascii="宋体" w:hAnsi="宋体" w:cs="宋体"/>
          <w:color w:val="000000"/>
          <w:sz w:val="32"/>
          <w:szCs w:val="32"/>
        </w:rPr>
      </w:pPr>
      <w:r>
        <w:rPr>
          <w:rFonts w:hint="eastAsia" w:cs="FZFSK--GBK1-0" w:asciiTheme="minorEastAsia" w:hAnsiTheme="minorEastAsia"/>
          <w:kern w:val="0"/>
          <w:sz w:val="32"/>
          <w:szCs w:val="32"/>
        </w:rPr>
        <w:t>2021年局本级单位机关运行费26.04万元，主要用于日常维修、办公用房水电费、办公用房取暖费、办公费、差旅费、邮电费、交通费等日常运行支出。</w:t>
      </w:r>
    </w:p>
    <w:p>
      <w:pPr>
        <w:widowControl/>
        <w:ind w:firstLine="640"/>
        <w:jc w:val="left"/>
        <w:rPr>
          <w:rFonts w:asciiTheme="minorEastAsia" w:hAnsiTheme="minorEastAsia"/>
          <w:b/>
        </w:rPr>
      </w:pPr>
      <w:r>
        <w:rPr>
          <w:rFonts w:cs="宋体" w:asciiTheme="minorEastAsia" w:hAnsiTheme="minorEastAsia"/>
          <w:b/>
          <w:kern w:val="0"/>
          <w:sz w:val="32"/>
          <w:szCs w:val="32"/>
        </w:rPr>
        <w:t>四、财政拨款“三公”经费预算安排情况</w:t>
      </w:r>
    </w:p>
    <w:p>
      <w:pPr>
        <w:spacing w:line="560" w:lineRule="exact"/>
        <w:ind w:firstLine="645"/>
        <w:rPr>
          <w:rFonts w:cs="FZFSK--GBK1-0" w:asciiTheme="minorEastAsia" w:hAnsiTheme="minorEastAsia"/>
          <w:kern w:val="0"/>
          <w:sz w:val="32"/>
          <w:szCs w:val="32"/>
        </w:rPr>
      </w:pPr>
      <w:r>
        <w:rPr>
          <w:rFonts w:hint="eastAsia" w:cs="FZFSK--GBK1-0" w:asciiTheme="minorEastAsia" w:hAnsiTheme="minorEastAsia"/>
          <w:kern w:val="0"/>
          <w:sz w:val="32"/>
          <w:szCs w:val="32"/>
        </w:rPr>
        <w:t>2021年局本级“三公”经费2.2万元，其中公车运行维护费2万元，公务接待费0.2万元，跟2020年预算持平。无增减变化。</w:t>
      </w:r>
    </w:p>
    <w:p>
      <w:pPr>
        <w:pStyle w:val="15"/>
        <w:ind w:left="720" w:firstLine="0" w:firstLineChars="0"/>
        <w:rPr>
          <w:rFonts w:cs="FZFSK--GBK1-0" w:asciiTheme="minorEastAsia" w:hAnsiTheme="minorEastAsia" w:eastAsiaTheme="minorEastAsia"/>
          <w:b/>
          <w:kern w:val="0"/>
          <w:sz w:val="32"/>
          <w:szCs w:val="32"/>
        </w:rPr>
      </w:pPr>
      <w:r>
        <w:rPr>
          <w:rFonts w:hint="eastAsia" w:cs="FZFSK--GBK1-0" w:asciiTheme="minorEastAsia" w:hAnsiTheme="minorEastAsia" w:eastAsiaTheme="minorEastAsia"/>
          <w:b/>
          <w:kern w:val="0"/>
          <w:sz w:val="32"/>
          <w:szCs w:val="32"/>
        </w:rPr>
        <w:t>五、绩效预算信息情况</w:t>
      </w:r>
    </w:p>
    <w:p>
      <w:pPr>
        <w:pStyle w:val="15"/>
        <w:ind w:left="720" w:firstLine="0" w:firstLineChars="0"/>
        <w:rPr>
          <w:rFonts w:asciiTheme="minorEastAsia" w:hAnsiTheme="minorEastAsia" w:eastAsiaTheme="minorEastAsia"/>
          <w:b/>
          <w:sz w:val="32"/>
          <w:szCs w:val="32"/>
        </w:rPr>
      </w:pPr>
      <w:r>
        <w:rPr>
          <w:rFonts w:hint="eastAsia" w:asciiTheme="minorEastAsia" w:hAnsiTheme="minorEastAsia" w:eastAsiaTheme="minorEastAsia"/>
          <w:b/>
          <w:sz w:val="32"/>
          <w:szCs w:val="32"/>
        </w:rPr>
        <w:t>第一部分单位整体绩效目标</w:t>
      </w:r>
    </w:p>
    <w:p>
      <w:pPr>
        <w:spacing w:line="560" w:lineRule="exact"/>
        <w:ind w:firstLine="643" w:firstLineChars="200"/>
        <w:rPr>
          <w:rFonts w:cs="Times New Roman" w:asciiTheme="minorEastAsia" w:hAnsiTheme="minorEastAsia"/>
          <w:b/>
          <w:sz w:val="32"/>
          <w:szCs w:val="32"/>
        </w:rPr>
      </w:pPr>
      <w:r>
        <w:rPr>
          <w:rFonts w:hint="eastAsia" w:cs="Times New Roman" w:asciiTheme="minorEastAsia" w:hAnsiTheme="minorEastAsia"/>
          <w:b/>
          <w:sz w:val="32"/>
          <w:szCs w:val="32"/>
        </w:rPr>
        <w:t>一、总体绩效目标</w:t>
      </w:r>
    </w:p>
    <w:p>
      <w:pPr>
        <w:spacing w:line="560" w:lineRule="exact"/>
        <w:ind w:firstLine="640" w:firstLineChars="200"/>
        <w:rPr>
          <w:rFonts w:cs="Times New Roman" w:asciiTheme="minorEastAsia" w:hAnsiTheme="minorEastAsia"/>
          <w:b/>
          <w:sz w:val="32"/>
          <w:szCs w:val="32"/>
        </w:rPr>
      </w:pPr>
      <w:r>
        <w:rPr>
          <w:rFonts w:hint="eastAsia" w:cs="FZFSK--GBK1-0" w:asciiTheme="minorEastAsia" w:hAnsiTheme="minorEastAsia"/>
          <w:kern w:val="0"/>
          <w:sz w:val="32"/>
          <w:szCs w:val="32"/>
        </w:rPr>
        <w:t xml:space="preserve">严格落实救助保障政策，巩固深化脱贫兜底保障成果。改革完善社会救助制度，构建综合救助格局，提升基层社会救助经办服务能力。充分发挥社会救助基金作用，补齐现行保障政策短板。提升流浪乞讨人员救助服务能力和水平。加强留守儿童、困境儿童、孤儿等不同类型儿童的关爱保护，兜牢生活底线和监护底线。保障残疾人福利，落实两项补贴政策.积极推进养老服务体系建设。深化殡葬改革，合理调整火葬区和土葬改革区。推进婚俗改革，推进婚姻信息共享。推进物业管理与城乡社区治理融合发展，健全“六位一体”机制。夯实社会组织党建，巩固脱钩改革成果。        </w:t>
      </w:r>
    </w:p>
    <w:p>
      <w:pPr>
        <w:spacing w:line="560" w:lineRule="exact"/>
        <w:ind w:firstLine="643" w:firstLineChars="200"/>
        <w:rPr>
          <w:rFonts w:cs="Times New Roman" w:asciiTheme="minorEastAsia" w:hAnsiTheme="minorEastAsia"/>
          <w:b/>
          <w:sz w:val="32"/>
          <w:szCs w:val="32"/>
        </w:rPr>
      </w:pPr>
      <w:r>
        <w:rPr>
          <w:rFonts w:hint="eastAsia" w:cs="Times New Roman" w:asciiTheme="minorEastAsia" w:hAnsiTheme="minorEastAsia"/>
          <w:b/>
          <w:sz w:val="32"/>
          <w:szCs w:val="32"/>
        </w:rPr>
        <w:t>二、分项绩效目标</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1.聚焦困难群众，托住基本民生兜底保障线</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绩效目标：稳步推进城乡低保提标，精准落实农村困难群体特惠政策。落实特困人员供养制度，按标准发放基本生活费和护理费。</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 xml:space="preserve">  2.聚焦特殊群体，筑牢生活救助管理安全线</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绩效目标：加强孤儿和事实无人抚养儿童基本生活保障，按照标准做好保障对象基本生活补贴发放。强化对生活无着流浪乞讨人员的救助服务，维护受助人员合法权益。落实困难残疾人生活补贴和重度残疾人护理补贴制度，持续解决残疾人特殊生活困难和长期照护困难。</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 xml:space="preserve"> 3.聚焦群众关切，提高基本社会服务幸福线</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绩效目标：实施社区和居家养老工程，提高养老服务质量，加快推进居家社区机构相协调、医养相结合的养老服务体系建设。加强和改进殡葬管理工作，加快殡葬服务设施和农村公益性公墓建设。</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 xml:space="preserve"> 4.着眼强基固本，构建基层社会治理和谐线</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绩效目标：加强城乡社区建设，积极开展农村社区建设实验工作。促进全县社会组织高质量发展，加强社区社会工作专业人才队伍建设，积极推动政府购买社会组织服务和社会工作岗位。</w:t>
      </w:r>
    </w:p>
    <w:p>
      <w:pPr>
        <w:spacing w:line="560" w:lineRule="exact"/>
        <w:ind w:firstLine="643" w:firstLineChars="200"/>
        <w:rPr>
          <w:rFonts w:cs="Times New Roman" w:asciiTheme="minorEastAsia" w:hAnsiTheme="minorEastAsia"/>
          <w:b/>
          <w:sz w:val="32"/>
          <w:szCs w:val="32"/>
        </w:rPr>
      </w:pPr>
      <w:r>
        <w:rPr>
          <w:rFonts w:hint="eastAsia" w:cs="Times New Roman" w:asciiTheme="minorEastAsia" w:hAnsiTheme="minorEastAsia"/>
          <w:b/>
          <w:sz w:val="32"/>
          <w:szCs w:val="32"/>
        </w:rPr>
        <w:t>三、工作保障措施</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1.完善制度，建立高效工作机制。通过完善困难群众基本保障协调机制、精准认定精准核查机制、保障标准自然增长机制、养老服务机构星级评定机制、基层社会治理创新机制等，逐渐建立起适应我县经济与社会发展，适应人民群众生活需求的比较完善的城乡社会保障、社会服务和社会治理体系，促进全县经济与社会又好又快发展。</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2.注重实效，加强预算绩效管理。落实全面预算绩效管理要求，将事前绩效评估、绩效目标设定、绩效跟踪、绩效评价及结果运用纳入预算编制、执行、监督全过程。围绕部门职责和事业发展规划设定绩效目标，准确衡量部门整体及核心业务实施效果，按要求开展部门预算绩效实时监控、绩效自评和重点评价工作，对评价中发现的问题及时整改，推动提高部门整体绩效管理水平。</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3.精编预算，做好专项资金保障。预算安排首先要落实党和国家的各项民生政策，突出重点、注重绩效，合理安排一般公共预算、政府性基金和部门其他收入。对涉及个人和家庭补贴等方面有明确政策规定和标准调整的支出据实编制，确保城乡困难群众基本生活。对落实政策的奖补类项目、保障部门履行职责所需经费、政府购买社会服务项目和一些绩效评估结果较好的专项项目，区分轻重缓急，统筹安排。下属单位承担着部分民生保障任务和管理职能，其履行职责所需专项资金给予基本保障，建设所需经费给予必要的资金支持。通过编细编实预算，优化支出结构，加快履行政府采购手续，按规定及时下达资金等多种措施，确保支出进度达标，及时发挥财政资金效益。</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4.补齐短板，加强基础设施建设。认真贯彻落实国务院关于保持基础设施领域补短板力度的指导意见，按照“科学规划、合理布局，统筹资金、突出重点，量力而行、适度发展”的原则，充分发挥中央预算内投资政策，统筹中央和省级福彩公益金，加强政策引导和组织实施，稳步推进民政公共服务设施建设，改善基础条件，提升防风险能力，提高服务质量。</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 xml:space="preserve">5.加强培训，提高基层服务能力。随着党和政府对民生工作的重视程度不断加强，人民群众期的盼也越来越高，民政干部在履职尽责过程中不同程度地存在“能力不足”、“本领恐慌”问题。因此，通过对基层民政工作人员，如低保核查管理员、养老院工作人员、婚姻收养登记员、救助管理机构工作人员、未成年人救助保护机构工作人员、儿童福利院工作人员，殡仪馆工作人员等开展业务技能专项培训，不断提高基层民政队伍素质和服务能力。 </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6.丰富手段，提高信息化水平。通过社会救助信息管理平台建设，集成养老信息管理系统、基层政权和社区建设系统、互联网+民政服务平台、民政数据共享服务一体化信息管理平台，加强新媒体宣传及公众号发布等现代化信息手段，推动民政管理创新和公共服务方式转变，完满完成各项任务目标。</w:t>
      </w:r>
    </w:p>
    <w:p>
      <w:pPr>
        <w:spacing w:line="560" w:lineRule="exact"/>
        <w:ind w:firstLine="640" w:firstLineChars="200"/>
        <w:rPr>
          <w:rFonts w:cs="FZFSK--GBK1-0" w:asciiTheme="minorEastAsia" w:hAnsiTheme="minorEastAsia"/>
          <w:kern w:val="0"/>
          <w:sz w:val="32"/>
          <w:szCs w:val="32"/>
        </w:rPr>
      </w:pPr>
      <w:r>
        <w:rPr>
          <w:rFonts w:hint="eastAsia" w:cs="FZFSK--GBK1-0" w:asciiTheme="minorEastAsia" w:hAnsiTheme="minorEastAsia"/>
          <w:kern w:val="0"/>
          <w:sz w:val="32"/>
          <w:szCs w:val="32"/>
        </w:rPr>
        <w:t>7.加强内控，规范财务资产管理。加强内部监督制度建设，设立内审机构，对绩效运行情况、重大支出决策、资产处置及其他重要经济业务事项的决策和执行进行监督，对会计资料进行内部审计，并配合做好审计、财政监督等外部监督工作，确保财政资金安全有效。完善财务管理制度，严格审批程序，加强固定资产登记、使用和报废处置管理，做到支出合理，物尽其用。</w:t>
      </w:r>
    </w:p>
    <w:p>
      <w:pPr>
        <w:spacing w:line="560" w:lineRule="exact"/>
        <w:ind w:firstLine="643" w:firstLineChars="200"/>
        <w:rPr>
          <w:rFonts w:cs="FZFSK--GBK1-0" w:asciiTheme="minorEastAsia" w:hAnsiTheme="minorEastAsia"/>
          <w:kern w:val="0"/>
          <w:sz w:val="32"/>
          <w:szCs w:val="32"/>
        </w:rPr>
      </w:pPr>
      <w:r>
        <w:rPr>
          <w:rFonts w:hint="eastAsia" w:cs="宋体" w:asciiTheme="minorEastAsia" w:hAnsiTheme="minorEastAsia"/>
          <w:b/>
          <w:kern w:val="0"/>
          <w:sz w:val="32"/>
          <w:szCs w:val="32"/>
        </w:rPr>
        <w:t>第二部分 预算项目绩效目标</w:t>
      </w:r>
    </w:p>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ind w:firstLine="562" w:firstLineChars="200"/>
        <w:jc w:val="left"/>
        <w:outlineLvl w:val="3"/>
        <w:rPr>
          <w:rFonts w:ascii="方正仿宋_GBK" w:eastAsia="方正仿宋_GBK"/>
          <w:b/>
          <w:sz w:val="28"/>
        </w:rPr>
      </w:pPr>
      <w:bookmarkStart w:id="8" w:name="_Toc70667878"/>
    </w:p>
    <w:p>
      <w:pPr>
        <w:ind w:firstLine="562" w:firstLineChars="200"/>
        <w:jc w:val="left"/>
        <w:outlineLvl w:val="3"/>
        <w:rPr>
          <w:rFonts w:ascii="方正仿宋_GBK" w:eastAsia="方正仿宋_GBK"/>
          <w:b/>
          <w:sz w:val="28"/>
        </w:rPr>
      </w:pPr>
    </w:p>
    <w:p>
      <w:pPr>
        <w:ind w:firstLine="562" w:firstLineChars="200"/>
        <w:jc w:val="left"/>
        <w:outlineLvl w:val="3"/>
        <w:rPr>
          <w:rFonts w:hAnsi="宋体"/>
          <w:b/>
          <w:sz w:val="28"/>
        </w:rPr>
      </w:pPr>
      <w:r>
        <w:rPr>
          <w:rFonts w:hint="eastAsia" w:ascii="方正仿宋_GBK" w:eastAsia="方正仿宋_GBK"/>
          <w:b/>
          <w:sz w:val="28"/>
        </w:rPr>
        <w:t>1.2020年度目标绩效奖绩效目标表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1、2020年度目标绩效奖绩效目标表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130528210ATMPHE576I18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年度目标绩效奖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10.48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10.48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用于发放职工</w:t>
            </w:r>
            <w:r>
              <w:rPr>
                <w:rFonts w:ascii="方正书宋_GBK" w:eastAsia="方正书宋_GBK"/>
              </w:rPr>
              <w:t>2020</w:t>
            </w:r>
            <w:r>
              <w:rPr>
                <w:rFonts w:hint="eastAsia" w:ascii="方正书宋_GBK" w:eastAsia="方正书宋_GBK"/>
              </w:rPr>
              <w:t>年度目标绩效奖。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落实人员待遇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保障职工权益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在职人员数量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在职人员数量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资金保障率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在职</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人，退休</w:t>
            </w:r>
            <w:r>
              <w:rPr>
                <w:rFonts w:ascii="方正书宋_GBK" w:eastAsia="方正书宋_GBK"/>
              </w:rPr>
              <w:t>1800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提高职工生活水平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提高职工生活水平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保障职工权益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保障职工权益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改善职工生活质量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改善职工生活质量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提高人员工作积极性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提高人员工作积极性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待遇落实文件</w:t>
            </w:r>
          </w:p>
        </w:tc>
      </w:tr>
    </w:tbl>
    <w:p>
      <w:pPr>
        <w:spacing w:line="300" w:lineRule="exact"/>
        <w:jc w:val="left"/>
        <w:sectPr>
          <w:footerReference r:id="rId3" w:type="default"/>
          <w:pgSz w:w="16839" w:h="11907" w:orient="landscape"/>
          <w:pgMar w:top="1304" w:right="1134" w:bottom="1304" w:left="1984" w:header="851" w:footer="992" w:gutter="0"/>
          <w:pgNumType w:fmt="numberInDash" w:start="1"/>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9" w:name="_Toc70667879"/>
      <w:r>
        <w:rPr>
          <w:rFonts w:hint="eastAsia" w:ascii="方正仿宋_GBK" w:eastAsia="方正仿宋_GBK"/>
          <w:b/>
          <w:sz w:val="28"/>
        </w:rPr>
        <w:t>2.特困供养金绩效目标表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2、特困供养金绩效目标表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130528212Z61DP10GPDXQ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用于发放特困供养人员特困供养金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落实特困供养人员政策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保障特困供养人员基本生活</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特困供养保障率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特困供养金发放时效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特困供养金发放时效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特困供养发放标准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有效提高特困供养户生活水平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有效提高特困供养户生活水平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有效保障特困供养人员基本生活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有效保障特困供养人员基本生活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有效落实特困供养人员政策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有效落实特困供养人员政策</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0" w:name="_Toc70667880"/>
      <w:r>
        <w:rPr>
          <w:rFonts w:hint="eastAsia" w:ascii="方正仿宋_GBK" w:eastAsia="方正仿宋_GBK"/>
          <w:b/>
          <w:sz w:val="28"/>
        </w:rPr>
        <w:t>3.代管退休人员退休费、遗属补助绩效目标表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3、代管退休人员退休费、遗属补助绩效目标表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1305282130KU2IO0L867Z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代管退休人员退休费、遗属补助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18.43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18.43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用于发放代管退休人员退休金、遗属补助。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落实退休人员、遗属人员待遇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保障退休、遗属人员基本权益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享受遗属补助人员数量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享受遗属补助人员数量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w:t>
            </w:r>
            <w:r>
              <w:rPr>
                <w:rFonts w:ascii="方正书宋_GBK" w:eastAsia="方正书宋_GBK"/>
              </w:rPr>
              <w:t>700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提高遗属人员生活水平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提高遗属人员生活水平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有效保障人员基本生活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有效保障人员基本生活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改善退休人员的生活水平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改善退休人员的生活水平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1" w:name="_Toc70667881"/>
      <w:r>
        <w:rPr>
          <w:rFonts w:hint="eastAsia" w:ascii="方正仿宋_GBK" w:eastAsia="方正仿宋_GBK"/>
          <w:b/>
          <w:sz w:val="28"/>
        </w:rPr>
        <w:t>4.2021年省级养老服务体系建设经费（冀财社[2020]215号）绩效目标表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4、2021年省级养老服务体系建设经费（冀财社[2020]215号）绩效目标表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13052821337GL938VM4XG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年省级养老服务体系建设经费（冀财社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用于养老服务体系建设资金支出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推进养老服务体系建设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保障老年人晚年生活</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补贴民办养老机构运营补贴数量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补贴民办养老机构运营补贴数量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补贴资金保障率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补贴资金保障率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按文件规定标准补贴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有效提高供养老人生活水平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有效提高供养老人生活水平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有效促进我县养老服务设施水平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有效促进我县养老服务设施水平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保障集中供养老人生活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保障集中供养老人生活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有效推动养老服务体系建设发展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有效推动养老服务体系建设发展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有效推进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住院老人满意度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住院老人满意度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2" w:name="_Toc70667882"/>
      <w:r>
        <w:rPr>
          <w:rFonts w:hint="eastAsia" w:ascii="方正仿宋_GBK" w:eastAsia="方正仿宋_GBK"/>
          <w:b/>
          <w:sz w:val="28"/>
        </w:rPr>
        <w:t>5.养老服务体系建设经费绩效目标表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5、养老服务体系建设经费绩效目标表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130528215YQGH5F5RQU7A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用于失能、半失能老人能力评估费支出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落实养老服务体系政策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及时的为失能、半失能老年人能力进行评估</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评估老年人人数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评估老年人人数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&gt;400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评估工作完成及时率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评估工作完成及时率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提高老年人幸福指数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提高老年人幸福指数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保障养老服务发展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保障养老服务发展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及时评估老年人自理能力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及时评估老年人自理能力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及时评估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被评估对象满意度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被评估对象满意度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养老服务体系建设政策</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3" w:name="_Toc70667883"/>
      <w:r>
        <w:rPr>
          <w:rFonts w:hint="eastAsia" w:ascii="方正仿宋_GBK" w:eastAsia="方正仿宋_GBK"/>
          <w:b/>
          <w:sz w:val="28"/>
        </w:rPr>
        <w:t>6.社会服务兜底工程（以前年度）（冀财建[2019]71号）绩效目标表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6、社会服务兜底工程（以前年度）（冀财建[2019]71号）绩效目标表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130528216B4ULO31MGR4O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社会服务兜底工程（以前年度）（冀财建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用于建设殡仪馆、公益性骨灰堂支出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保障项目顺利建设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促进我县殡葬事业发展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总占地面积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总占地面积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16926.9</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项目实际成本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项目实际成本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节约群众殡葬成本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节约群众殡葬成本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有效节约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倡导殡葬文明新风尚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倡导殡葬文明新风尚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有力倡导</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有效节约用地和保护环境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有效节约用地和保护环境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有效节约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推动我县殡葬事业发展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推动我县殡葬事业发展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有效推动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4" w:name="_Toc70667884"/>
      <w:r>
        <w:rPr>
          <w:rFonts w:hint="eastAsia" w:ascii="方正仿宋_GBK" w:eastAsia="方正仿宋_GBK"/>
          <w:b/>
          <w:sz w:val="28"/>
        </w:rPr>
        <w:t>7.2021年中央集中彩票公益金支技社会福利事业专项资金（冀财社[2020]178号）绩效目标表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7、2021年中央集中彩票公益金支技社会福利事业专项资金（冀财社[2020]178号）绩效目标表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130528219BQGIQSBFTGQG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年中央集中彩票公益金支技社会福利事业专项资金（冀财社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用于发放孤儿助学金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顺利开展孤儿助学工程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资助考上普通全日制本科、专科等学校的孤儿完成学业</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享受孤儿助学人数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享受孤儿助学人数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孤儿助学保障率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孤儿助学保障率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按季发放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每学年</w:t>
            </w:r>
            <w:r>
              <w:rPr>
                <w:rFonts w:ascii="方正书宋_GBK" w:eastAsia="方正书宋_GBK"/>
              </w:rPr>
              <w:t>10000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提高孤儿生活水平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提高孤儿生活水平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回应服务需求，改善生活境况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回应服务需求，改善生活境况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效果显著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保障工作顺利开展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保障工作顺利开展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帮助孤儿完成学业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帮助孤儿完成学业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有效帮助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5" w:name="_Toc70667885"/>
      <w:r>
        <w:rPr>
          <w:rFonts w:hint="eastAsia" w:ascii="方正仿宋_GBK" w:eastAsia="方正仿宋_GBK"/>
          <w:b/>
          <w:sz w:val="28"/>
        </w:rPr>
        <w:t>8.民政事业服务中心消防提升改造项目绩效目标表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8、民政事业服务中心消防提升改造项目绩效目标表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13052821APY4YF1BFFR2I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民政事业服务中心消防提升改造项目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用于民政事业中心消防提升改造项目支出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加强民政事业服务中心的消防力量，强化日常消防安全管理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消除安全隐患，提升办院条件。</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民政中心建筑面积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民政中心建筑面积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10800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项目质量合格率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项目建设期限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项目建设成本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按审计结果结算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提升服务设施水平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提升民政中心服务设施水平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消除安全隐患，提升办院条件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消除安全隐患，提升办院条件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提升火灾防控能力和应急处置能力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提升火灾防控能力和应急处置能力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提高民政中心消防力量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提高民政中心消防力量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入院院民满意度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入院院民满意度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老年人照料设施建筑设计标准</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6" w:name="_Toc70667886"/>
      <w:r>
        <w:rPr>
          <w:rFonts w:hint="eastAsia" w:ascii="方正仿宋_GBK" w:eastAsia="方正仿宋_GBK"/>
          <w:b/>
          <w:sz w:val="28"/>
        </w:rPr>
        <w:t>9.宁晋县老促会编印《宁晋县革命老区发展史》经费绩效目标表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9、宁晋县老促会编印《宁晋县革命老区发展史》经费绩效目标表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13052821CIBPU7FSHRPKC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宁晋县老促会编印《宁晋县革命老区发展史》经费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19.70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19.70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用于编印《宁晋县革命老区发展史》经费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发扬红色资源优势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保障《宁晋县革命老区发展史》顺利出版</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印刷发展史本数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印刷发展史本数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发展老区革命史传统教育</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发展老区革命史传统教育</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有力发展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促进我县红色基因代代相传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促进我县红色基因代代相传</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明显促进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发扬传统、代代相传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发扬传统、代代相传</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大力发扬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发扬红色资源优势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发扬红色资源优势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有效发扬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7" w:name="_Toc70667887"/>
      <w:r>
        <w:rPr>
          <w:rFonts w:hint="eastAsia" w:ascii="方正仿宋_GBK" w:eastAsia="方正仿宋_GBK"/>
          <w:b/>
          <w:sz w:val="28"/>
        </w:rPr>
        <w:t>10.行政区划和地名管理绩效目标表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10、行政区划和地名管理绩效目标表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13052821DV57RIM1Q1EGU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行政区划和地名管理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用于街路牌制作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提高我县地名服务管理质量和水平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保障地名公共服务工作顺利开展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制作街路牌数量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制作街路牌数量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街路牌完好率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街路牌完好率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加快我县城镇化建设步伐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加快我县城镇化建设步伐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加快推进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推进我县撤县设市工作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推进我县撤县设市工作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有效推进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推进我县创城工作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推进我县创城工作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有效推进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提高我县地名服务管理水平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提高我县地名服务管理水平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地名标志设置工作方案</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8" w:name="_Toc70667888"/>
      <w:r>
        <w:rPr>
          <w:rFonts w:hint="eastAsia" w:ascii="方正仿宋_GBK" w:eastAsia="方正仿宋_GBK"/>
          <w:b/>
          <w:sz w:val="28"/>
        </w:rPr>
        <w:t>11.局自收自支人员工资、社会保险绩效目标表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11、局自收自支人员工资、社会保险绩效目标表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13052821DXV0WHGTB9ELM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局自收自支人员工资、社会保险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123.53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123.53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用于发放自收自支人员工资、缴纳社会保险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落实职工工资待遇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保障职工基本权益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资金支付合规率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职工工资标准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职工工资标准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按标准发放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有效保障职工生活水平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有效保障职工生活水平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提高职工工作积极性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提高职工工作积极性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社会发展保障力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提高我局工作水平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人社局调资方案</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9" w:name="_Toc70667889"/>
      <w:r>
        <w:rPr>
          <w:rFonts w:hint="eastAsia" w:ascii="方正仿宋_GBK" w:eastAsia="方正仿宋_GBK"/>
          <w:b/>
          <w:sz w:val="28"/>
        </w:rPr>
        <w:t>12.福彩中心业务费绩效目标表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12、福彩中心业务费绩效目标表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13052821IOLV89MXQFZMC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福彩中心业务费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用于福彩中心工作经费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保障福彩中心工作顺利开展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有效促进我县福彩事业发展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完成福彩站点销售培训次数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完成福彩站点销售培训次数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彩票兑奖及时率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彩票兑奖及时率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为国家筹集更多的公益金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为国家筹集更多的公益金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积极筹集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提升福彩工作社会满意度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提升福彩工作社会满意度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充分践行福彩发行宗旨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充分践行福彩发行宗旨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充分践行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提升福彩形象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提升福彩形象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彩民满意度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彩民满意度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福彩中心工作任务</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0" w:name="_Toc70667890"/>
      <w:r>
        <w:rPr>
          <w:rFonts w:hint="eastAsia" w:ascii="方正仿宋_GBK" w:eastAsia="方正仿宋_GBK"/>
          <w:b/>
          <w:sz w:val="28"/>
        </w:rPr>
        <w:t>13.高龄补贴绩效目标表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13、高龄补贴绩效目标表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13052821KO46DY1E90FT2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113.40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113.40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用于发放高龄老人补贴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落实高龄补贴政策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保障高龄老人合法权益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低保家庭中</w:t>
            </w:r>
            <w:r>
              <w:rPr>
                <w:rFonts w:ascii="方正书宋_GBK" w:eastAsia="方正书宋_GBK"/>
              </w:rPr>
              <w:t>80</w:t>
            </w:r>
            <w:r>
              <w:rPr>
                <w:rFonts w:hint="eastAsia" w:ascii="方正书宋_GBK" w:eastAsia="方正书宋_GBK"/>
              </w:rPr>
              <w:t>岁老年人人数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低保家庭中</w:t>
            </w:r>
            <w:r>
              <w:rPr>
                <w:rFonts w:ascii="方正书宋_GBK" w:eastAsia="方正书宋_GBK"/>
              </w:rPr>
              <w:t>80</w:t>
            </w:r>
            <w:r>
              <w:rPr>
                <w:rFonts w:hint="eastAsia" w:ascii="方正书宋_GBK" w:eastAsia="方正书宋_GBK"/>
              </w:rPr>
              <w:t>岁老年人人数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3274</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低保家庭中高龄补贴保障率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低保家庭中高龄补贴保障率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按季发放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80-99</w:t>
            </w:r>
            <w:r>
              <w:rPr>
                <w:rFonts w:hint="eastAsia" w:ascii="方正书宋_GBK" w:eastAsia="方正书宋_GBK"/>
              </w:rPr>
              <w:t>岁每人月</w:t>
            </w:r>
            <w:r>
              <w:rPr>
                <w:rFonts w:ascii="方正书宋_GBK" w:eastAsia="方正书宋_GBK"/>
              </w:rPr>
              <w:t>30</w:t>
            </w:r>
            <w:r>
              <w:rPr>
                <w:rFonts w:hint="eastAsia" w:ascii="方正书宋_GBK" w:eastAsia="方正书宋_GBK"/>
              </w:rPr>
              <w:t>元，</w:t>
            </w:r>
            <w:r>
              <w:rPr>
                <w:rFonts w:ascii="方正书宋_GBK" w:eastAsia="方正书宋_GBK"/>
              </w:rPr>
              <w:t>100</w:t>
            </w:r>
            <w:r>
              <w:rPr>
                <w:rFonts w:hint="eastAsia" w:ascii="方正书宋_GBK" w:eastAsia="方正书宋_GBK"/>
              </w:rPr>
              <w:t>岁月</w:t>
            </w:r>
            <w:r>
              <w:rPr>
                <w:rFonts w:ascii="方正书宋_GBK" w:eastAsia="方正书宋_GBK"/>
              </w:rPr>
              <w:t>300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有效提高高龄老人生活水平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有效提高高龄老人生活水平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保障老年人合法权益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保障老年人合法权益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促进我县老年人事业发展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促进我县老年人事业发展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高龄老年人满意度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高龄老年人满意度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高龄老人补贴政策</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1" w:name="_Toc70667891"/>
      <w:r>
        <w:rPr>
          <w:rFonts w:hint="eastAsia" w:ascii="方正仿宋_GBK" w:eastAsia="方正仿宋_GBK"/>
          <w:b/>
          <w:sz w:val="28"/>
        </w:rPr>
        <w:t>14.社会服务兜底工程资金绩效目标表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14、社会服务兜底工程资金绩效目标表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13052821L25RN8AWDSMQX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社会服务兜底工程资金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用于火化设备购置、殡仪馆、公益性骨灰堂建设支出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保障项目顺利建设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促进我县殡葬事业发展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购置火化机数量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购置火化机数量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购置设备质量达标率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安装完工率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提高火化效率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提高火化效率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倡导殡葬文明新风尚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倡导殡葬文明新风尚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有效倡导</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有效提高保护生态环境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有效提高保护生态环境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推动我县殡葬事业发展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推动我县殡葬事业发展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有效推动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2" w:name="_Toc70667892"/>
      <w:r>
        <w:rPr>
          <w:rFonts w:hint="eastAsia" w:ascii="方正仿宋_GBK" w:eastAsia="方正仿宋_GBK"/>
          <w:b/>
          <w:sz w:val="28"/>
        </w:rPr>
        <w:t>15.废旧衣物回收经费绩效目标表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15、废旧衣物回收经费绩效目标表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13052821L8IWAL749QY55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用于宁晋县慈善总会废旧衣物回收工作经费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保障废旧衣物回收项目顺利开展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促进我县慈善事业发展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废旧衣物回收件数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废旧衣物清洗、消毒合格率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废旧衣物清洗、消毒合格率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改善贫困群众生活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改善贫困群众生活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推动慈善文化发展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推动慈善文化发展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有效推动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加强节约集约利用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加强节约集约利用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营造浓厚舆论氛围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营造浓厚舆论氛围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促进营造</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废旧衣物回收工作</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3" w:name="_Toc70667893"/>
      <w:r>
        <w:rPr>
          <w:rFonts w:hint="eastAsia" w:ascii="方正仿宋_GBK" w:eastAsia="方正仿宋_GBK"/>
          <w:b/>
          <w:sz w:val="28"/>
        </w:rPr>
        <w:t>16.2021年省级专项福利彩票公益金（冀财社[2020]217号）绩效目标表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16、2021年省级专项福利彩票公益金（冀财社[2020]217号）绩效目标表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13052821O6U9QGROTBGW6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年省级专项福利彩票公益金（冀财社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用于农村公益性公墓建设支出，宁晋县民政事业服务中心护理型床位改造项目支出。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保障项目顺利开展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促进我县社会福利事业发展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新建公益性公墓数量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新建公益性公墓数量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工程质量是否达标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工程质量是否达标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工程是否超预算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工程是否超预算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有效节约丧葬费用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有效节约丧葬费用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有效节约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有效推进殡葬改革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有效推进殡葬改革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有效推进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有力改善生态环境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改善民政中心设施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改善民政中心设施</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4" w:name="_Toc70667894"/>
      <w:r>
        <w:rPr>
          <w:rFonts w:hint="eastAsia" w:ascii="方正仿宋_GBK" w:eastAsia="方正仿宋_GBK"/>
          <w:b/>
          <w:sz w:val="28"/>
        </w:rPr>
        <w:t>17.城镇最低生活保障绩效目标表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17、城镇最低生活保障绩效目标表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13052821OI4A3XZ5IF0GW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城镇最低生活保障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用于发放城镇最低生活保障金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落实困难群众救助政策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保障困难群众基本生活</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城保人数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城保人数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有效提高困难群众生活水平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有效提高困难群众生活水平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保障群众稳定脱贫</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保障群众稳定脱贫</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保障困难群众基本生活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保障困难群众基本生活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5" w:name="_Toc70667895"/>
      <w:r>
        <w:rPr>
          <w:rFonts w:hint="eastAsia" w:ascii="方正仿宋_GBK" w:eastAsia="方正仿宋_GBK"/>
          <w:b/>
          <w:sz w:val="28"/>
        </w:rPr>
        <w:t>18.社会救济（精简退职人员救济费）绩效目标表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18、社会救济（精简退职人员救济费）绩效目标表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13052821QXT8OZNQ5KQA8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社会救济（精简退职人员救济费）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用于发放精简退职人员救济费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落实国家政策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保障精简退职人员权益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168</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精简退职人员保障率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w:t>
            </w:r>
            <w:r>
              <w:rPr>
                <w:rFonts w:ascii="方正书宋_GBK" w:eastAsia="方正书宋_GBK"/>
              </w:rPr>
              <w:t>20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有效提高精简退职人员生活水平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有效提高精简退职人员生活水平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有效保障精简退职人员权益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有效保障精简退职人员权益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有效保障社会发展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有效保障社会发展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精简退职人员救济政策</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6" w:name="_Toc70667896"/>
      <w:r>
        <w:rPr>
          <w:rFonts w:hint="eastAsia" w:ascii="方正仿宋_GBK" w:eastAsia="方正仿宋_GBK"/>
          <w:b/>
          <w:sz w:val="28"/>
        </w:rPr>
        <w:t>19.康乐老年公寓主体建设资金绩效目标表</w:t>
      </w:r>
      <w:bookmarkEnd w:id="2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19、康乐老年公寓主体建设资金绩效目标表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13052821SSFXCPC34WQSV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康乐老年公寓主体建设资金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用于康乐老年公寓主体建设支出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保障康乐老年公寓项目顺利建设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有效促进我县养老事业发展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建筑面积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康乐老年公寓建筑面积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21250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工程质量是否达标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工程质量是否达标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建设期限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个月</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建成后可容纳床位数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建成后可容纳床位数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张</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有效保进我县养老事业发展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有效保进我县养老事业发展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有力解决社会养老问题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有力解决社会养老问题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有力解决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有力提高养老服务水平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有力提高养老服务水平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有力提高</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社会公众满意程度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7" w:name="_Toc70667897"/>
      <w:r>
        <w:rPr>
          <w:rFonts w:hint="eastAsia" w:ascii="方正仿宋_GBK" w:eastAsia="方正仿宋_GBK"/>
          <w:b/>
          <w:sz w:val="28"/>
        </w:rPr>
        <w:t>20.民政综合事务绩效目标表</w:t>
      </w:r>
      <w:bookmarkEnd w:id="2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20、民政综合事务绩效目标表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13052821TXKB15O86VO2A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民政综合事务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用于民政工作支出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保障民政工作顺利开展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促进我县民政事业发展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费用及时支付率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费用及时支付率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民政工作完成及时率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民政工作完成及时率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保障民政工作正常运转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保障民政工作正常运转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利于社会稳定发展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利于社会稳定发展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保障社会发展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保障社会发展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提升民政工作水平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提升民政工作水平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有利提升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年度工作计划</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8" w:name="_Toc70667898"/>
      <w:r>
        <w:rPr>
          <w:rFonts w:hint="eastAsia" w:ascii="方正仿宋_GBK" w:eastAsia="方正仿宋_GBK"/>
          <w:b/>
          <w:sz w:val="28"/>
        </w:rPr>
        <w:t>21.中央财政困难群众救助补助（冀财社[2020]187号）绩效目标表</w:t>
      </w:r>
      <w:bookmarkEnd w:id="2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21、中央财政困难群众救助补助（冀财社[2020]187号）绩效目标表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13052821U69LT21DNC8EE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中央财政困难群众救助补助（冀财社</w:t>
            </w:r>
            <w:r>
              <w:rPr>
                <w:rFonts w:ascii="方正书宋_GBK" w:eastAsia="方正书宋_GBK"/>
              </w:rPr>
              <w:t>[2020]187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5387.00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5387.00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用于发放城乡低保、城乡特困供养人员救助金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落实困难群众救助政策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保障困难群众基本生活</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保障孤残儿童基本生活</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城乡低保人数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城乡低保人数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&gt;22821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城乡低保保障率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城乡低保保障率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应保尽保</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孤儿生活补助发放标准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孤儿生活补助发放标准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困难群众生活条件有所改善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困难群众生活条件有所改善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有所改善</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有效保障困难群众基本生活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有效保障困难群众基本生活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困难群众生活水平情况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困难群众生活水平情况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困难群众救助保障制度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困难群众救助保障制度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进一步完善</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9" w:name="_Toc70667899"/>
      <w:r>
        <w:rPr>
          <w:rFonts w:hint="eastAsia" w:ascii="方正仿宋_GBK" w:eastAsia="方正仿宋_GBK"/>
          <w:b/>
          <w:sz w:val="28"/>
        </w:rPr>
        <w:t>22.农村最低生活保障绩效目标表</w:t>
      </w:r>
      <w:bookmarkEnd w:id="2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22、农村最低生活保障绩效目标表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13052821V9IRHQGM3DSFU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农村最低生活保障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571.00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571.00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用于发放农村最低生活保障金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落实困难群众救助政策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保障困难群众基本生活</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农村最低生活保障人数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农村最低生活保障人数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农村最低生活保障率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农村最低生活保障率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有效提高困难群众生活水平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有效提高困难群众生活水平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群众政策知晓度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群众政策知晓度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有效保障困难群众基本生活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有效保障困难群众基本生活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发挥兜底保障群众稳定脱贫</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发挥兜底政策保障群众稳定脱贫</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困难群众救助政策</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30" w:name="_Toc70667900"/>
      <w:r>
        <w:rPr>
          <w:rFonts w:hint="eastAsia" w:ascii="方正仿宋_GBK" w:eastAsia="方正仿宋_GBK"/>
          <w:b/>
          <w:sz w:val="28"/>
        </w:rPr>
        <w:t>23.殡葬补助绩效目标表</w:t>
      </w:r>
      <w:bookmarkEnd w:id="3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23、殡葬补助绩效目标表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13052821VLNUZE2GUO6UY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殡葬补助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用于发放火化家属殡葬补助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保障殡葬工作顺利开展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提高我县火化率</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发放殡葬补助人数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发放殡葬补助人数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按实际火化数量补助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资金保障率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及时补助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有效降低群众丧葬成本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有效降低群众丧葬成本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有效降低</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火化率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火化率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减少占地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减少占地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明显减少</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有效保障殡葬事业发展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有效保障殡葬事业发展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宁晋县殡改政策</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31" w:name="_Toc70667901"/>
      <w:r>
        <w:rPr>
          <w:rFonts w:hint="eastAsia" w:ascii="方正仿宋_GBK" w:eastAsia="方正仿宋_GBK"/>
          <w:b/>
          <w:sz w:val="28"/>
        </w:rPr>
        <w:t>24.福彩公益活动绩效目标表</w:t>
      </w:r>
      <w:bookmarkEnd w:id="3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24、福彩公益活动绩效目标表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13052821VM4Z7163O0EAL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福彩公益活动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用于福彩公益活动支出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落实福彩宗旨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保障贫困学生顺利完成学业</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福彩助学活动次数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福彩助学活动次数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对符合条件人员资助率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对符合条件人员资助率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资金发放及时率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改善贫困学生的生活境况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改善贫困学生的生活境况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发扬福彩公益金的宗旨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发扬福彩公益金的宗旨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有力发扬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改善学生生活水平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改善学生生活水平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保障贫困学生顺利完成学业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保障贫困学生顺利完成学业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福彩公益活动方案</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32" w:name="_Toc70667902"/>
      <w:r>
        <w:rPr>
          <w:rFonts w:hint="eastAsia" w:ascii="方正仿宋_GBK" w:eastAsia="方正仿宋_GBK"/>
          <w:b/>
          <w:sz w:val="28"/>
        </w:rPr>
        <w:t>25.财政代扣合同制工人统筹外项目绩效目标表</w:t>
      </w:r>
      <w:bookmarkEnd w:id="3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25、财政代扣合同制工人统筹外项目绩效目标表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13052821XPGKIGGQ103PD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财政代扣合同制工人统筹外项目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8.47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8.47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用于发放财政代扣合同制工人取暖费、精神文明奖、平安建设奖、目标绩效奖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落实退休工人待遇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保障退休工人合法权益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退休工人人数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退休工人人数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按规定标准发放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提高退休人员的生活水平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提高退休人员的生活水平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保障退休人员的基本生活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保障退休人员的基本生活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改善退休人员的生活水平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改善退休人员的生活水平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退休人员满意度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工资待遇政策</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33" w:name="_Toc70667903"/>
      <w:r>
        <w:rPr>
          <w:rFonts w:hint="eastAsia" w:ascii="方正仿宋_GBK" w:eastAsia="方正仿宋_GBK"/>
          <w:b/>
          <w:sz w:val="28"/>
        </w:rPr>
        <w:t>26.2020年精神文明奖及平安建设奖绩效目标表</w:t>
      </w:r>
      <w:bookmarkEnd w:id="3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26、2020年精神文明奖及平安建设奖绩效目标表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13052821Y19UHFGKUTZ6N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年精神文明奖及平安建设奖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用于发放职工</w:t>
            </w:r>
            <w:r>
              <w:rPr>
                <w:rFonts w:ascii="方正书宋_GBK" w:eastAsia="方正书宋_GBK"/>
              </w:rPr>
              <w:t>2020</w:t>
            </w:r>
            <w:r>
              <w:rPr>
                <w:rFonts w:hint="eastAsia" w:ascii="方正书宋_GBK" w:eastAsia="方正书宋_GBK"/>
              </w:rPr>
              <w:t>年度精神文明奖及平安建设奖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落实工资待遇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保障职工合法权益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54</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资金发放及时率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精神文明奖</w:t>
            </w:r>
            <w:r>
              <w:rPr>
                <w:rFonts w:ascii="方正书宋_GBK" w:eastAsia="方正书宋_GBK"/>
              </w:rPr>
              <w:t>8000</w:t>
            </w:r>
            <w:r>
              <w:rPr>
                <w:rFonts w:hint="eastAsia" w:ascii="方正书宋_GBK" w:eastAsia="方正书宋_GBK"/>
              </w:rPr>
              <w:t>元，平安建设奖</w:t>
            </w:r>
            <w:r>
              <w:rPr>
                <w:rFonts w:ascii="方正书宋_GBK" w:eastAsia="方正书宋_GBK"/>
              </w:rPr>
              <w:t>1000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保障职工工资水平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保障职工工资水平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保障职工合法权益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保障职工合法权益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精神文明及平安建设达标率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全县精神文明及平安建设再上新台阶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提高职工工作积极性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提高职工工作积极性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工资待遇文件</w:t>
            </w: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34" w:name="_Toc70667904"/>
      <w:r>
        <w:rPr>
          <w:rFonts w:hint="eastAsia" w:ascii="方正仿宋_GBK" w:eastAsia="方正仿宋_GBK"/>
          <w:b/>
          <w:sz w:val="28"/>
        </w:rPr>
        <w:t>27.困难群众基本生活救助（冀财社[2020]210号）绩效目标表</w:t>
      </w:r>
      <w:bookmarkEnd w:id="3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27、困难群众基本生活救助（冀财社[2020]210号）绩效目标表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13052821YXD31HUS2540C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困难群众基本生活救助（冀财社</w:t>
            </w:r>
            <w:r>
              <w:rPr>
                <w:rFonts w:ascii="方正书宋_GBK" w:eastAsia="方正书宋_GBK"/>
              </w:rPr>
              <w:t>[2020]210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2263.00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2263.00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用于农村特困供养、临时救助、孤儿补助、残疾人两项补贴、流浪乞讨救助支出。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落实困难群众救助政策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保障困难群众基本生活</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做好这生活无着流浪乞讨人员提供及时救助</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临时救助人次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临时救助人次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适度提高</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城乡特困人员救助供养标准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城乡特困人员救助供养标准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残疾人两项补贴标准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残疾人两项补贴标准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困难残疾人月</w:t>
            </w:r>
            <w:r>
              <w:rPr>
                <w:rFonts w:ascii="方正书宋_GBK" w:eastAsia="方正书宋_GBK"/>
              </w:rPr>
              <w:t>66</w:t>
            </w:r>
            <w:r>
              <w:rPr>
                <w:rFonts w:hint="eastAsia" w:ascii="方正书宋_GBK" w:eastAsia="方正书宋_GBK"/>
              </w:rPr>
              <w:t>元，重度残疾人月</w:t>
            </w:r>
            <w:r>
              <w:rPr>
                <w:rFonts w:ascii="方正书宋_GBK" w:eastAsia="方正书宋_GBK"/>
              </w:rPr>
              <w:t>60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困难群众生活水平情况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困难群众生活水平情况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帮助查明原因浪乞讨返乡情况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帮助查明身份滞留流浪乞讨人员返乡情况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及时送返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提升困难群众幸福指数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提升困难群众幸福指数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有效提升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困难群众基本生活救助和孤儿基本生活保障制度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进一步完善</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304" w:right="1134" w:bottom="1304" w:left="1984" w:header="851" w:footer="992" w:gutter="0"/>
          <w:pgNumType w:fmt="numberInDash"/>
          <w:cols w:space="425" w:num="1"/>
          <w:docGrid w:type="lines" w:linePitch="312" w:charSpace="0"/>
        </w:sectPr>
      </w:pPr>
    </w:p>
    <w:p>
      <w:pPr>
        <w:spacing w:line="300" w:lineRule="exact"/>
        <w:jc w:val="left"/>
      </w:pPr>
    </w:p>
    <w:p/>
    <w:p>
      <w:pPr>
        <w:spacing w:line="560" w:lineRule="exact"/>
        <w:ind w:firstLine="630" w:firstLineChars="196"/>
        <w:rPr>
          <w:rFonts w:cs="FZFSK--GBK1-0" w:asciiTheme="minorEastAsia" w:hAnsiTheme="minorEastAsia"/>
          <w:b/>
          <w:kern w:val="0"/>
          <w:sz w:val="32"/>
          <w:szCs w:val="32"/>
        </w:rPr>
      </w:pPr>
      <w:r>
        <w:rPr>
          <w:rFonts w:hint="eastAsia" w:cs="FZFSK--GBK1-0" w:asciiTheme="minorEastAsia" w:hAnsiTheme="minorEastAsia"/>
          <w:b/>
          <w:kern w:val="0"/>
          <w:sz w:val="32"/>
          <w:szCs w:val="32"/>
        </w:rPr>
        <w:t>六、政府采购预算情况</w:t>
      </w:r>
    </w:p>
    <w:p>
      <w:pPr>
        <w:spacing w:line="560" w:lineRule="exact"/>
        <w:ind w:firstLine="630" w:firstLineChars="196"/>
        <w:rPr>
          <w:rFonts w:cs="FZFSK--GBK1-0" w:asciiTheme="minorEastAsia" w:hAnsiTheme="minorEastAsia"/>
          <w:b/>
          <w:kern w:val="0"/>
          <w:sz w:val="32"/>
          <w:szCs w:val="32"/>
        </w:rPr>
      </w:pPr>
      <w:r>
        <w:rPr>
          <w:rFonts w:hint="eastAsia" w:cs="FZFSK--GBK1-0" w:asciiTheme="minorEastAsia" w:hAnsiTheme="minorEastAsia"/>
          <w:b/>
          <w:kern w:val="0"/>
          <w:sz w:val="32"/>
          <w:szCs w:val="32"/>
        </w:rPr>
        <w:t>2021年我单位无政府采购项目</w:t>
      </w:r>
    </w:p>
    <w:p>
      <w:pPr>
        <w:spacing w:line="560" w:lineRule="exact"/>
        <w:ind w:firstLine="630" w:firstLineChars="196"/>
        <w:rPr>
          <w:rFonts w:cs="FZFSK--GBK1-0" w:asciiTheme="minorEastAsia" w:hAnsiTheme="minorEastAsia"/>
          <w:b/>
          <w:kern w:val="0"/>
          <w:sz w:val="32"/>
          <w:szCs w:val="32"/>
        </w:rPr>
      </w:pPr>
      <w:r>
        <w:rPr>
          <w:rFonts w:hint="eastAsia" w:cs="FZFSK--GBK1-0" w:asciiTheme="minorEastAsia" w:hAnsiTheme="minorEastAsia"/>
          <w:b/>
          <w:kern w:val="0"/>
          <w:sz w:val="32"/>
          <w:szCs w:val="32"/>
        </w:rPr>
        <w:t>七、 国有资产信息</w:t>
      </w:r>
    </w:p>
    <w:p>
      <w:pPr>
        <w:spacing w:line="560" w:lineRule="exact"/>
        <w:rPr>
          <w:rFonts w:cs="FZFSK--GBK1-0" w:asciiTheme="minorEastAsia" w:hAnsiTheme="minorEastAsia"/>
          <w:b/>
          <w:kern w:val="0"/>
          <w:sz w:val="32"/>
          <w:szCs w:val="32"/>
        </w:rPr>
      </w:pPr>
      <w:r>
        <w:rPr>
          <w:rFonts w:hint="eastAsia" w:ascii="宋体" w:hAnsi="宋体" w:cs="宋体"/>
          <w:color w:val="000000"/>
          <w:kern w:val="0"/>
          <w:sz w:val="32"/>
          <w:szCs w:val="32"/>
        </w:rPr>
        <w:t>我单位2020年末固定资产金额为</w:t>
      </w:r>
      <w:r>
        <w:rPr>
          <w:rFonts w:hint="eastAsia" w:ascii="仿宋_GB2312"/>
          <w:color w:val="000000"/>
          <w:sz w:val="32"/>
          <w:szCs w:val="32"/>
        </w:rPr>
        <w:t>186.48万元，详见下表。</w:t>
      </w:r>
    </w:p>
    <w:tbl>
      <w:tblPr>
        <w:tblStyle w:val="8"/>
        <w:tblW w:w="8216" w:type="dxa"/>
        <w:tblInd w:w="93" w:type="dxa"/>
        <w:tblLayout w:type="fixed"/>
        <w:tblCellMar>
          <w:top w:w="0" w:type="dxa"/>
          <w:left w:w="108" w:type="dxa"/>
          <w:bottom w:w="0" w:type="dxa"/>
          <w:right w:w="108" w:type="dxa"/>
        </w:tblCellMar>
      </w:tblPr>
      <w:tblGrid>
        <w:gridCol w:w="3054"/>
        <w:gridCol w:w="2108"/>
        <w:gridCol w:w="3054"/>
      </w:tblGrid>
      <w:tr>
        <w:tblPrEx>
          <w:tblCellMar>
            <w:top w:w="0" w:type="dxa"/>
            <w:left w:w="108" w:type="dxa"/>
            <w:bottom w:w="0" w:type="dxa"/>
            <w:right w:w="108" w:type="dxa"/>
          </w:tblCellMar>
        </w:tblPrEx>
        <w:trPr>
          <w:trHeight w:val="708" w:hRule="atLeast"/>
        </w:trPr>
        <w:tc>
          <w:tcPr>
            <w:tcW w:w="305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项目</w:t>
            </w:r>
          </w:p>
        </w:tc>
        <w:tc>
          <w:tcPr>
            <w:tcW w:w="2108"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数量</w:t>
            </w:r>
          </w:p>
        </w:tc>
        <w:tc>
          <w:tcPr>
            <w:tcW w:w="3054"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价值（金额单位：万元）</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固定资产总额</w:t>
            </w:r>
          </w:p>
        </w:tc>
        <w:tc>
          <w:tcPr>
            <w:tcW w:w="210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w:t>
            </w:r>
          </w:p>
        </w:tc>
        <w:tc>
          <w:tcPr>
            <w:tcW w:w="305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b/>
                <w:bCs/>
                <w:kern w:val="0"/>
                <w:sz w:val="20"/>
                <w:szCs w:val="20"/>
              </w:rPr>
            </w:pPr>
            <w:r>
              <w:rPr>
                <w:rFonts w:hint="eastAsia" w:ascii="宋体" w:hAnsi="宋体" w:cs="宋体"/>
                <w:b/>
                <w:bCs/>
                <w:kern w:val="0"/>
                <w:sz w:val="20"/>
                <w:szCs w:val="20"/>
              </w:rPr>
              <w:t>186.48</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1.房屋（平方米）</w:t>
            </w:r>
          </w:p>
        </w:tc>
        <w:tc>
          <w:tcPr>
            <w:tcW w:w="210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1,509.05</w:t>
            </w:r>
          </w:p>
        </w:tc>
        <w:tc>
          <w:tcPr>
            <w:tcW w:w="305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66.74</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ind w:firstLine="400" w:firstLineChars="200"/>
              <w:jc w:val="left"/>
              <w:rPr>
                <w:rFonts w:ascii="宋体" w:hAnsi="宋体" w:cs="宋体"/>
                <w:kern w:val="0"/>
                <w:sz w:val="20"/>
                <w:szCs w:val="20"/>
              </w:rPr>
            </w:pPr>
            <w:r>
              <w:rPr>
                <w:rFonts w:hint="eastAsia" w:ascii="宋体" w:hAnsi="宋体" w:cs="宋体"/>
                <w:kern w:val="0"/>
                <w:sz w:val="20"/>
                <w:szCs w:val="20"/>
              </w:rPr>
              <w:t>其中：办公用房</w:t>
            </w:r>
          </w:p>
        </w:tc>
        <w:tc>
          <w:tcPr>
            <w:tcW w:w="210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1,509.05</w:t>
            </w:r>
          </w:p>
        </w:tc>
        <w:tc>
          <w:tcPr>
            <w:tcW w:w="3054" w:type="dxa"/>
            <w:tcBorders>
              <w:top w:val="nil"/>
              <w:left w:val="nil"/>
              <w:bottom w:val="single" w:color="auto" w:sz="4" w:space="0"/>
              <w:right w:val="single" w:color="auto" w:sz="4" w:space="0"/>
            </w:tcBorders>
            <w:shd w:val="clear" w:color="auto" w:fill="auto"/>
            <w:vAlign w:val="bottom"/>
          </w:tcPr>
          <w:p>
            <w:pPr>
              <w:widowControl/>
              <w:jc w:val="right"/>
              <w:rPr>
                <w:rFonts w:cs="Calibri"/>
                <w:kern w:val="0"/>
                <w:szCs w:val="21"/>
              </w:rPr>
            </w:pPr>
            <w:r>
              <w:rPr>
                <w:rFonts w:cs="Calibri"/>
                <w:kern w:val="0"/>
                <w:szCs w:val="21"/>
              </w:rPr>
              <w:t>66.74</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2.车辆（台、辆）</w:t>
            </w:r>
          </w:p>
        </w:tc>
        <w:tc>
          <w:tcPr>
            <w:tcW w:w="210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w:t>
            </w:r>
          </w:p>
        </w:tc>
        <w:tc>
          <w:tcPr>
            <w:tcW w:w="305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22.7</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3.通用设备</w:t>
            </w:r>
          </w:p>
        </w:tc>
        <w:tc>
          <w:tcPr>
            <w:tcW w:w="210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105</w:t>
            </w:r>
          </w:p>
        </w:tc>
        <w:tc>
          <w:tcPr>
            <w:tcW w:w="305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81.82</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4.家具用品</w:t>
            </w:r>
          </w:p>
        </w:tc>
        <w:tc>
          <w:tcPr>
            <w:tcW w:w="210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305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15.22</w:t>
            </w:r>
          </w:p>
        </w:tc>
      </w:tr>
    </w:tbl>
    <w:p>
      <w:pPr>
        <w:spacing w:line="560" w:lineRule="exact"/>
        <w:ind w:firstLine="720"/>
        <w:rPr>
          <w:rFonts w:cs="FZFSK--GBK1-0" w:asciiTheme="minorEastAsia" w:hAnsiTheme="minorEastAsia"/>
          <w:b/>
          <w:kern w:val="0"/>
          <w:sz w:val="32"/>
          <w:szCs w:val="32"/>
        </w:rPr>
      </w:pPr>
    </w:p>
    <w:p>
      <w:pPr>
        <w:spacing w:line="560" w:lineRule="exact"/>
        <w:ind w:firstLine="803" w:firstLineChars="250"/>
        <w:rPr>
          <w:rFonts w:cs="FZFSK--GBK1-0" w:asciiTheme="minorEastAsia" w:hAnsiTheme="minorEastAsia"/>
          <w:b/>
          <w:kern w:val="0"/>
          <w:sz w:val="32"/>
          <w:szCs w:val="32"/>
        </w:rPr>
      </w:pPr>
      <w:r>
        <w:rPr>
          <w:rFonts w:hint="eastAsia" w:cs="FZFSK--GBK1-0" w:asciiTheme="minorEastAsia" w:hAnsiTheme="minorEastAsia"/>
          <w:b/>
          <w:kern w:val="0"/>
          <w:sz w:val="32"/>
          <w:szCs w:val="32"/>
        </w:rPr>
        <w:t>八、名词解释</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1、民政管理事务</w:t>
      </w:r>
      <w:r>
        <w:rPr>
          <w:rFonts w:hint="eastAsia" w:cs="Times New Roman" w:asciiTheme="minorEastAsia" w:hAnsiTheme="minorEastAsia" w:eastAsiaTheme="minorEastAsia"/>
          <w:kern w:val="2"/>
          <w:sz w:val="32"/>
          <w:szCs w:val="32"/>
        </w:rPr>
        <w:t xml:space="preserve">：指用于民政部机关和所属事业单位保障机构正常运转的基本支出和开展民政管理事务所发生的项目支出。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2、行政运行（项）</w:t>
      </w:r>
      <w:r>
        <w:rPr>
          <w:rFonts w:hint="eastAsia" w:cs="Times New Roman" w:asciiTheme="minorEastAsia" w:hAnsiTheme="minorEastAsia" w:eastAsiaTheme="minorEastAsia"/>
          <w:kern w:val="2"/>
          <w:sz w:val="32"/>
          <w:szCs w:val="32"/>
        </w:rPr>
        <w:t xml:space="preserve">：指民政部机关（不含离退休干部局）和参照公务员法管理的事业单位用于保障机构正常运转的基本支出。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3、一般行政管理事务（项）</w:t>
      </w:r>
      <w:r>
        <w:rPr>
          <w:rFonts w:hint="eastAsia" w:cs="Times New Roman" w:asciiTheme="minorEastAsia" w:hAnsiTheme="minorEastAsia" w:eastAsiaTheme="minorEastAsia"/>
          <w:kern w:val="2"/>
          <w:sz w:val="32"/>
          <w:szCs w:val="32"/>
        </w:rPr>
        <w:t xml:space="preserve">：指民政部机关和参照公务员法管理的事业单位未单独设置项级科目的其他项目支出。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4、机关服务（项）</w:t>
      </w:r>
      <w:r>
        <w:rPr>
          <w:rFonts w:hint="eastAsia" w:cs="Times New Roman" w:asciiTheme="minorEastAsia" w:hAnsiTheme="minorEastAsia" w:eastAsiaTheme="minorEastAsia"/>
          <w:kern w:val="2"/>
          <w:sz w:val="32"/>
          <w:szCs w:val="32"/>
        </w:rPr>
        <w:t xml:space="preserve">：指为民政部机关提供后勤保障服务的机关服务局的支出。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5、老龄事务（项）：</w:t>
      </w:r>
      <w:r>
        <w:rPr>
          <w:rFonts w:hint="eastAsia" w:cs="Times New Roman" w:asciiTheme="minorEastAsia" w:hAnsiTheme="minorEastAsia" w:eastAsiaTheme="minorEastAsia"/>
          <w:kern w:val="2"/>
          <w:sz w:val="32"/>
          <w:szCs w:val="32"/>
        </w:rPr>
        <w:t xml:space="preserve">指老龄事务方面的支出。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6、民间组织管理（项）</w:t>
      </w:r>
      <w:r>
        <w:rPr>
          <w:rFonts w:hint="eastAsia" w:cs="Times New Roman" w:asciiTheme="minorEastAsia" w:hAnsiTheme="minorEastAsia" w:eastAsiaTheme="minorEastAsia"/>
          <w:kern w:val="2"/>
          <w:sz w:val="32"/>
          <w:szCs w:val="32"/>
        </w:rPr>
        <w:t xml:space="preserve">：指民间组织管理方面的支出。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7、行政区划和地名管理（项）</w:t>
      </w:r>
      <w:r>
        <w:rPr>
          <w:rFonts w:hint="eastAsia" w:cs="Times New Roman" w:asciiTheme="minorEastAsia" w:hAnsiTheme="minorEastAsia" w:eastAsiaTheme="minorEastAsia"/>
          <w:kern w:val="2"/>
          <w:sz w:val="32"/>
          <w:szCs w:val="32"/>
        </w:rPr>
        <w:t xml:space="preserve">：指行政区划界线勘定、维护，以及行政区划和地名管理支出。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8、基层政权和社区建设（项）</w:t>
      </w:r>
      <w:r>
        <w:rPr>
          <w:rFonts w:hint="eastAsia" w:cs="Times New Roman" w:asciiTheme="minorEastAsia" w:hAnsiTheme="minorEastAsia" w:eastAsiaTheme="minorEastAsia"/>
          <w:kern w:val="2"/>
          <w:sz w:val="32"/>
          <w:szCs w:val="32"/>
        </w:rPr>
        <w:t>：指开展村民自治、村务公开等基层政权和社区建设工作的支出。</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9、其他民政管理事务支出（项）：</w:t>
      </w:r>
      <w:r>
        <w:rPr>
          <w:rFonts w:hint="eastAsia" w:cs="Times New Roman" w:asciiTheme="minorEastAsia" w:hAnsiTheme="minorEastAsia" w:eastAsiaTheme="minorEastAsia"/>
          <w:kern w:val="2"/>
          <w:sz w:val="32"/>
          <w:szCs w:val="32"/>
        </w:rPr>
        <w:t>指民政部门接待来访、法制建设、政策宣传方面的支出，以及开展优抚安置、救灾减灾、社会救助、社会福利、社会事务、社会工作政策制定和人才队伍建设、信息化建设等专项业务的支出。</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10、财政拨款收入：</w:t>
      </w:r>
      <w:r>
        <w:rPr>
          <w:rFonts w:hint="eastAsia" w:cs="Times New Roman" w:asciiTheme="minorEastAsia" w:hAnsiTheme="minorEastAsia" w:eastAsiaTheme="minorEastAsia"/>
          <w:kern w:val="2"/>
          <w:sz w:val="32"/>
          <w:szCs w:val="32"/>
        </w:rPr>
        <w:t>指本级财政当年拨付的资金。</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11、年初结转和结余：</w:t>
      </w:r>
      <w:r>
        <w:rPr>
          <w:rFonts w:hint="eastAsia" w:cs="Times New Roman" w:asciiTheme="minorEastAsia" w:hAnsiTheme="minorEastAsia" w:eastAsiaTheme="minorEastAsia"/>
          <w:kern w:val="2"/>
          <w:sz w:val="32"/>
          <w:szCs w:val="32"/>
        </w:rPr>
        <w:t>指以前年度尚未完成、结转到本年按有关规定继续使用的资金。</w:t>
      </w:r>
    </w:p>
    <w:p>
      <w:pPr>
        <w:pStyle w:val="7"/>
        <w:spacing w:line="560" w:lineRule="exact"/>
        <w:ind w:firstLine="640"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kern w:val="2"/>
          <w:sz w:val="32"/>
          <w:szCs w:val="32"/>
        </w:rPr>
        <w:t>12、</w:t>
      </w:r>
      <w:r>
        <w:rPr>
          <w:rFonts w:hint="eastAsia" w:cs="Times New Roman" w:asciiTheme="minorEastAsia" w:hAnsiTheme="minorEastAsia" w:eastAsiaTheme="minorEastAsia"/>
          <w:b/>
          <w:kern w:val="2"/>
          <w:sz w:val="32"/>
          <w:szCs w:val="32"/>
        </w:rPr>
        <w:t>基本支出：</w:t>
      </w:r>
      <w:r>
        <w:rPr>
          <w:rFonts w:hint="eastAsia" w:cs="Times New Roman" w:asciiTheme="minorEastAsia" w:hAnsiTheme="minorEastAsia" w:eastAsiaTheme="minorEastAsia"/>
          <w:kern w:val="2"/>
          <w:sz w:val="32"/>
          <w:szCs w:val="32"/>
        </w:rPr>
        <w:t>指为保障机构正常运转、完成日常工作任务而发生的人员支出和公用支出。</w:t>
      </w:r>
    </w:p>
    <w:p>
      <w:pPr>
        <w:pStyle w:val="7"/>
        <w:spacing w:line="560" w:lineRule="exact"/>
        <w:ind w:firstLine="640"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kern w:val="2"/>
          <w:sz w:val="32"/>
          <w:szCs w:val="32"/>
        </w:rPr>
        <w:t>13、</w:t>
      </w:r>
      <w:r>
        <w:rPr>
          <w:rFonts w:hint="eastAsia" w:cs="Times New Roman" w:asciiTheme="minorEastAsia" w:hAnsiTheme="minorEastAsia" w:eastAsiaTheme="minorEastAsia"/>
          <w:b/>
          <w:kern w:val="2"/>
          <w:sz w:val="32"/>
          <w:szCs w:val="32"/>
        </w:rPr>
        <w:t>项目支出：</w:t>
      </w:r>
      <w:r>
        <w:rPr>
          <w:rFonts w:hint="eastAsia" w:cs="Times New Roman" w:asciiTheme="minorEastAsia" w:hAnsiTheme="minorEastAsia" w:eastAsiaTheme="minorEastAsia"/>
          <w:kern w:val="2"/>
          <w:sz w:val="32"/>
          <w:szCs w:val="32"/>
        </w:rPr>
        <w:t>指在基本支出之外为完成特定行政任务和事业发展目标所发生的支出。</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14、“三公”经费：</w:t>
      </w:r>
      <w:r>
        <w:rPr>
          <w:rFonts w:hint="eastAsia" w:cs="Times New Roman" w:asciiTheme="minorEastAsia" w:hAnsiTheme="minorEastAsia" w:eastAsiaTheme="minorEastAsia"/>
          <w:kern w:val="2"/>
          <w:sz w:val="32"/>
          <w:szCs w:val="32"/>
        </w:rPr>
        <w:t>纳入本级财政预决算管理的“三公”经费，是指本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pPr>
        <w:pStyle w:val="7"/>
        <w:spacing w:line="560" w:lineRule="exact"/>
        <w:ind w:firstLine="640"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kern w:val="2"/>
          <w:sz w:val="32"/>
          <w:szCs w:val="32"/>
        </w:rPr>
        <w:t>15、</w:t>
      </w:r>
      <w:r>
        <w:rPr>
          <w:rFonts w:hint="eastAsia" w:cs="Times New Roman" w:asciiTheme="minorEastAsia" w:hAnsiTheme="minorEastAsia" w:eastAsiaTheme="minorEastAsia"/>
          <w:b/>
          <w:kern w:val="2"/>
          <w:sz w:val="32"/>
          <w:szCs w:val="32"/>
        </w:rPr>
        <w:t>机关运行经费：</w:t>
      </w:r>
      <w:r>
        <w:rPr>
          <w:rFonts w:hint="eastAsia" w:cs="Times New Roman" w:asciiTheme="minorEastAsia" w:hAnsiTheme="minorEastAsia" w:eastAsiaTheme="minorEastAsia"/>
          <w:kern w:val="2"/>
          <w:sz w:val="32"/>
          <w:szCs w:val="32"/>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pStyle w:val="7"/>
        <w:spacing w:before="0" w:beforeAutospacing="0" w:after="0" w:afterAutospacing="0" w:line="560" w:lineRule="exact"/>
        <w:ind w:firstLine="800" w:firstLineChars="249"/>
        <w:rPr>
          <w:rFonts w:cs="Times New Roman" w:asciiTheme="minorEastAsia" w:hAnsiTheme="minorEastAsia" w:eastAsiaTheme="minorEastAsia"/>
          <w:b/>
          <w:kern w:val="2"/>
          <w:sz w:val="32"/>
          <w:szCs w:val="32"/>
        </w:rPr>
      </w:pPr>
      <w:r>
        <w:rPr>
          <w:rFonts w:hint="eastAsia" w:cs="Times New Roman" w:asciiTheme="minorEastAsia" w:hAnsiTheme="minorEastAsia" w:eastAsiaTheme="minorEastAsia"/>
          <w:b/>
          <w:kern w:val="2"/>
          <w:sz w:val="32"/>
          <w:szCs w:val="32"/>
        </w:rPr>
        <w:t>九、其他需要说明的事项</w:t>
      </w:r>
    </w:p>
    <w:p>
      <w:pPr>
        <w:ind w:firstLine="630" w:firstLineChars="196"/>
        <w:rPr>
          <w:rFonts w:hint="eastAsia" w:asciiTheme="minorEastAsia" w:hAnsiTheme="minorEastAsia"/>
          <w:b/>
          <w:sz w:val="32"/>
          <w:szCs w:val="32"/>
        </w:rPr>
      </w:pPr>
      <w:r>
        <w:rPr>
          <w:rFonts w:hint="eastAsia" w:asciiTheme="minorEastAsia" w:hAnsiTheme="minorEastAsia"/>
          <w:b/>
          <w:sz w:val="32"/>
          <w:szCs w:val="32"/>
        </w:rPr>
        <w:t>我部门无其他需要说明的事项</w:t>
      </w: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883" w:firstLineChars="200"/>
        <w:rPr>
          <w:rFonts w:hint="eastAsia" w:asciiTheme="minorEastAsia" w:hAnsiTheme="minorEastAsia"/>
          <w:b/>
          <w:bCs/>
          <w:sz w:val="44"/>
          <w:szCs w:val="44"/>
        </w:rPr>
      </w:pPr>
      <w:r>
        <w:rPr>
          <w:rFonts w:hint="eastAsia" w:ascii="仿宋_GB2312" w:hAnsi="仿宋_GB2312" w:eastAsia="仿宋_GB2312" w:cs="仿宋_GB2312"/>
          <w:b/>
          <w:bCs/>
          <w:sz w:val="44"/>
          <w:szCs w:val="44"/>
          <w:lang w:val="en-US" w:eastAsia="zh-CN"/>
        </w:rPr>
        <w:t>二、</w:t>
      </w:r>
      <w:r>
        <w:rPr>
          <w:rFonts w:hint="eastAsia" w:ascii="仿宋_GB2312" w:hAnsi="仿宋_GB2312" w:eastAsia="仿宋_GB2312" w:cs="仿宋_GB2312"/>
          <w:b/>
          <w:bCs/>
          <w:sz w:val="44"/>
          <w:szCs w:val="44"/>
        </w:rPr>
        <w:t>宁晋县民政事业服务中心收支预算</w:t>
      </w:r>
    </w:p>
    <w:tbl>
      <w:tblPr>
        <w:tblStyle w:val="8"/>
        <w:tblW w:w="13661" w:type="dxa"/>
        <w:tblInd w:w="93" w:type="dxa"/>
        <w:tblLayout w:type="fixed"/>
        <w:tblCellMar>
          <w:top w:w="0" w:type="dxa"/>
          <w:left w:w="108" w:type="dxa"/>
          <w:bottom w:w="0" w:type="dxa"/>
          <w:right w:w="108" w:type="dxa"/>
        </w:tblCellMar>
      </w:tblPr>
      <w:tblGrid>
        <w:gridCol w:w="775"/>
        <w:gridCol w:w="5128"/>
        <w:gridCol w:w="1138"/>
        <w:gridCol w:w="4031"/>
        <w:gridCol w:w="2589"/>
      </w:tblGrid>
      <w:tr>
        <w:tblPrEx>
          <w:tblCellMar>
            <w:top w:w="0" w:type="dxa"/>
            <w:left w:w="108" w:type="dxa"/>
            <w:bottom w:w="0" w:type="dxa"/>
            <w:right w:w="108" w:type="dxa"/>
          </w:tblCellMar>
        </w:tblPrEx>
        <w:trPr>
          <w:trHeight w:val="705" w:hRule="atLeast"/>
        </w:trPr>
        <w:tc>
          <w:tcPr>
            <w:tcW w:w="13661" w:type="dxa"/>
            <w:gridSpan w:val="5"/>
            <w:tcBorders>
              <w:top w:val="nil"/>
              <w:left w:val="nil"/>
              <w:bottom w:val="nil"/>
              <w:right w:val="nil"/>
            </w:tcBorders>
            <w:noWrap/>
            <w:vAlign w:val="center"/>
          </w:tcPr>
          <w:p>
            <w:pPr>
              <w:widowControl/>
              <w:jc w:val="center"/>
              <w:rPr>
                <w:rFonts w:ascii="宋体" w:hAnsi="宋体" w:cs="宋体"/>
                <w:color w:val="000000"/>
                <w:kern w:val="0"/>
                <w:sz w:val="36"/>
                <w:szCs w:val="36"/>
              </w:rPr>
            </w:pPr>
            <w:r>
              <w:rPr>
                <w:rFonts w:hint="eastAsia" w:ascii="宋体" w:hAnsi="宋体" w:cs="宋体"/>
                <w:color w:val="000000"/>
                <w:kern w:val="0"/>
                <w:sz w:val="36"/>
                <w:szCs w:val="36"/>
              </w:rPr>
              <w:t>单位预算收支总表</w:t>
            </w:r>
          </w:p>
        </w:tc>
      </w:tr>
      <w:tr>
        <w:tblPrEx>
          <w:tblCellMar>
            <w:top w:w="0" w:type="dxa"/>
            <w:left w:w="108" w:type="dxa"/>
            <w:bottom w:w="0" w:type="dxa"/>
            <w:right w:w="108" w:type="dxa"/>
          </w:tblCellMar>
        </w:tblPrEx>
        <w:trPr>
          <w:trHeight w:val="360" w:hRule="atLeast"/>
        </w:trPr>
        <w:tc>
          <w:tcPr>
            <w:tcW w:w="7041" w:type="dxa"/>
            <w:gridSpan w:val="3"/>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预算单位编码及名称：[314003]宁晋县民政事业服务中心</w:t>
            </w:r>
          </w:p>
        </w:tc>
        <w:tc>
          <w:tcPr>
            <w:tcW w:w="4031" w:type="dxa"/>
            <w:tcBorders>
              <w:top w:val="nil"/>
              <w:left w:val="nil"/>
              <w:bottom w:val="nil"/>
              <w:right w:val="nil"/>
            </w:tcBorders>
            <w:noWrap/>
            <w:vAlign w:val="center"/>
          </w:tcPr>
          <w:p>
            <w:pPr>
              <w:widowControl/>
              <w:jc w:val="right"/>
              <w:rPr>
                <w:rFonts w:hint="eastAsia" w:ascii="宋体" w:hAnsi="宋体" w:cs="宋体"/>
                <w:color w:val="000000"/>
                <w:kern w:val="0"/>
                <w:sz w:val="22"/>
              </w:rPr>
            </w:pPr>
            <w:r>
              <w:rPr>
                <w:rFonts w:hint="eastAsia" w:ascii="宋体" w:hAnsi="宋体" w:cs="宋体"/>
                <w:color w:val="000000"/>
                <w:kern w:val="0"/>
                <w:sz w:val="22"/>
              </w:rPr>
              <w:t>预算年度：2021</w:t>
            </w:r>
          </w:p>
        </w:tc>
        <w:tc>
          <w:tcPr>
            <w:tcW w:w="2589" w:type="dxa"/>
            <w:tcBorders>
              <w:top w:val="nil"/>
              <w:left w:val="nil"/>
              <w:bottom w:val="nil"/>
              <w:right w:val="nil"/>
            </w:tcBorders>
            <w:noWrap/>
            <w:vAlign w:val="center"/>
          </w:tcPr>
          <w:p>
            <w:pPr>
              <w:widowControl/>
              <w:jc w:val="right"/>
              <w:rPr>
                <w:rFonts w:ascii="宋体" w:hAnsi="宋体" w:cs="宋体"/>
                <w:color w:val="000000"/>
                <w:kern w:val="0"/>
                <w:sz w:val="22"/>
              </w:rPr>
            </w:pPr>
            <w:r>
              <w:rPr>
                <w:rFonts w:hint="eastAsia" w:ascii="宋体" w:hAnsi="宋体" w:cs="宋体"/>
                <w:color w:val="000000"/>
                <w:kern w:val="0"/>
                <w:sz w:val="22"/>
              </w:rPr>
              <w:t>金额单位：万元</w:t>
            </w:r>
          </w:p>
        </w:tc>
      </w:tr>
      <w:tr>
        <w:tblPrEx>
          <w:tblCellMar>
            <w:top w:w="0" w:type="dxa"/>
            <w:left w:w="108" w:type="dxa"/>
            <w:bottom w:w="0" w:type="dxa"/>
            <w:right w:w="108" w:type="dxa"/>
          </w:tblCellMar>
        </w:tblPrEx>
        <w:trPr>
          <w:trHeight w:val="360" w:hRule="atLeast"/>
        </w:trPr>
        <w:tc>
          <w:tcPr>
            <w:tcW w:w="775"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序号</w:t>
            </w:r>
          </w:p>
        </w:tc>
        <w:tc>
          <w:tcPr>
            <w:tcW w:w="6266"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收入</w:t>
            </w:r>
          </w:p>
        </w:tc>
        <w:tc>
          <w:tcPr>
            <w:tcW w:w="6620"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支出</w:t>
            </w:r>
          </w:p>
        </w:tc>
      </w:tr>
      <w:tr>
        <w:tblPrEx>
          <w:tblCellMar>
            <w:top w:w="0" w:type="dxa"/>
            <w:left w:w="108" w:type="dxa"/>
            <w:bottom w:w="0" w:type="dxa"/>
            <w:right w:w="108" w:type="dxa"/>
          </w:tblCellMar>
        </w:tblPrEx>
        <w:trPr>
          <w:trHeight w:val="360" w:hRule="atLeast"/>
        </w:trPr>
        <w:tc>
          <w:tcPr>
            <w:tcW w:w="77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512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113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预算数</w:t>
            </w:r>
          </w:p>
        </w:tc>
        <w:tc>
          <w:tcPr>
            <w:tcW w:w="4031"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2589"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预算数</w:t>
            </w:r>
          </w:p>
        </w:tc>
      </w:tr>
      <w:tr>
        <w:tblPrEx>
          <w:tblCellMar>
            <w:top w:w="0" w:type="dxa"/>
            <w:left w:w="108" w:type="dxa"/>
            <w:bottom w:w="0" w:type="dxa"/>
            <w:right w:w="108" w:type="dxa"/>
          </w:tblCellMar>
        </w:tblPrEx>
        <w:trPr>
          <w:trHeight w:val="360"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512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13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4031"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2589"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4</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一、一般公共预算拨款收入</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1</w:t>
            </w:r>
            <w:r>
              <w:rPr>
                <w:rFonts w:hint="eastAsia" w:cs="Calibri"/>
                <w:color w:val="000000"/>
                <w:kern w:val="0"/>
                <w:sz w:val="22"/>
              </w:rPr>
              <w:t>31.73</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一、一般公共服务支出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二、政府性基金预算拨款收入</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二、外交支出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3</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三、国有资本经营预算拨款收入</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三、国防支出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4</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四、财政专户管理资金收入</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四、公共安全支出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5</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五、事业收入</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五、教育支出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6</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六、事业单位经营收入</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六、科学技术支出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7</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七、上级补助收入</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七、文化旅游体育与传媒支出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8</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八、附属单位上缴收入</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八、社会保障和就业支出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9</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九、其他收入</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九、社会保险基金支出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10</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十、卫生健康支出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11</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十一、节能环保支出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12</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十二、城乡社区支出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13</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十三、农林水支出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14</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十四、交通运输支出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15</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十五、资源勘探工业信息等支出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16</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十六、商业服务业等支出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17</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十七、金融支出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18</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十八、援助其他地区支出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19</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十九、自然资源海洋气象等支出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20</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二十、住房保障支出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21</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二十一、粮油物资储备支出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22</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二十二、国有资本经营预算支出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23</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二十三、灾害防治及应急管理支出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24</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二十四、预备费</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25</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二十五、其他支出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26</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二十六、转移性支出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27</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二十七、灾害防治及应急管理共同财政事权转移支付支出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28</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二十八、债务还本支出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29</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二十九、债务付息支出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30</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三十、债务发行费用支出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31</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0"/>
            <w:vAlign w:val="center"/>
          </w:tcPr>
          <w:p>
            <w:pPr>
              <w:widowControl/>
              <w:jc w:val="left"/>
              <w:rPr>
                <w:rFonts w:cs="Calibri"/>
                <w:color w:val="000000"/>
                <w:kern w:val="0"/>
                <w:sz w:val="22"/>
              </w:rPr>
            </w:pPr>
            <w:r>
              <w:rPr>
                <w:rFonts w:cs="Calibri"/>
                <w:color w:val="000000"/>
                <w:kern w:val="0"/>
                <w:sz w:val="22"/>
              </w:rPr>
              <w:t>三十一、抗疫特别国债安排的支出</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32</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本年收入合计</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c>
          <w:tcPr>
            <w:tcW w:w="4031"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本年支出合计</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33</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上年结转结余</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4031"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年终结转结余</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585" w:hRule="atLeast"/>
        </w:trPr>
        <w:tc>
          <w:tcPr>
            <w:tcW w:w="775"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34</w:t>
            </w:r>
          </w:p>
        </w:tc>
        <w:tc>
          <w:tcPr>
            <w:tcW w:w="5128"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收入总计</w:t>
            </w:r>
          </w:p>
        </w:tc>
        <w:tc>
          <w:tcPr>
            <w:tcW w:w="1138"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c>
          <w:tcPr>
            <w:tcW w:w="4031"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支出总计</w:t>
            </w:r>
          </w:p>
        </w:tc>
        <w:tc>
          <w:tcPr>
            <w:tcW w:w="258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r>
    </w:tbl>
    <w:p>
      <w:pPr>
        <w:rPr>
          <w:rFonts w:hint="eastAsia"/>
        </w:rPr>
      </w:pPr>
    </w:p>
    <w:p>
      <w:pPr>
        <w:rPr>
          <w:rFonts w:hint="eastAsia"/>
        </w:rPr>
      </w:pPr>
    </w:p>
    <w:p>
      <w:pPr>
        <w:rPr>
          <w:rFonts w:hint="eastAsia"/>
        </w:rPr>
      </w:pPr>
    </w:p>
    <w:p>
      <w:pPr>
        <w:rPr>
          <w:rFonts w:hint="eastAsia"/>
        </w:rPr>
      </w:pPr>
    </w:p>
    <w:p>
      <w:pPr>
        <w:rPr>
          <w:rFonts w:hint="eastAsia"/>
        </w:rPr>
      </w:pPr>
    </w:p>
    <w:tbl>
      <w:tblPr>
        <w:tblStyle w:val="8"/>
        <w:tblW w:w="14380" w:type="dxa"/>
        <w:tblInd w:w="93" w:type="dxa"/>
        <w:tblLayout w:type="fixed"/>
        <w:tblCellMar>
          <w:top w:w="0" w:type="dxa"/>
          <w:left w:w="108" w:type="dxa"/>
          <w:bottom w:w="0" w:type="dxa"/>
          <w:right w:w="108" w:type="dxa"/>
        </w:tblCellMar>
      </w:tblPr>
      <w:tblGrid>
        <w:gridCol w:w="662"/>
        <w:gridCol w:w="1317"/>
        <w:gridCol w:w="2962"/>
        <w:gridCol w:w="906"/>
        <w:gridCol w:w="1199"/>
        <w:gridCol w:w="1255"/>
        <w:gridCol w:w="598"/>
        <w:gridCol w:w="626"/>
        <w:gridCol w:w="640"/>
        <w:gridCol w:w="936"/>
        <w:gridCol w:w="1048"/>
        <w:gridCol w:w="950"/>
        <w:gridCol w:w="1281"/>
      </w:tblGrid>
      <w:tr>
        <w:tblPrEx>
          <w:tblCellMar>
            <w:top w:w="0" w:type="dxa"/>
            <w:left w:w="108" w:type="dxa"/>
            <w:bottom w:w="0" w:type="dxa"/>
            <w:right w:w="108" w:type="dxa"/>
          </w:tblCellMar>
        </w:tblPrEx>
        <w:trPr>
          <w:trHeight w:val="855" w:hRule="atLeast"/>
        </w:trPr>
        <w:tc>
          <w:tcPr>
            <w:tcW w:w="14380" w:type="dxa"/>
            <w:gridSpan w:val="13"/>
            <w:tcBorders>
              <w:top w:val="nil"/>
              <w:left w:val="nil"/>
              <w:bottom w:val="nil"/>
              <w:right w:val="nil"/>
            </w:tcBorders>
            <w:noWrap/>
            <w:vAlign w:val="center"/>
          </w:tcPr>
          <w:p>
            <w:pPr>
              <w:widowControl/>
              <w:jc w:val="center"/>
              <w:rPr>
                <w:rFonts w:hint="eastAsia" w:ascii="宋体" w:hAnsi="宋体" w:cs="宋体"/>
                <w:color w:val="000000"/>
                <w:kern w:val="0"/>
                <w:sz w:val="36"/>
                <w:szCs w:val="36"/>
              </w:rPr>
            </w:pPr>
          </w:p>
          <w:p>
            <w:pPr>
              <w:widowControl/>
              <w:jc w:val="center"/>
              <w:rPr>
                <w:rFonts w:hint="eastAsia" w:ascii="宋体" w:hAnsi="宋体" w:cs="宋体"/>
                <w:color w:val="000000"/>
                <w:kern w:val="0"/>
                <w:sz w:val="36"/>
                <w:szCs w:val="36"/>
              </w:rPr>
            </w:pPr>
          </w:p>
          <w:p>
            <w:pPr>
              <w:widowControl/>
              <w:jc w:val="center"/>
              <w:rPr>
                <w:rFonts w:hint="eastAsia" w:ascii="宋体" w:hAnsi="宋体" w:cs="宋体"/>
                <w:color w:val="000000"/>
                <w:kern w:val="0"/>
                <w:sz w:val="36"/>
                <w:szCs w:val="36"/>
              </w:rPr>
            </w:pPr>
          </w:p>
          <w:p>
            <w:pPr>
              <w:widowControl/>
              <w:jc w:val="center"/>
              <w:rPr>
                <w:rFonts w:hint="eastAsia" w:ascii="宋体" w:hAnsi="宋体" w:cs="宋体"/>
                <w:color w:val="000000"/>
                <w:kern w:val="0"/>
                <w:sz w:val="36"/>
                <w:szCs w:val="36"/>
              </w:rPr>
            </w:pPr>
          </w:p>
          <w:p>
            <w:pPr>
              <w:widowControl/>
              <w:jc w:val="center"/>
              <w:rPr>
                <w:rFonts w:ascii="宋体" w:hAnsi="宋体" w:cs="宋体"/>
                <w:color w:val="000000"/>
                <w:kern w:val="0"/>
                <w:sz w:val="36"/>
                <w:szCs w:val="36"/>
              </w:rPr>
            </w:pPr>
            <w:r>
              <w:rPr>
                <w:rFonts w:hint="eastAsia" w:ascii="宋体" w:hAnsi="宋体" w:cs="宋体"/>
                <w:color w:val="000000"/>
                <w:kern w:val="0"/>
                <w:sz w:val="36"/>
                <w:szCs w:val="36"/>
              </w:rPr>
              <w:t>单位预算收入总表</w:t>
            </w:r>
          </w:p>
        </w:tc>
      </w:tr>
      <w:tr>
        <w:tblPrEx>
          <w:tblCellMar>
            <w:top w:w="0" w:type="dxa"/>
            <w:left w:w="108" w:type="dxa"/>
            <w:bottom w:w="0" w:type="dxa"/>
            <w:right w:w="108" w:type="dxa"/>
          </w:tblCellMar>
        </w:tblPrEx>
        <w:trPr>
          <w:trHeight w:val="360" w:hRule="atLeast"/>
        </w:trPr>
        <w:tc>
          <w:tcPr>
            <w:tcW w:w="10165" w:type="dxa"/>
            <w:gridSpan w:val="9"/>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预算单位编码及名称：[314003]宁晋县民政事业服务中心</w:t>
            </w:r>
          </w:p>
        </w:tc>
        <w:tc>
          <w:tcPr>
            <w:tcW w:w="1984" w:type="dxa"/>
            <w:gridSpan w:val="2"/>
            <w:tcBorders>
              <w:top w:val="nil"/>
              <w:left w:val="nil"/>
              <w:bottom w:val="nil"/>
              <w:right w:val="nil"/>
            </w:tcBorders>
            <w:noWrap/>
            <w:vAlign w:val="center"/>
          </w:tcPr>
          <w:p>
            <w:pPr>
              <w:widowControl/>
              <w:jc w:val="right"/>
              <w:rPr>
                <w:rFonts w:hint="eastAsia" w:ascii="宋体" w:hAnsi="宋体" w:cs="宋体"/>
                <w:color w:val="000000"/>
                <w:kern w:val="0"/>
                <w:sz w:val="22"/>
              </w:rPr>
            </w:pPr>
            <w:r>
              <w:rPr>
                <w:rFonts w:hint="eastAsia" w:ascii="宋体" w:hAnsi="宋体" w:cs="宋体"/>
                <w:color w:val="000000"/>
                <w:kern w:val="0"/>
                <w:sz w:val="22"/>
              </w:rPr>
              <w:t>预算年度：2021</w:t>
            </w:r>
          </w:p>
        </w:tc>
        <w:tc>
          <w:tcPr>
            <w:tcW w:w="2231" w:type="dxa"/>
            <w:gridSpan w:val="2"/>
            <w:tcBorders>
              <w:top w:val="nil"/>
              <w:left w:val="nil"/>
              <w:bottom w:val="nil"/>
              <w:right w:val="nil"/>
            </w:tcBorders>
            <w:noWrap/>
            <w:vAlign w:val="center"/>
          </w:tcPr>
          <w:p>
            <w:pPr>
              <w:widowControl/>
              <w:jc w:val="right"/>
              <w:rPr>
                <w:rFonts w:ascii="宋体" w:hAnsi="宋体" w:cs="宋体"/>
                <w:color w:val="000000"/>
                <w:kern w:val="0"/>
                <w:sz w:val="22"/>
              </w:rPr>
            </w:pPr>
            <w:r>
              <w:rPr>
                <w:rFonts w:hint="eastAsia" w:ascii="宋体" w:hAnsi="宋体" w:cs="宋体"/>
                <w:color w:val="000000"/>
                <w:kern w:val="0"/>
                <w:sz w:val="22"/>
              </w:rPr>
              <w:t>金额单位：万元</w:t>
            </w:r>
          </w:p>
        </w:tc>
      </w:tr>
      <w:tr>
        <w:tblPrEx>
          <w:tblCellMar>
            <w:top w:w="0" w:type="dxa"/>
            <w:left w:w="108" w:type="dxa"/>
            <w:bottom w:w="0" w:type="dxa"/>
            <w:right w:w="108" w:type="dxa"/>
          </w:tblCellMar>
        </w:tblPrEx>
        <w:trPr>
          <w:trHeight w:val="360" w:hRule="atLeast"/>
        </w:trPr>
        <w:tc>
          <w:tcPr>
            <w:tcW w:w="662"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序号</w:t>
            </w:r>
          </w:p>
        </w:tc>
        <w:tc>
          <w:tcPr>
            <w:tcW w:w="4279"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功能分类科目</w:t>
            </w:r>
          </w:p>
        </w:tc>
        <w:tc>
          <w:tcPr>
            <w:tcW w:w="906"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7252" w:type="dxa"/>
            <w:gridSpan w:val="8"/>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本年收入</w:t>
            </w:r>
          </w:p>
        </w:tc>
        <w:tc>
          <w:tcPr>
            <w:tcW w:w="1281"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上年结转</w:t>
            </w:r>
          </w:p>
        </w:tc>
      </w:tr>
      <w:tr>
        <w:tblPrEx>
          <w:tblCellMar>
            <w:top w:w="0" w:type="dxa"/>
            <w:left w:w="108" w:type="dxa"/>
            <w:bottom w:w="0" w:type="dxa"/>
            <w:right w:w="108" w:type="dxa"/>
          </w:tblCellMar>
        </w:tblPrEx>
        <w:trPr>
          <w:trHeight w:val="735" w:hRule="atLeast"/>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1317"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科目编码</w:t>
            </w:r>
          </w:p>
        </w:tc>
        <w:tc>
          <w:tcPr>
            <w:tcW w:w="2962"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90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1199"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小计</w:t>
            </w:r>
          </w:p>
        </w:tc>
        <w:tc>
          <w:tcPr>
            <w:tcW w:w="1255"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财政拨款收入</w:t>
            </w:r>
          </w:p>
        </w:tc>
        <w:tc>
          <w:tcPr>
            <w:tcW w:w="598"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财政专户收入</w:t>
            </w:r>
          </w:p>
        </w:tc>
        <w:tc>
          <w:tcPr>
            <w:tcW w:w="626"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事业收入</w:t>
            </w:r>
          </w:p>
        </w:tc>
        <w:tc>
          <w:tcPr>
            <w:tcW w:w="640"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经营收入</w:t>
            </w:r>
          </w:p>
        </w:tc>
        <w:tc>
          <w:tcPr>
            <w:tcW w:w="936"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上级补助收入</w:t>
            </w:r>
          </w:p>
        </w:tc>
        <w:tc>
          <w:tcPr>
            <w:tcW w:w="1048"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附属单位上缴收入</w:t>
            </w:r>
          </w:p>
        </w:tc>
        <w:tc>
          <w:tcPr>
            <w:tcW w:w="950"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其他收入</w:t>
            </w:r>
          </w:p>
        </w:tc>
        <w:tc>
          <w:tcPr>
            <w:tcW w:w="12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r>
      <w:tr>
        <w:tblPrEx>
          <w:tblCellMar>
            <w:top w:w="0" w:type="dxa"/>
            <w:left w:w="108" w:type="dxa"/>
            <w:bottom w:w="0" w:type="dxa"/>
            <w:right w:w="108" w:type="dxa"/>
          </w:tblCellMar>
        </w:tblPrEx>
        <w:trPr>
          <w:trHeight w:val="360" w:hRule="atLeast"/>
        </w:trPr>
        <w:tc>
          <w:tcPr>
            <w:tcW w:w="662"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1317"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296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90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1199"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125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59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6</w:t>
            </w:r>
          </w:p>
        </w:tc>
        <w:tc>
          <w:tcPr>
            <w:tcW w:w="62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7</w:t>
            </w:r>
          </w:p>
        </w:tc>
        <w:tc>
          <w:tcPr>
            <w:tcW w:w="64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8</w:t>
            </w:r>
          </w:p>
        </w:tc>
        <w:tc>
          <w:tcPr>
            <w:tcW w:w="93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9</w:t>
            </w:r>
          </w:p>
        </w:tc>
        <w:tc>
          <w:tcPr>
            <w:tcW w:w="104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10</w:t>
            </w:r>
          </w:p>
        </w:tc>
        <w:tc>
          <w:tcPr>
            <w:tcW w:w="95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11</w:t>
            </w:r>
          </w:p>
        </w:tc>
        <w:tc>
          <w:tcPr>
            <w:tcW w:w="1281"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12</w:t>
            </w:r>
          </w:p>
        </w:tc>
      </w:tr>
      <w:tr>
        <w:tblPrEx>
          <w:tblCellMar>
            <w:top w:w="0" w:type="dxa"/>
            <w:left w:w="108" w:type="dxa"/>
            <w:bottom w:w="0" w:type="dxa"/>
            <w:right w:w="108" w:type="dxa"/>
          </w:tblCellMar>
        </w:tblPrEx>
        <w:trPr>
          <w:trHeight w:val="330" w:hRule="atLeast"/>
        </w:trPr>
        <w:tc>
          <w:tcPr>
            <w:tcW w:w="662"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1</w:t>
            </w:r>
          </w:p>
        </w:tc>
        <w:tc>
          <w:tcPr>
            <w:tcW w:w="1317"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　</w:t>
            </w:r>
          </w:p>
        </w:tc>
        <w:tc>
          <w:tcPr>
            <w:tcW w:w="2962"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合计</w:t>
            </w:r>
          </w:p>
        </w:tc>
        <w:tc>
          <w:tcPr>
            <w:tcW w:w="90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199"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255"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59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62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64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93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04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95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281"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662"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2</w:t>
            </w:r>
          </w:p>
        </w:tc>
        <w:tc>
          <w:tcPr>
            <w:tcW w:w="1317"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208</w:t>
            </w:r>
          </w:p>
        </w:tc>
        <w:tc>
          <w:tcPr>
            <w:tcW w:w="2962"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社会保障和就业支出</w:t>
            </w:r>
          </w:p>
        </w:tc>
        <w:tc>
          <w:tcPr>
            <w:tcW w:w="90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199"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255"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59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62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64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93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04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95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281"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662"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3</w:t>
            </w:r>
          </w:p>
        </w:tc>
        <w:tc>
          <w:tcPr>
            <w:tcW w:w="1317"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20810</w:t>
            </w:r>
          </w:p>
        </w:tc>
        <w:tc>
          <w:tcPr>
            <w:tcW w:w="2962"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社会福利</w:t>
            </w:r>
          </w:p>
        </w:tc>
        <w:tc>
          <w:tcPr>
            <w:tcW w:w="90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199"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255"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59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62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64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93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04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95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281"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662"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4</w:t>
            </w:r>
          </w:p>
        </w:tc>
        <w:tc>
          <w:tcPr>
            <w:tcW w:w="1317"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2081005</w:t>
            </w:r>
          </w:p>
        </w:tc>
        <w:tc>
          <w:tcPr>
            <w:tcW w:w="2962"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社会福利事业单位</w:t>
            </w:r>
          </w:p>
        </w:tc>
        <w:tc>
          <w:tcPr>
            <w:tcW w:w="90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199"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255"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59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62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64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93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04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95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281"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00" w:hRule="atLeast"/>
        </w:trPr>
        <w:tc>
          <w:tcPr>
            <w:tcW w:w="662" w:type="dxa"/>
            <w:tcBorders>
              <w:top w:val="nil"/>
              <w:left w:val="nil"/>
              <w:bottom w:val="nil"/>
              <w:right w:val="nil"/>
            </w:tcBorders>
            <w:noWrap/>
            <w:vAlign w:val="top"/>
          </w:tcPr>
          <w:p>
            <w:pPr>
              <w:widowControl/>
              <w:jc w:val="center"/>
              <w:rPr>
                <w:rFonts w:cs="Calibri"/>
                <w:color w:val="000000"/>
                <w:kern w:val="0"/>
                <w:sz w:val="22"/>
              </w:rPr>
            </w:pPr>
          </w:p>
        </w:tc>
        <w:tc>
          <w:tcPr>
            <w:tcW w:w="1317" w:type="dxa"/>
            <w:tcBorders>
              <w:top w:val="nil"/>
              <w:left w:val="nil"/>
              <w:bottom w:val="nil"/>
              <w:right w:val="nil"/>
            </w:tcBorders>
            <w:noWrap/>
            <w:vAlign w:val="top"/>
          </w:tcPr>
          <w:p>
            <w:pPr>
              <w:widowControl/>
              <w:jc w:val="left"/>
              <w:rPr>
                <w:rFonts w:cs="Calibri"/>
                <w:color w:val="000000"/>
                <w:kern w:val="0"/>
                <w:sz w:val="22"/>
              </w:rPr>
            </w:pPr>
          </w:p>
        </w:tc>
        <w:tc>
          <w:tcPr>
            <w:tcW w:w="2962" w:type="dxa"/>
            <w:tcBorders>
              <w:top w:val="nil"/>
              <w:left w:val="nil"/>
              <w:bottom w:val="nil"/>
              <w:right w:val="nil"/>
            </w:tcBorders>
            <w:noWrap/>
            <w:vAlign w:val="top"/>
          </w:tcPr>
          <w:p>
            <w:pPr>
              <w:widowControl/>
              <w:jc w:val="left"/>
              <w:rPr>
                <w:rFonts w:cs="Calibri"/>
                <w:color w:val="000000"/>
                <w:kern w:val="0"/>
                <w:sz w:val="22"/>
              </w:rPr>
            </w:pPr>
          </w:p>
        </w:tc>
        <w:tc>
          <w:tcPr>
            <w:tcW w:w="906" w:type="dxa"/>
            <w:tcBorders>
              <w:top w:val="nil"/>
              <w:left w:val="nil"/>
              <w:bottom w:val="nil"/>
              <w:right w:val="nil"/>
            </w:tcBorders>
            <w:noWrap/>
            <w:vAlign w:val="top"/>
          </w:tcPr>
          <w:p>
            <w:pPr>
              <w:widowControl/>
              <w:jc w:val="right"/>
              <w:rPr>
                <w:rFonts w:cs="Calibri"/>
                <w:color w:val="000000"/>
                <w:kern w:val="0"/>
                <w:sz w:val="22"/>
              </w:rPr>
            </w:pPr>
          </w:p>
        </w:tc>
        <w:tc>
          <w:tcPr>
            <w:tcW w:w="1199" w:type="dxa"/>
            <w:tcBorders>
              <w:top w:val="nil"/>
              <w:left w:val="nil"/>
              <w:bottom w:val="nil"/>
              <w:right w:val="nil"/>
            </w:tcBorders>
            <w:noWrap/>
            <w:vAlign w:val="top"/>
          </w:tcPr>
          <w:p>
            <w:pPr>
              <w:widowControl/>
              <w:jc w:val="right"/>
              <w:rPr>
                <w:rFonts w:cs="Calibri"/>
                <w:color w:val="000000"/>
                <w:kern w:val="0"/>
                <w:sz w:val="22"/>
              </w:rPr>
            </w:pPr>
          </w:p>
        </w:tc>
        <w:tc>
          <w:tcPr>
            <w:tcW w:w="1255" w:type="dxa"/>
            <w:tcBorders>
              <w:top w:val="nil"/>
              <w:left w:val="nil"/>
              <w:bottom w:val="nil"/>
              <w:right w:val="nil"/>
            </w:tcBorders>
            <w:noWrap/>
            <w:vAlign w:val="top"/>
          </w:tcPr>
          <w:p>
            <w:pPr>
              <w:widowControl/>
              <w:jc w:val="right"/>
              <w:rPr>
                <w:rFonts w:cs="Calibri"/>
                <w:color w:val="000000"/>
                <w:kern w:val="0"/>
                <w:sz w:val="22"/>
              </w:rPr>
            </w:pPr>
          </w:p>
        </w:tc>
        <w:tc>
          <w:tcPr>
            <w:tcW w:w="598" w:type="dxa"/>
            <w:tcBorders>
              <w:top w:val="nil"/>
              <w:left w:val="nil"/>
              <w:bottom w:val="nil"/>
              <w:right w:val="nil"/>
            </w:tcBorders>
            <w:noWrap/>
            <w:vAlign w:val="top"/>
          </w:tcPr>
          <w:p>
            <w:pPr>
              <w:widowControl/>
              <w:jc w:val="right"/>
              <w:rPr>
                <w:rFonts w:cs="Calibri"/>
                <w:color w:val="000000"/>
                <w:kern w:val="0"/>
                <w:sz w:val="22"/>
              </w:rPr>
            </w:pPr>
          </w:p>
        </w:tc>
        <w:tc>
          <w:tcPr>
            <w:tcW w:w="626" w:type="dxa"/>
            <w:tcBorders>
              <w:top w:val="nil"/>
              <w:left w:val="nil"/>
              <w:bottom w:val="nil"/>
              <w:right w:val="nil"/>
            </w:tcBorders>
            <w:noWrap/>
            <w:vAlign w:val="top"/>
          </w:tcPr>
          <w:p>
            <w:pPr>
              <w:widowControl/>
              <w:jc w:val="right"/>
              <w:rPr>
                <w:rFonts w:cs="Calibri"/>
                <w:color w:val="000000"/>
                <w:kern w:val="0"/>
                <w:sz w:val="22"/>
              </w:rPr>
            </w:pPr>
          </w:p>
        </w:tc>
        <w:tc>
          <w:tcPr>
            <w:tcW w:w="640" w:type="dxa"/>
            <w:tcBorders>
              <w:top w:val="nil"/>
              <w:left w:val="nil"/>
              <w:bottom w:val="nil"/>
              <w:right w:val="nil"/>
            </w:tcBorders>
            <w:noWrap/>
            <w:vAlign w:val="top"/>
          </w:tcPr>
          <w:p>
            <w:pPr>
              <w:widowControl/>
              <w:jc w:val="right"/>
              <w:rPr>
                <w:rFonts w:cs="Calibri"/>
                <w:color w:val="000000"/>
                <w:kern w:val="0"/>
                <w:sz w:val="22"/>
              </w:rPr>
            </w:pPr>
          </w:p>
        </w:tc>
        <w:tc>
          <w:tcPr>
            <w:tcW w:w="936" w:type="dxa"/>
            <w:tcBorders>
              <w:top w:val="nil"/>
              <w:left w:val="nil"/>
              <w:bottom w:val="nil"/>
              <w:right w:val="nil"/>
            </w:tcBorders>
            <w:noWrap/>
            <w:vAlign w:val="top"/>
          </w:tcPr>
          <w:p>
            <w:pPr>
              <w:widowControl/>
              <w:jc w:val="right"/>
              <w:rPr>
                <w:rFonts w:cs="Calibri"/>
                <w:color w:val="000000"/>
                <w:kern w:val="0"/>
                <w:sz w:val="22"/>
              </w:rPr>
            </w:pPr>
          </w:p>
        </w:tc>
        <w:tc>
          <w:tcPr>
            <w:tcW w:w="1048" w:type="dxa"/>
            <w:tcBorders>
              <w:top w:val="nil"/>
              <w:left w:val="nil"/>
              <w:bottom w:val="nil"/>
              <w:right w:val="nil"/>
            </w:tcBorders>
            <w:noWrap/>
            <w:vAlign w:val="top"/>
          </w:tcPr>
          <w:p>
            <w:pPr>
              <w:widowControl/>
              <w:jc w:val="right"/>
              <w:rPr>
                <w:rFonts w:cs="Calibri"/>
                <w:color w:val="000000"/>
                <w:kern w:val="0"/>
                <w:sz w:val="22"/>
              </w:rPr>
            </w:pPr>
          </w:p>
        </w:tc>
        <w:tc>
          <w:tcPr>
            <w:tcW w:w="950" w:type="dxa"/>
            <w:tcBorders>
              <w:top w:val="nil"/>
              <w:left w:val="nil"/>
              <w:bottom w:val="nil"/>
              <w:right w:val="nil"/>
            </w:tcBorders>
            <w:noWrap/>
            <w:vAlign w:val="top"/>
          </w:tcPr>
          <w:p>
            <w:pPr>
              <w:widowControl/>
              <w:jc w:val="right"/>
              <w:rPr>
                <w:rFonts w:cs="Calibri"/>
                <w:color w:val="000000"/>
                <w:kern w:val="0"/>
                <w:sz w:val="22"/>
              </w:rPr>
            </w:pPr>
          </w:p>
        </w:tc>
        <w:tc>
          <w:tcPr>
            <w:tcW w:w="1281" w:type="dxa"/>
            <w:tcBorders>
              <w:top w:val="nil"/>
              <w:left w:val="nil"/>
              <w:bottom w:val="nil"/>
              <w:right w:val="nil"/>
            </w:tcBorders>
            <w:noWrap/>
            <w:vAlign w:val="top"/>
          </w:tcPr>
          <w:p>
            <w:pPr>
              <w:widowControl/>
              <w:jc w:val="right"/>
              <w:rPr>
                <w:rFonts w:cs="Calibri"/>
                <w:color w:val="000000"/>
                <w:kern w:val="0"/>
                <w:sz w:val="22"/>
              </w:rPr>
            </w:pPr>
          </w:p>
        </w:tc>
      </w:tr>
    </w:tbl>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tbl>
      <w:tblPr>
        <w:tblStyle w:val="8"/>
        <w:tblW w:w="14160" w:type="dxa"/>
        <w:tblInd w:w="93" w:type="dxa"/>
        <w:tblLayout w:type="fixed"/>
        <w:tblCellMar>
          <w:top w:w="0" w:type="dxa"/>
          <w:left w:w="108" w:type="dxa"/>
          <w:bottom w:w="0" w:type="dxa"/>
          <w:right w:w="108" w:type="dxa"/>
        </w:tblCellMar>
      </w:tblPr>
      <w:tblGrid>
        <w:gridCol w:w="860"/>
        <w:gridCol w:w="1060"/>
        <w:gridCol w:w="2560"/>
        <w:gridCol w:w="1660"/>
        <w:gridCol w:w="1640"/>
        <w:gridCol w:w="1380"/>
        <w:gridCol w:w="1300"/>
        <w:gridCol w:w="1800"/>
        <w:gridCol w:w="1900"/>
      </w:tblGrid>
      <w:tr>
        <w:tblPrEx>
          <w:tblCellMar>
            <w:top w:w="0" w:type="dxa"/>
            <w:left w:w="108" w:type="dxa"/>
            <w:bottom w:w="0" w:type="dxa"/>
            <w:right w:w="108" w:type="dxa"/>
          </w:tblCellMar>
        </w:tblPrEx>
        <w:trPr>
          <w:trHeight w:val="765" w:hRule="atLeast"/>
        </w:trPr>
        <w:tc>
          <w:tcPr>
            <w:tcW w:w="14160" w:type="dxa"/>
            <w:gridSpan w:val="9"/>
            <w:tcBorders>
              <w:top w:val="nil"/>
              <w:left w:val="nil"/>
              <w:bottom w:val="nil"/>
              <w:right w:val="nil"/>
            </w:tcBorders>
            <w:noWrap/>
            <w:vAlign w:val="center"/>
          </w:tcPr>
          <w:p>
            <w:pPr>
              <w:widowControl/>
              <w:jc w:val="center"/>
              <w:rPr>
                <w:rFonts w:hint="eastAsia" w:ascii="宋体" w:hAnsi="宋体" w:cs="宋体"/>
                <w:color w:val="000000"/>
                <w:kern w:val="0"/>
                <w:sz w:val="36"/>
                <w:szCs w:val="36"/>
              </w:rPr>
            </w:pPr>
          </w:p>
          <w:p>
            <w:pPr>
              <w:widowControl/>
              <w:jc w:val="center"/>
              <w:rPr>
                <w:rFonts w:ascii="宋体" w:hAnsi="宋体" w:cs="宋体"/>
                <w:color w:val="000000"/>
                <w:kern w:val="0"/>
                <w:sz w:val="36"/>
                <w:szCs w:val="36"/>
              </w:rPr>
            </w:pPr>
            <w:r>
              <w:rPr>
                <w:rFonts w:hint="eastAsia" w:ascii="宋体" w:hAnsi="宋体" w:cs="宋体"/>
                <w:color w:val="000000"/>
                <w:kern w:val="0"/>
                <w:sz w:val="36"/>
                <w:szCs w:val="36"/>
              </w:rPr>
              <w:t>单位预算支出总表</w:t>
            </w:r>
          </w:p>
        </w:tc>
      </w:tr>
      <w:tr>
        <w:tblPrEx>
          <w:tblCellMar>
            <w:top w:w="0" w:type="dxa"/>
            <w:left w:w="108" w:type="dxa"/>
            <w:bottom w:w="0" w:type="dxa"/>
            <w:right w:w="108" w:type="dxa"/>
          </w:tblCellMar>
        </w:tblPrEx>
        <w:trPr>
          <w:trHeight w:val="360" w:hRule="atLeast"/>
        </w:trPr>
        <w:tc>
          <w:tcPr>
            <w:tcW w:w="10460" w:type="dxa"/>
            <w:gridSpan w:val="7"/>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预算单位编码及名称：[314003]宁晋县民政事业服务中心</w:t>
            </w:r>
          </w:p>
        </w:tc>
        <w:tc>
          <w:tcPr>
            <w:tcW w:w="1800" w:type="dxa"/>
            <w:tcBorders>
              <w:top w:val="nil"/>
              <w:left w:val="nil"/>
              <w:bottom w:val="nil"/>
              <w:right w:val="nil"/>
            </w:tcBorders>
            <w:noWrap/>
            <w:vAlign w:val="center"/>
          </w:tcPr>
          <w:p>
            <w:pPr>
              <w:widowControl/>
              <w:jc w:val="right"/>
              <w:rPr>
                <w:rFonts w:hint="eastAsia" w:ascii="宋体" w:hAnsi="宋体" w:cs="宋体"/>
                <w:color w:val="000000"/>
                <w:kern w:val="0"/>
                <w:sz w:val="22"/>
              </w:rPr>
            </w:pPr>
            <w:r>
              <w:rPr>
                <w:rFonts w:hint="eastAsia" w:ascii="宋体" w:hAnsi="宋体" w:cs="宋体"/>
                <w:color w:val="000000"/>
                <w:kern w:val="0"/>
                <w:sz w:val="22"/>
              </w:rPr>
              <w:t>预算年度：2021</w:t>
            </w:r>
          </w:p>
        </w:tc>
        <w:tc>
          <w:tcPr>
            <w:tcW w:w="1900" w:type="dxa"/>
            <w:tcBorders>
              <w:top w:val="nil"/>
              <w:left w:val="nil"/>
              <w:bottom w:val="nil"/>
              <w:right w:val="nil"/>
            </w:tcBorders>
            <w:noWrap/>
            <w:vAlign w:val="center"/>
          </w:tcPr>
          <w:p>
            <w:pPr>
              <w:widowControl/>
              <w:jc w:val="right"/>
              <w:rPr>
                <w:rFonts w:ascii="宋体" w:hAnsi="宋体" w:cs="宋体"/>
                <w:color w:val="000000"/>
                <w:kern w:val="0"/>
                <w:sz w:val="22"/>
              </w:rPr>
            </w:pPr>
            <w:r>
              <w:rPr>
                <w:rFonts w:hint="eastAsia" w:ascii="宋体" w:hAnsi="宋体" w:cs="宋体"/>
                <w:color w:val="000000"/>
                <w:kern w:val="0"/>
                <w:sz w:val="22"/>
              </w:rPr>
              <w:t>金额单位：万元</w:t>
            </w:r>
          </w:p>
        </w:tc>
      </w:tr>
      <w:tr>
        <w:tblPrEx>
          <w:tblCellMar>
            <w:top w:w="0" w:type="dxa"/>
            <w:left w:w="108" w:type="dxa"/>
            <w:bottom w:w="0" w:type="dxa"/>
            <w:right w:w="108" w:type="dxa"/>
          </w:tblCellMar>
        </w:tblPrEx>
        <w:trPr>
          <w:trHeight w:val="360" w:hRule="atLeast"/>
        </w:trPr>
        <w:tc>
          <w:tcPr>
            <w:tcW w:w="86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序号</w:t>
            </w:r>
          </w:p>
        </w:tc>
        <w:tc>
          <w:tcPr>
            <w:tcW w:w="3620" w:type="dxa"/>
            <w:gridSpan w:val="2"/>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支出功能分类科目</w:t>
            </w:r>
          </w:p>
        </w:tc>
        <w:tc>
          <w:tcPr>
            <w:tcW w:w="166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本年支出合计</w:t>
            </w:r>
          </w:p>
        </w:tc>
        <w:tc>
          <w:tcPr>
            <w:tcW w:w="164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基本支出</w:t>
            </w:r>
          </w:p>
        </w:tc>
        <w:tc>
          <w:tcPr>
            <w:tcW w:w="138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项目支出</w:t>
            </w:r>
          </w:p>
        </w:tc>
        <w:tc>
          <w:tcPr>
            <w:tcW w:w="130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经营支出</w:t>
            </w:r>
          </w:p>
        </w:tc>
        <w:tc>
          <w:tcPr>
            <w:tcW w:w="180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上缴上级支出</w:t>
            </w:r>
          </w:p>
        </w:tc>
        <w:tc>
          <w:tcPr>
            <w:tcW w:w="190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对附属单位补助支出</w:t>
            </w:r>
          </w:p>
        </w:tc>
      </w:tr>
      <w:tr>
        <w:tblPrEx>
          <w:tblCellMar>
            <w:top w:w="0" w:type="dxa"/>
            <w:left w:w="108" w:type="dxa"/>
            <w:bottom w:w="0" w:type="dxa"/>
            <w:right w:w="108" w:type="dxa"/>
          </w:tblCellMar>
        </w:tblPrEx>
        <w:trPr>
          <w:trHeight w:val="360" w:hRule="atLeast"/>
        </w:trPr>
        <w:tc>
          <w:tcPr>
            <w:tcW w:w="86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1060"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科目编码</w:t>
            </w:r>
          </w:p>
        </w:tc>
        <w:tc>
          <w:tcPr>
            <w:tcW w:w="2560"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166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164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138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13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18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1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r>
      <w:tr>
        <w:tblPrEx>
          <w:tblCellMar>
            <w:top w:w="0" w:type="dxa"/>
            <w:left w:w="108" w:type="dxa"/>
            <w:bottom w:w="0" w:type="dxa"/>
            <w:right w:w="108" w:type="dxa"/>
          </w:tblCellMar>
        </w:tblPrEx>
        <w:trPr>
          <w:trHeight w:val="360" w:hRule="atLeast"/>
        </w:trPr>
        <w:tc>
          <w:tcPr>
            <w:tcW w:w="860"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106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256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66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164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138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130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6</w:t>
            </w:r>
          </w:p>
        </w:tc>
        <w:tc>
          <w:tcPr>
            <w:tcW w:w="180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7</w:t>
            </w:r>
          </w:p>
        </w:tc>
        <w:tc>
          <w:tcPr>
            <w:tcW w:w="190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8</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1</w:t>
            </w:r>
          </w:p>
        </w:tc>
        <w:tc>
          <w:tcPr>
            <w:tcW w:w="1060"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　</w:t>
            </w:r>
          </w:p>
        </w:tc>
        <w:tc>
          <w:tcPr>
            <w:tcW w:w="2560"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合计</w:t>
            </w:r>
          </w:p>
        </w:tc>
        <w:tc>
          <w:tcPr>
            <w:tcW w:w="166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64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38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3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8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9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2</w:t>
            </w:r>
          </w:p>
        </w:tc>
        <w:tc>
          <w:tcPr>
            <w:tcW w:w="1060"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208</w:t>
            </w:r>
          </w:p>
        </w:tc>
        <w:tc>
          <w:tcPr>
            <w:tcW w:w="2560"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社会保障和就业支出</w:t>
            </w:r>
          </w:p>
        </w:tc>
        <w:tc>
          <w:tcPr>
            <w:tcW w:w="166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64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38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3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8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9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3</w:t>
            </w:r>
          </w:p>
        </w:tc>
        <w:tc>
          <w:tcPr>
            <w:tcW w:w="1060"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20810</w:t>
            </w:r>
          </w:p>
        </w:tc>
        <w:tc>
          <w:tcPr>
            <w:tcW w:w="2560"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社会福利</w:t>
            </w:r>
          </w:p>
        </w:tc>
        <w:tc>
          <w:tcPr>
            <w:tcW w:w="166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64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38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3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8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9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4</w:t>
            </w:r>
          </w:p>
        </w:tc>
        <w:tc>
          <w:tcPr>
            <w:tcW w:w="1060"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2081005</w:t>
            </w:r>
          </w:p>
        </w:tc>
        <w:tc>
          <w:tcPr>
            <w:tcW w:w="2560"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社会福利事业单位</w:t>
            </w:r>
          </w:p>
        </w:tc>
        <w:tc>
          <w:tcPr>
            <w:tcW w:w="166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64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38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hint="eastAsia" w:cs="Calibri"/>
                <w:color w:val="000000"/>
                <w:kern w:val="0"/>
                <w:sz w:val="22"/>
              </w:rPr>
              <w:t>131.73</w:t>
            </w:r>
          </w:p>
        </w:tc>
        <w:tc>
          <w:tcPr>
            <w:tcW w:w="13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8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190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bl>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tbl>
      <w:tblPr>
        <w:tblStyle w:val="8"/>
        <w:tblW w:w="14700" w:type="dxa"/>
        <w:tblInd w:w="93" w:type="dxa"/>
        <w:tblLayout w:type="fixed"/>
        <w:tblCellMar>
          <w:top w:w="0" w:type="dxa"/>
          <w:left w:w="108" w:type="dxa"/>
          <w:bottom w:w="0" w:type="dxa"/>
          <w:right w:w="108" w:type="dxa"/>
        </w:tblCellMar>
      </w:tblPr>
      <w:tblGrid>
        <w:gridCol w:w="860"/>
        <w:gridCol w:w="3020"/>
        <w:gridCol w:w="1080"/>
        <w:gridCol w:w="3830"/>
        <w:gridCol w:w="1300"/>
        <w:gridCol w:w="1320"/>
        <w:gridCol w:w="1720"/>
        <w:gridCol w:w="1570"/>
      </w:tblGrid>
      <w:tr>
        <w:tblPrEx>
          <w:tblCellMar>
            <w:top w:w="0" w:type="dxa"/>
            <w:left w:w="108" w:type="dxa"/>
            <w:bottom w:w="0" w:type="dxa"/>
            <w:right w:w="108" w:type="dxa"/>
          </w:tblCellMar>
        </w:tblPrEx>
        <w:trPr>
          <w:trHeight w:val="720" w:hRule="atLeast"/>
        </w:trPr>
        <w:tc>
          <w:tcPr>
            <w:tcW w:w="14700" w:type="dxa"/>
            <w:gridSpan w:val="8"/>
            <w:tcBorders>
              <w:top w:val="nil"/>
              <w:left w:val="nil"/>
              <w:bottom w:val="nil"/>
              <w:right w:val="nil"/>
            </w:tcBorders>
            <w:noWrap/>
            <w:vAlign w:val="center"/>
          </w:tcPr>
          <w:p>
            <w:pPr>
              <w:widowControl/>
              <w:jc w:val="center"/>
              <w:rPr>
                <w:rFonts w:hint="eastAsia" w:ascii="宋体" w:hAnsi="宋体" w:cs="宋体"/>
                <w:bCs/>
                <w:color w:val="000000"/>
                <w:kern w:val="0"/>
                <w:sz w:val="36"/>
                <w:szCs w:val="36"/>
              </w:rPr>
            </w:pPr>
          </w:p>
          <w:p>
            <w:pPr>
              <w:widowControl/>
              <w:jc w:val="center"/>
              <w:rPr>
                <w:rFonts w:ascii="宋体" w:hAnsi="宋体" w:cs="宋体"/>
                <w:bCs/>
                <w:color w:val="000000"/>
                <w:kern w:val="0"/>
                <w:sz w:val="36"/>
                <w:szCs w:val="36"/>
              </w:rPr>
            </w:pPr>
            <w:r>
              <w:rPr>
                <w:rFonts w:hint="eastAsia" w:ascii="宋体" w:hAnsi="宋体" w:cs="宋体"/>
                <w:bCs/>
                <w:color w:val="000000"/>
                <w:kern w:val="0"/>
                <w:sz w:val="36"/>
                <w:szCs w:val="36"/>
              </w:rPr>
              <w:t>单位预算财政拨款收支总表</w:t>
            </w:r>
          </w:p>
        </w:tc>
      </w:tr>
      <w:tr>
        <w:tblPrEx>
          <w:tblCellMar>
            <w:top w:w="0" w:type="dxa"/>
            <w:left w:w="108" w:type="dxa"/>
            <w:bottom w:w="0" w:type="dxa"/>
            <w:right w:w="108" w:type="dxa"/>
          </w:tblCellMar>
        </w:tblPrEx>
        <w:trPr>
          <w:trHeight w:val="360" w:hRule="atLeast"/>
        </w:trPr>
        <w:tc>
          <w:tcPr>
            <w:tcW w:w="11410" w:type="dxa"/>
            <w:gridSpan w:val="6"/>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预算单位编码及名称：[314003]宁晋县民政事业服务中心</w:t>
            </w:r>
          </w:p>
        </w:tc>
        <w:tc>
          <w:tcPr>
            <w:tcW w:w="1720" w:type="dxa"/>
            <w:tcBorders>
              <w:top w:val="nil"/>
              <w:left w:val="nil"/>
              <w:bottom w:val="nil"/>
              <w:right w:val="nil"/>
            </w:tcBorders>
            <w:noWrap/>
            <w:vAlign w:val="center"/>
          </w:tcPr>
          <w:p>
            <w:pPr>
              <w:widowControl/>
              <w:jc w:val="right"/>
              <w:rPr>
                <w:rFonts w:hint="eastAsia" w:ascii="宋体" w:hAnsi="宋体" w:cs="宋体"/>
                <w:color w:val="000000"/>
                <w:kern w:val="0"/>
                <w:sz w:val="22"/>
              </w:rPr>
            </w:pPr>
            <w:r>
              <w:rPr>
                <w:rFonts w:hint="eastAsia" w:ascii="宋体" w:hAnsi="宋体" w:cs="宋体"/>
                <w:color w:val="000000"/>
                <w:kern w:val="0"/>
                <w:sz w:val="22"/>
              </w:rPr>
              <w:t>预算年度：2021</w:t>
            </w:r>
          </w:p>
        </w:tc>
        <w:tc>
          <w:tcPr>
            <w:tcW w:w="1570" w:type="dxa"/>
            <w:tcBorders>
              <w:top w:val="nil"/>
              <w:left w:val="nil"/>
              <w:bottom w:val="nil"/>
              <w:right w:val="nil"/>
            </w:tcBorders>
            <w:noWrap/>
            <w:vAlign w:val="center"/>
          </w:tcPr>
          <w:p>
            <w:pPr>
              <w:widowControl/>
              <w:jc w:val="right"/>
              <w:rPr>
                <w:rFonts w:ascii="宋体" w:hAnsi="宋体" w:cs="宋体"/>
                <w:color w:val="000000"/>
                <w:kern w:val="0"/>
                <w:sz w:val="22"/>
              </w:rPr>
            </w:pPr>
            <w:r>
              <w:rPr>
                <w:rFonts w:hint="eastAsia" w:ascii="宋体" w:hAnsi="宋体" w:cs="宋体"/>
                <w:color w:val="000000"/>
                <w:kern w:val="0"/>
                <w:sz w:val="22"/>
              </w:rPr>
              <w:t>金额单位：万元</w:t>
            </w:r>
          </w:p>
        </w:tc>
      </w:tr>
      <w:tr>
        <w:tblPrEx>
          <w:tblCellMar>
            <w:top w:w="0" w:type="dxa"/>
            <w:left w:w="108" w:type="dxa"/>
            <w:bottom w:w="0" w:type="dxa"/>
            <w:right w:w="108" w:type="dxa"/>
          </w:tblCellMar>
        </w:tblPrEx>
        <w:trPr>
          <w:trHeight w:val="360" w:hRule="atLeast"/>
        </w:trPr>
        <w:tc>
          <w:tcPr>
            <w:tcW w:w="860"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序号</w:t>
            </w:r>
          </w:p>
        </w:tc>
        <w:tc>
          <w:tcPr>
            <w:tcW w:w="4100"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收入</w:t>
            </w:r>
          </w:p>
        </w:tc>
        <w:tc>
          <w:tcPr>
            <w:tcW w:w="9740" w:type="dxa"/>
            <w:gridSpan w:val="5"/>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支出</w:t>
            </w:r>
          </w:p>
        </w:tc>
      </w:tr>
      <w:tr>
        <w:tblPrEx>
          <w:tblCellMar>
            <w:top w:w="0" w:type="dxa"/>
            <w:left w:w="108" w:type="dxa"/>
            <w:bottom w:w="0" w:type="dxa"/>
            <w:right w:w="108" w:type="dxa"/>
          </w:tblCellMar>
        </w:tblPrEx>
        <w:trPr>
          <w:trHeight w:val="720" w:hRule="atLeast"/>
        </w:trPr>
        <w:tc>
          <w:tcPr>
            <w:tcW w:w="86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3020"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1080"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金额</w:t>
            </w:r>
          </w:p>
        </w:tc>
        <w:tc>
          <w:tcPr>
            <w:tcW w:w="3830"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1300"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1320"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一般公共预算财政拨款</w:t>
            </w:r>
          </w:p>
        </w:tc>
        <w:tc>
          <w:tcPr>
            <w:tcW w:w="1720"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政府性基金预算财政拨款</w:t>
            </w:r>
          </w:p>
        </w:tc>
        <w:tc>
          <w:tcPr>
            <w:tcW w:w="1570" w:type="dxa"/>
            <w:tcBorders>
              <w:top w:val="nil"/>
              <w:left w:val="nil"/>
              <w:bottom w:val="single" w:color="auto" w:sz="4" w:space="0"/>
              <w:right w:val="single" w:color="auto" w:sz="4" w:space="0"/>
            </w:tcBorders>
            <w:noWrap w:val="0"/>
            <w:vAlign w:val="center"/>
          </w:tcPr>
          <w:p>
            <w:pPr>
              <w:widowControl/>
              <w:jc w:val="center"/>
              <w:rPr>
                <w:rFonts w:ascii="宋体" w:hAnsi="宋体" w:cs="宋体"/>
                <w:color w:val="000000"/>
                <w:kern w:val="0"/>
                <w:sz w:val="22"/>
              </w:rPr>
            </w:pPr>
            <w:r>
              <w:rPr>
                <w:rFonts w:hint="eastAsia" w:ascii="宋体" w:hAnsi="宋体" w:cs="宋体"/>
                <w:color w:val="000000"/>
                <w:kern w:val="0"/>
                <w:sz w:val="22"/>
              </w:rPr>
              <w:t>国有资本经营预算财政拨款</w:t>
            </w:r>
          </w:p>
        </w:tc>
      </w:tr>
      <w:tr>
        <w:tblPrEx>
          <w:tblCellMar>
            <w:top w:w="0" w:type="dxa"/>
            <w:left w:w="108" w:type="dxa"/>
            <w:bottom w:w="0" w:type="dxa"/>
            <w:right w:w="108" w:type="dxa"/>
          </w:tblCellMar>
        </w:tblPrEx>
        <w:trPr>
          <w:trHeight w:val="360" w:hRule="atLeast"/>
        </w:trPr>
        <w:tc>
          <w:tcPr>
            <w:tcW w:w="860"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302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108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383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130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132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172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6</w:t>
            </w:r>
          </w:p>
        </w:tc>
        <w:tc>
          <w:tcPr>
            <w:tcW w:w="157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7</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1</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一、一般公共预算拨款</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hint="eastAsia" w:cs="Calibri"/>
                <w:color w:val="000000"/>
                <w:kern w:val="0"/>
                <w:sz w:val="22"/>
              </w:rPr>
              <w:t>131.73</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一、一般公共服务支出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2</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二、政府性基金预算拨款</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二、外交支出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3</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三、国有资本经营预算拨款</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三、国防支出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4</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四、公共安全支出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5</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五、教育支出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6</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六、科学技术支出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7</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七、文化旅游体育与传媒支出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8</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八、社会保障和就业支出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hint="eastAsia" w:cs="Calibri"/>
                <w:color w:val="000000"/>
                <w:kern w:val="0"/>
                <w:sz w:val="22"/>
              </w:rPr>
              <w:t>131.73</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hint="eastAsia" w:cs="Calibri"/>
                <w:color w:val="000000"/>
                <w:kern w:val="0"/>
                <w:sz w:val="22"/>
              </w:rPr>
              <w:t>131.73</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9</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九、社会保险基金支出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10</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十、卫生健康支出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11</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十一、节能环保支出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12</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十二、城乡社区支出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13</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十三、农林水支出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14</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十四、交通运输支出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15</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十五、资源勘探工业信息等支出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16</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十六、商业服务业等支出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17</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十七、金融支出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18</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十八、援助其他地区支出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19</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十九、自然资源海洋气象等支出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20</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二十、住房保障支出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21</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二十一、粮油物资储备支出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22</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二十二、国有资本经营预算支出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23</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二十三、灾害防治及应急管理支出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24</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二十四、预备费</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25</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二十五、其他支出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26</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二十六、转移性支出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645"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27</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二十七、灾害防治及应急管理共同财政事权转移支付支出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28</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二十八、债务还本支出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29</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二十九、债务付息支出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30</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三十、债务发行费用支出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31</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三十一、抗疫特别国债安排的支出</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32</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本年收入合计</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hint="eastAsia" w:cs="Calibri"/>
                <w:color w:val="000000"/>
                <w:kern w:val="0"/>
                <w:sz w:val="22"/>
              </w:rPr>
              <w:t>131.73</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本年支出合计</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hint="eastAsia" w:cs="Calibri"/>
                <w:color w:val="000000"/>
                <w:kern w:val="0"/>
                <w:sz w:val="22"/>
              </w:rPr>
              <w:t>131.73</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hint="eastAsia" w:cs="Calibri"/>
                <w:color w:val="000000"/>
                <w:kern w:val="0"/>
                <w:sz w:val="22"/>
              </w:rPr>
              <w:t>131.73</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33</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年初财政拨款结转和结余</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年末财政拨款结转和结余</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34</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一、一般公共预算拨款</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35</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二、政府性基金预算拨款</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36</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三、国有资本经营预算拨款</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　</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30" w:hRule="atLeast"/>
        </w:trPr>
        <w:tc>
          <w:tcPr>
            <w:tcW w:w="860" w:type="dxa"/>
            <w:tcBorders>
              <w:top w:val="nil"/>
              <w:left w:val="single" w:color="auto" w:sz="4" w:space="0"/>
              <w:bottom w:val="single" w:color="auto" w:sz="4" w:space="0"/>
              <w:right w:val="single" w:color="auto" w:sz="4" w:space="0"/>
            </w:tcBorders>
            <w:noWrap w:val="0"/>
            <w:vAlign w:val="top"/>
          </w:tcPr>
          <w:p>
            <w:pPr>
              <w:widowControl/>
              <w:jc w:val="center"/>
              <w:rPr>
                <w:rFonts w:cs="Calibri"/>
                <w:color w:val="000000"/>
                <w:kern w:val="0"/>
                <w:sz w:val="22"/>
              </w:rPr>
            </w:pPr>
            <w:r>
              <w:rPr>
                <w:rFonts w:cs="Calibri"/>
                <w:color w:val="000000"/>
                <w:kern w:val="0"/>
                <w:sz w:val="22"/>
              </w:rPr>
              <w:t>37</w:t>
            </w:r>
          </w:p>
        </w:tc>
        <w:tc>
          <w:tcPr>
            <w:tcW w:w="302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收入总计</w:t>
            </w:r>
          </w:p>
        </w:tc>
        <w:tc>
          <w:tcPr>
            <w:tcW w:w="108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hint="eastAsia" w:cs="Calibri"/>
                <w:color w:val="000000"/>
                <w:kern w:val="0"/>
                <w:sz w:val="22"/>
              </w:rPr>
              <w:t>131.73</w:t>
            </w:r>
          </w:p>
        </w:tc>
        <w:tc>
          <w:tcPr>
            <w:tcW w:w="3830" w:type="dxa"/>
            <w:tcBorders>
              <w:top w:val="nil"/>
              <w:left w:val="nil"/>
              <w:bottom w:val="single" w:color="auto" w:sz="4" w:space="0"/>
              <w:right w:val="single" w:color="auto" w:sz="4" w:space="0"/>
            </w:tcBorders>
            <w:noWrap w:val="0"/>
            <w:vAlign w:val="top"/>
          </w:tcPr>
          <w:p>
            <w:pPr>
              <w:widowControl/>
              <w:jc w:val="left"/>
              <w:rPr>
                <w:rFonts w:cs="Calibri"/>
                <w:color w:val="000000"/>
                <w:kern w:val="0"/>
                <w:sz w:val="22"/>
              </w:rPr>
            </w:pPr>
            <w:r>
              <w:rPr>
                <w:rFonts w:cs="Calibri"/>
                <w:color w:val="000000"/>
                <w:kern w:val="0"/>
                <w:sz w:val="22"/>
              </w:rPr>
              <w:t>支出总计</w:t>
            </w:r>
          </w:p>
        </w:tc>
        <w:tc>
          <w:tcPr>
            <w:tcW w:w="130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hint="eastAsia" w:cs="Calibri"/>
                <w:color w:val="000000"/>
                <w:kern w:val="0"/>
                <w:sz w:val="22"/>
              </w:rPr>
              <w:t>131.73</w:t>
            </w:r>
          </w:p>
        </w:tc>
        <w:tc>
          <w:tcPr>
            <w:tcW w:w="13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hint="eastAsia" w:cs="Calibri"/>
                <w:color w:val="000000"/>
                <w:kern w:val="0"/>
                <w:sz w:val="22"/>
              </w:rPr>
              <w:t>131.73</w:t>
            </w:r>
          </w:p>
        </w:tc>
        <w:tc>
          <w:tcPr>
            <w:tcW w:w="172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c>
          <w:tcPr>
            <w:tcW w:w="1570" w:type="dxa"/>
            <w:tcBorders>
              <w:top w:val="nil"/>
              <w:left w:val="nil"/>
              <w:bottom w:val="single" w:color="auto" w:sz="4" w:space="0"/>
              <w:right w:val="single" w:color="auto" w:sz="4" w:space="0"/>
            </w:tcBorders>
            <w:noWrap w:val="0"/>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00" w:hRule="atLeast"/>
        </w:trPr>
        <w:tc>
          <w:tcPr>
            <w:tcW w:w="860" w:type="dxa"/>
            <w:tcBorders>
              <w:top w:val="nil"/>
              <w:left w:val="nil"/>
              <w:bottom w:val="nil"/>
              <w:right w:val="nil"/>
            </w:tcBorders>
            <w:noWrap/>
            <w:vAlign w:val="top"/>
          </w:tcPr>
          <w:p>
            <w:pPr>
              <w:widowControl/>
              <w:jc w:val="center"/>
              <w:rPr>
                <w:rFonts w:cs="Calibri"/>
                <w:color w:val="000000"/>
                <w:kern w:val="0"/>
                <w:sz w:val="22"/>
              </w:rPr>
            </w:pPr>
          </w:p>
        </w:tc>
        <w:tc>
          <w:tcPr>
            <w:tcW w:w="3020" w:type="dxa"/>
            <w:tcBorders>
              <w:top w:val="nil"/>
              <w:left w:val="nil"/>
              <w:bottom w:val="nil"/>
              <w:right w:val="nil"/>
            </w:tcBorders>
            <w:noWrap/>
            <w:vAlign w:val="top"/>
          </w:tcPr>
          <w:p>
            <w:pPr>
              <w:widowControl/>
              <w:jc w:val="left"/>
              <w:rPr>
                <w:rFonts w:cs="Calibri"/>
                <w:color w:val="000000"/>
                <w:kern w:val="0"/>
                <w:sz w:val="22"/>
              </w:rPr>
            </w:pPr>
          </w:p>
        </w:tc>
        <w:tc>
          <w:tcPr>
            <w:tcW w:w="1080" w:type="dxa"/>
            <w:tcBorders>
              <w:top w:val="nil"/>
              <w:left w:val="nil"/>
              <w:bottom w:val="nil"/>
              <w:right w:val="nil"/>
            </w:tcBorders>
            <w:noWrap/>
            <w:vAlign w:val="top"/>
          </w:tcPr>
          <w:p>
            <w:pPr>
              <w:widowControl/>
              <w:jc w:val="right"/>
              <w:rPr>
                <w:rFonts w:cs="Calibri"/>
                <w:color w:val="000000"/>
                <w:kern w:val="0"/>
                <w:sz w:val="22"/>
              </w:rPr>
            </w:pPr>
          </w:p>
        </w:tc>
        <w:tc>
          <w:tcPr>
            <w:tcW w:w="3830" w:type="dxa"/>
            <w:tcBorders>
              <w:top w:val="nil"/>
              <w:left w:val="nil"/>
              <w:bottom w:val="nil"/>
              <w:right w:val="nil"/>
            </w:tcBorders>
            <w:noWrap/>
            <w:vAlign w:val="top"/>
          </w:tcPr>
          <w:p>
            <w:pPr>
              <w:widowControl/>
              <w:jc w:val="left"/>
              <w:rPr>
                <w:rFonts w:cs="Calibri"/>
                <w:color w:val="000000"/>
                <w:kern w:val="0"/>
                <w:sz w:val="22"/>
              </w:rPr>
            </w:pPr>
          </w:p>
        </w:tc>
        <w:tc>
          <w:tcPr>
            <w:tcW w:w="1300" w:type="dxa"/>
            <w:tcBorders>
              <w:top w:val="nil"/>
              <w:left w:val="nil"/>
              <w:bottom w:val="nil"/>
              <w:right w:val="nil"/>
            </w:tcBorders>
            <w:noWrap/>
            <w:vAlign w:val="top"/>
          </w:tcPr>
          <w:p>
            <w:pPr>
              <w:widowControl/>
              <w:jc w:val="right"/>
              <w:rPr>
                <w:rFonts w:cs="Calibri"/>
                <w:color w:val="000000"/>
                <w:kern w:val="0"/>
                <w:sz w:val="22"/>
              </w:rPr>
            </w:pPr>
          </w:p>
        </w:tc>
        <w:tc>
          <w:tcPr>
            <w:tcW w:w="1320" w:type="dxa"/>
            <w:tcBorders>
              <w:top w:val="nil"/>
              <w:left w:val="nil"/>
              <w:bottom w:val="nil"/>
              <w:right w:val="nil"/>
            </w:tcBorders>
            <w:noWrap/>
            <w:vAlign w:val="top"/>
          </w:tcPr>
          <w:p>
            <w:pPr>
              <w:widowControl/>
              <w:jc w:val="right"/>
              <w:rPr>
                <w:rFonts w:cs="Calibri"/>
                <w:color w:val="000000"/>
                <w:kern w:val="0"/>
                <w:sz w:val="22"/>
              </w:rPr>
            </w:pPr>
          </w:p>
        </w:tc>
        <w:tc>
          <w:tcPr>
            <w:tcW w:w="1720" w:type="dxa"/>
            <w:tcBorders>
              <w:top w:val="nil"/>
              <w:left w:val="nil"/>
              <w:bottom w:val="nil"/>
              <w:right w:val="nil"/>
            </w:tcBorders>
            <w:noWrap/>
            <w:vAlign w:val="top"/>
          </w:tcPr>
          <w:p>
            <w:pPr>
              <w:widowControl/>
              <w:jc w:val="right"/>
              <w:rPr>
                <w:rFonts w:cs="Calibri"/>
                <w:color w:val="000000"/>
                <w:kern w:val="0"/>
                <w:sz w:val="22"/>
              </w:rPr>
            </w:pPr>
          </w:p>
        </w:tc>
        <w:tc>
          <w:tcPr>
            <w:tcW w:w="1570" w:type="dxa"/>
            <w:tcBorders>
              <w:top w:val="nil"/>
              <w:left w:val="nil"/>
              <w:bottom w:val="nil"/>
              <w:right w:val="nil"/>
            </w:tcBorders>
            <w:noWrap/>
            <w:vAlign w:val="top"/>
          </w:tcPr>
          <w:p>
            <w:pPr>
              <w:widowControl/>
              <w:jc w:val="right"/>
              <w:rPr>
                <w:rFonts w:cs="Calibri"/>
                <w:color w:val="000000"/>
                <w:kern w:val="0"/>
                <w:sz w:val="22"/>
              </w:rPr>
            </w:pPr>
          </w:p>
        </w:tc>
      </w:tr>
    </w:tbl>
    <w:p>
      <w:pPr>
        <w:rPr>
          <w:rFonts w:hint="eastAsia"/>
        </w:rPr>
      </w:pPr>
    </w:p>
    <w:tbl>
      <w:tblPr>
        <w:tblStyle w:val="8"/>
        <w:tblW w:w="14600" w:type="dxa"/>
        <w:tblInd w:w="93" w:type="dxa"/>
        <w:tblLayout w:type="fixed"/>
        <w:tblCellMar>
          <w:top w:w="0" w:type="dxa"/>
          <w:left w:w="108" w:type="dxa"/>
          <w:bottom w:w="0" w:type="dxa"/>
          <w:right w:w="108" w:type="dxa"/>
        </w:tblCellMar>
      </w:tblPr>
      <w:tblGrid>
        <w:gridCol w:w="802"/>
        <w:gridCol w:w="1553"/>
        <w:gridCol w:w="3431"/>
        <w:gridCol w:w="1099"/>
        <w:gridCol w:w="802"/>
        <w:gridCol w:w="1553"/>
        <w:gridCol w:w="2680"/>
        <w:gridCol w:w="2680"/>
      </w:tblGrid>
      <w:tr>
        <w:tblPrEx>
          <w:tblCellMar>
            <w:top w:w="0" w:type="dxa"/>
            <w:left w:w="108" w:type="dxa"/>
            <w:bottom w:w="0" w:type="dxa"/>
            <w:right w:w="108" w:type="dxa"/>
          </w:tblCellMar>
        </w:tblPrEx>
        <w:trPr>
          <w:trHeight w:val="660" w:hRule="atLeast"/>
        </w:trPr>
        <w:tc>
          <w:tcPr>
            <w:tcW w:w="14600" w:type="dxa"/>
            <w:gridSpan w:val="8"/>
            <w:tcBorders>
              <w:top w:val="nil"/>
              <w:left w:val="nil"/>
              <w:bottom w:val="nil"/>
              <w:right w:val="nil"/>
            </w:tcBorders>
            <w:noWrap/>
            <w:vAlign w:val="center"/>
          </w:tcPr>
          <w:p>
            <w:pPr>
              <w:widowControl/>
              <w:jc w:val="center"/>
              <w:rPr>
                <w:rFonts w:hint="eastAsia" w:ascii="宋体" w:hAnsi="宋体" w:cs="宋体"/>
                <w:color w:val="000000"/>
                <w:kern w:val="0"/>
                <w:sz w:val="36"/>
                <w:szCs w:val="36"/>
              </w:rPr>
            </w:pPr>
          </w:p>
          <w:p>
            <w:pPr>
              <w:widowControl/>
              <w:jc w:val="center"/>
              <w:rPr>
                <w:rFonts w:hint="eastAsia" w:ascii="宋体" w:hAnsi="宋体" w:cs="宋体"/>
                <w:color w:val="000000"/>
                <w:kern w:val="0"/>
                <w:sz w:val="36"/>
                <w:szCs w:val="36"/>
              </w:rPr>
            </w:pPr>
          </w:p>
          <w:p>
            <w:pPr>
              <w:widowControl/>
              <w:jc w:val="center"/>
              <w:rPr>
                <w:rFonts w:hint="eastAsia" w:ascii="宋体" w:hAnsi="宋体" w:cs="宋体"/>
                <w:color w:val="000000"/>
                <w:kern w:val="0"/>
                <w:sz w:val="36"/>
                <w:szCs w:val="36"/>
              </w:rPr>
            </w:pPr>
          </w:p>
          <w:p>
            <w:pPr>
              <w:widowControl/>
              <w:jc w:val="center"/>
              <w:rPr>
                <w:rFonts w:ascii="宋体" w:hAnsi="宋体" w:cs="宋体"/>
                <w:color w:val="000000"/>
                <w:kern w:val="0"/>
                <w:sz w:val="36"/>
                <w:szCs w:val="36"/>
              </w:rPr>
            </w:pPr>
            <w:r>
              <w:rPr>
                <w:rFonts w:hint="eastAsia" w:ascii="宋体" w:hAnsi="宋体" w:cs="宋体"/>
                <w:color w:val="000000"/>
                <w:kern w:val="0"/>
                <w:sz w:val="36"/>
                <w:szCs w:val="36"/>
              </w:rPr>
              <w:t>单位预算一般公共预算财政拨款支出表</w:t>
            </w:r>
          </w:p>
        </w:tc>
      </w:tr>
      <w:tr>
        <w:tblPrEx>
          <w:tblCellMar>
            <w:top w:w="0" w:type="dxa"/>
            <w:left w:w="108" w:type="dxa"/>
            <w:bottom w:w="0" w:type="dxa"/>
            <w:right w:w="108" w:type="dxa"/>
          </w:tblCellMar>
        </w:tblPrEx>
        <w:trPr>
          <w:trHeight w:val="360" w:hRule="atLeast"/>
        </w:trPr>
        <w:tc>
          <w:tcPr>
            <w:tcW w:w="9240" w:type="dxa"/>
            <w:gridSpan w:val="6"/>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预算单位编码及名称：[314003]宁晋县民政事业服务中心</w:t>
            </w:r>
          </w:p>
        </w:tc>
        <w:tc>
          <w:tcPr>
            <w:tcW w:w="2680" w:type="dxa"/>
            <w:tcBorders>
              <w:top w:val="nil"/>
              <w:left w:val="nil"/>
              <w:bottom w:val="nil"/>
              <w:right w:val="nil"/>
            </w:tcBorders>
            <w:noWrap/>
            <w:vAlign w:val="center"/>
          </w:tcPr>
          <w:p>
            <w:pPr>
              <w:widowControl/>
              <w:jc w:val="right"/>
              <w:rPr>
                <w:rFonts w:hint="eastAsia" w:ascii="宋体" w:hAnsi="宋体" w:cs="宋体"/>
                <w:color w:val="000000"/>
                <w:kern w:val="0"/>
                <w:sz w:val="22"/>
              </w:rPr>
            </w:pPr>
            <w:r>
              <w:rPr>
                <w:rFonts w:hint="eastAsia" w:ascii="宋体" w:hAnsi="宋体" w:cs="宋体"/>
                <w:color w:val="000000"/>
                <w:kern w:val="0"/>
                <w:sz w:val="22"/>
              </w:rPr>
              <w:t>预算年度：2021</w:t>
            </w:r>
          </w:p>
        </w:tc>
        <w:tc>
          <w:tcPr>
            <w:tcW w:w="2680" w:type="dxa"/>
            <w:tcBorders>
              <w:top w:val="nil"/>
              <w:left w:val="nil"/>
              <w:bottom w:val="nil"/>
              <w:right w:val="nil"/>
            </w:tcBorders>
            <w:noWrap/>
            <w:vAlign w:val="center"/>
          </w:tcPr>
          <w:p>
            <w:pPr>
              <w:widowControl/>
              <w:jc w:val="right"/>
              <w:rPr>
                <w:rFonts w:ascii="宋体" w:hAnsi="宋体" w:cs="宋体"/>
                <w:color w:val="000000"/>
                <w:kern w:val="0"/>
                <w:sz w:val="22"/>
              </w:rPr>
            </w:pPr>
            <w:r>
              <w:rPr>
                <w:rFonts w:hint="eastAsia" w:ascii="宋体" w:hAnsi="宋体" w:cs="宋体"/>
                <w:color w:val="000000"/>
                <w:kern w:val="0"/>
                <w:sz w:val="22"/>
              </w:rPr>
              <w:t>金额单位：万元</w:t>
            </w:r>
          </w:p>
        </w:tc>
      </w:tr>
      <w:tr>
        <w:tblPrEx>
          <w:tblCellMar>
            <w:top w:w="0" w:type="dxa"/>
            <w:left w:w="108" w:type="dxa"/>
            <w:bottom w:w="0" w:type="dxa"/>
            <w:right w:w="108" w:type="dxa"/>
          </w:tblCellMar>
        </w:tblPrEx>
        <w:trPr>
          <w:trHeight w:val="465" w:hRule="atLeast"/>
        </w:trPr>
        <w:tc>
          <w:tcPr>
            <w:tcW w:w="802"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序号</w:t>
            </w:r>
          </w:p>
        </w:tc>
        <w:tc>
          <w:tcPr>
            <w:tcW w:w="4984"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支出功能分类科目</w:t>
            </w:r>
          </w:p>
        </w:tc>
        <w:tc>
          <w:tcPr>
            <w:tcW w:w="1099"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5035" w:type="dxa"/>
            <w:gridSpan w:val="3"/>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基本支出</w:t>
            </w:r>
          </w:p>
        </w:tc>
        <w:tc>
          <w:tcPr>
            <w:tcW w:w="2680"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项目支出</w:t>
            </w:r>
          </w:p>
        </w:tc>
      </w:tr>
      <w:tr>
        <w:tblPrEx>
          <w:tblCellMar>
            <w:top w:w="0" w:type="dxa"/>
            <w:left w:w="108" w:type="dxa"/>
            <w:bottom w:w="0" w:type="dxa"/>
            <w:right w:w="108" w:type="dxa"/>
          </w:tblCellMar>
        </w:tblPrEx>
        <w:trPr>
          <w:trHeight w:val="465" w:hRule="atLeast"/>
        </w:trPr>
        <w:tc>
          <w:tcPr>
            <w:tcW w:w="8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1553"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科目编码</w:t>
            </w:r>
          </w:p>
        </w:tc>
        <w:tc>
          <w:tcPr>
            <w:tcW w:w="3431"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109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80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小计</w:t>
            </w:r>
          </w:p>
        </w:tc>
        <w:tc>
          <w:tcPr>
            <w:tcW w:w="1553"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人员经费</w:t>
            </w:r>
          </w:p>
        </w:tc>
        <w:tc>
          <w:tcPr>
            <w:tcW w:w="268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公用经费</w:t>
            </w:r>
          </w:p>
        </w:tc>
        <w:tc>
          <w:tcPr>
            <w:tcW w:w="268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r>
      <w:tr>
        <w:tblPrEx>
          <w:tblCellMar>
            <w:top w:w="0" w:type="dxa"/>
            <w:left w:w="108" w:type="dxa"/>
            <w:bottom w:w="0" w:type="dxa"/>
            <w:right w:w="108" w:type="dxa"/>
          </w:tblCellMar>
        </w:tblPrEx>
        <w:trPr>
          <w:trHeight w:val="465" w:hRule="atLeast"/>
        </w:trPr>
        <w:tc>
          <w:tcPr>
            <w:tcW w:w="802"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1553"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3431"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099"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802"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1553"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5</w:t>
            </w:r>
          </w:p>
        </w:tc>
        <w:tc>
          <w:tcPr>
            <w:tcW w:w="268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6</w:t>
            </w:r>
          </w:p>
        </w:tc>
        <w:tc>
          <w:tcPr>
            <w:tcW w:w="268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7</w:t>
            </w:r>
          </w:p>
        </w:tc>
      </w:tr>
      <w:tr>
        <w:tblPrEx>
          <w:tblCellMar>
            <w:top w:w="0" w:type="dxa"/>
            <w:left w:w="108" w:type="dxa"/>
            <w:bottom w:w="0" w:type="dxa"/>
            <w:right w:w="108" w:type="dxa"/>
          </w:tblCellMar>
        </w:tblPrEx>
        <w:trPr>
          <w:trHeight w:val="465" w:hRule="atLeast"/>
        </w:trPr>
        <w:tc>
          <w:tcPr>
            <w:tcW w:w="802"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1</w:t>
            </w:r>
          </w:p>
        </w:tc>
        <w:tc>
          <w:tcPr>
            <w:tcW w:w="1553"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　</w:t>
            </w:r>
          </w:p>
        </w:tc>
        <w:tc>
          <w:tcPr>
            <w:tcW w:w="3431"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合计</w:t>
            </w:r>
          </w:p>
        </w:tc>
        <w:tc>
          <w:tcPr>
            <w:tcW w:w="109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c>
          <w:tcPr>
            <w:tcW w:w="802"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1553"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2680"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2680"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r>
      <w:tr>
        <w:tblPrEx>
          <w:tblCellMar>
            <w:top w:w="0" w:type="dxa"/>
            <w:left w:w="108" w:type="dxa"/>
            <w:bottom w:w="0" w:type="dxa"/>
            <w:right w:w="108" w:type="dxa"/>
          </w:tblCellMar>
        </w:tblPrEx>
        <w:trPr>
          <w:trHeight w:val="465" w:hRule="atLeast"/>
        </w:trPr>
        <w:tc>
          <w:tcPr>
            <w:tcW w:w="802"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2</w:t>
            </w:r>
          </w:p>
        </w:tc>
        <w:tc>
          <w:tcPr>
            <w:tcW w:w="1553"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208</w:t>
            </w:r>
          </w:p>
        </w:tc>
        <w:tc>
          <w:tcPr>
            <w:tcW w:w="3431"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社会保障和就业支出</w:t>
            </w:r>
          </w:p>
        </w:tc>
        <w:tc>
          <w:tcPr>
            <w:tcW w:w="109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c>
          <w:tcPr>
            <w:tcW w:w="802"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1553"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2680"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2680"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r>
      <w:tr>
        <w:tblPrEx>
          <w:tblCellMar>
            <w:top w:w="0" w:type="dxa"/>
            <w:left w:w="108" w:type="dxa"/>
            <w:bottom w:w="0" w:type="dxa"/>
            <w:right w:w="108" w:type="dxa"/>
          </w:tblCellMar>
        </w:tblPrEx>
        <w:trPr>
          <w:trHeight w:val="465" w:hRule="atLeast"/>
        </w:trPr>
        <w:tc>
          <w:tcPr>
            <w:tcW w:w="802"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3</w:t>
            </w:r>
          </w:p>
        </w:tc>
        <w:tc>
          <w:tcPr>
            <w:tcW w:w="1553"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20810</w:t>
            </w:r>
          </w:p>
        </w:tc>
        <w:tc>
          <w:tcPr>
            <w:tcW w:w="3431"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社会福利</w:t>
            </w:r>
          </w:p>
        </w:tc>
        <w:tc>
          <w:tcPr>
            <w:tcW w:w="109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c>
          <w:tcPr>
            <w:tcW w:w="802"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1553"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2680"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2680"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r>
      <w:tr>
        <w:tblPrEx>
          <w:tblCellMar>
            <w:top w:w="0" w:type="dxa"/>
            <w:left w:w="108" w:type="dxa"/>
            <w:bottom w:w="0" w:type="dxa"/>
            <w:right w:w="108" w:type="dxa"/>
          </w:tblCellMar>
        </w:tblPrEx>
        <w:trPr>
          <w:trHeight w:val="465" w:hRule="atLeast"/>
        </w:trPr>
        <w:tc>
          <w:tcPr>
            <w:tcW w:w="802" w:type="dxa"/>
            <w:tcBorders>
              <w:top w:val="nil"/>
              <w:left w:val="single" w:color="auto" w:sz="4" w:space="0"/>
              <w:bottom w:val="single" w:color="auto" w:sz="4" w:space="0"/>
              <w:right w:val="single" w:color="auto" w:sz="4" w:space="0"/>
            </w:tcBorders>
            <w:noWrap/>
            <w:vAlign w:val="center"/>
          </w:tcPr>
          <w:p>
            <w:pPr>
              <w:widowControl/>
              <w:jc w:val="center"/>
              <w:rPr>
                <w:rFonts w:cs="Calibri"/>
                <w:color w:val="000000"/>
                <w:kern w:val="0"/>
                <w:sz w:val="22"/>
              </w:rPr>
            </w:pPr>
            <w:r>
              <w:rPr>
                <w:rFonts w:cs="Calibri"/>
                <w:color w:val="000000"/>
                <w:kern w:val="0"/>
                <w:sz w:val="22"/>
              </w:rPr>
              <w:t>4</w:t>
            </w:r>
          </w:p>
        </w:tc>
        <w:tc>
          <w:tcPr>
            <w:tcW w:w="1553"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2081005</w:t>
            </w:r>
          </w:p>
        </w:tc>
        <w:tc>
          <w:tcPr>
            <w:tcW w:w="3431" w:type="dxa"/>
            <w:tcBorders>
              <w:top w:val="nil"/>
              <w:left w:val="nil"/>
              <w:bottom w:val="single" w:color="auto" w:sz="4" w:space="0"/>
              <w:right w:val="single" w:color="auto" w:sz="4" w:space="0"/>
            </w:tcBorders>
            <w:noWrap/>
            <w:vAlign w:val="center"/>
          </w:tcPr>
          <w:p>
            <w:pPr>
              <w:widowControl/>
              <w:jc w:val="left"/>
              <w:rPr>
                <w:rFonts w:cs="Calibri"/>
                <w:color w:val="000000"/>
                <w:kern w:val="0"/>
                <w:sz w:val="22"/>
              </w:rPr>
            </w:pPr>
            <w:r>
              <w:rPr>
                <w:rFonts w:cs="Calibri"/>
                <w:color w:val="000000"/>
                <w:kern w:val="0"/>
                <w:sz w:val="22"/>
              </w:rPr>
              <w:t>社会福利事业单位</w:t>
            </w:r>
          </w:p>
        </w:tc>
        <w:tc>
          <w:tcPr>
            <w:tcW w:w="1099"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c>
          <w:tcPr>
            <w:tcW w:w="802"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1553"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2680"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cs="Calibri"/>
                <w:color w:val="000000"/>
                <w:kern w:val="0"/>
                <w:sz w:val="22"/>
              </w:rPr>
              <w:t>　</w:t>
            </w:r>
          </w:p>
        </w:tc>
        <w:tc>
          <w:tcPr>
            <w:tcW w:w="2680" w:type="dxa"/>
            <w:tcBorders>
              <w:top w:val="nil"/>
              <w:left w:val="nil"/>
              <w:bottom w:val="single" w:color="auto" w:sz="4" w:space="0"/>
              <w:right w:val="single" w:color="auto" w:sz="4" w:space="0"/>
            </w:tcBorders>
            <w:noWrap/>
            <w:vAlign w:val="center"/>
          </w:tcPr>
          <w:p>
            <w:pPr>
              <w:widowControl/>
              <w:jc w:val="right"/>
              <w:rPr>
                <w:rFonts w:cs="Calibri"/>
                <w:color w:val="000000"/>
                <w:kern w:val="0"/>
                <w:sz w:val="22"/>
              </w:rPr>
            </w:pPr>
            <w:r>
              <w:rPr>
                <w:rFonts w:hint="eastAsia" w:cs="Calibri"/>
                <w:color w:val="000000"/>
                <w:kern w:val="0"/>
                <w:sz w:val="22"/>
              </w:rPr>
              <w:t>131.73</w:t>
            </w:r>
          </w:p>
        </w:tc>
      </w:tr>
      <w:tr>
        <w:tblPrEx>
          <w:tblCellMar>
            <w:top w:w="0" w:type="dxa"/>
            <w:left w:w="108" w:type="dxa"/>
            <w:bottom w:w="0" w:type="dxa"/>
            <w:right w:w="108" w:type="dxa"/>
          </w:tblCellMar>
        </w:tblPrEx>
        <w:trPr>
          <w:trHeight w:val="300" w:hRule="atLeast"/>
        </w:trPr>
        <w:tc>
          <w:tcPr>
            <w:tcW w:w="802" w:type="dxa"/>
            <w:tcBorders>
              <w:top w:val="nil"/>
              <w:left w:val="nil"/>
              <w:bottom w:val="nil"/>
              <w:right w:val="nil"/>
            </w:tcBorders>
            <w:noWrap/>
            <w:vAlign w:val="top"/>
          </w:tcPr>
          <w:p>
            <w:pPr>
              <w:widowControl/>
              <w:jc w:val="center"/>
              <w:rPr>
                <w:rFonts w:cs="Calibri"/>
                <w:color w:val="000000"/>
                <w:kern w:val="0"/>
                <w:sz w:val="22"/>
              </w:rPr>
            </w:pPr>
          </w:p>
        </w:tc>
        <w:tc>
          <w:tcPr>
            <w:tcW w:w="1553" w:type="dxa"/>
            <w:tcBorders>
              <w:top w:val="nil"/>
              <w:left w:val="nil"/>
              <w:bottom w:val="nil"/>
              <w:right w:val="nil"/>
            </w:tcBorders>
            <w:noWrap/>
            <w:vAlign w:val="top"/>
          </w:tcPr>
          <w:p>
            <w:pPr>
              <w:widowControl/>
              <w:jc w:val="left"/>
              <w:rPr>
                <w:rFonts w:cs="Calibri"/>
                <w:color w:val="000000"/>
                <w:kern w:val="0"/>
                <w:sz w:val="22"/>
              </w:rPr>
            </w:pPr>
          </w:p>
        </w:tc>
        <w:tc>
          <w:tcPr>
            <w:tcW w:w="3431" w:type="dxa"/>
            <w:tcBorders>
              <w:top w:val="nil"/>
              <w:left w:val="nil"/>
              <w:bottom w:val="nil"/>
              <w:right w:val="nil"/>
            </w:tcBorders>
            <w:noWrap/>
            <w:vAlign w:val="top"/>
          </w:tcPr>
          <w:p>
            <w:pPr>
              <w:widowControl/>
              <w:jc w:val="left"/>
              <w:rPr>
                <w:rFonts w:cs="Calibri"/>
                <w:color w:val="000000"/>
                <w:kern w:val="0"/>
                <w:sz w:val="22"/>
              </w:rPr>
            </w:pPr>
          </w:p>
        </w:tc>
        <w:tc>
          <w:tcPr>
            <w:tcW w:w="1099" w:type="dxa"/>
            <w:tcBorders>
              <w:top w:val="nil"/>
              <w:left w:val="nil"/>
              <w:bottom w:val="nil"/>
              <w:right w:val="nil"/>
            </w:tcBorders>
            <w:noWrap/>
            <w:vAlign w:val="top"/>
          </w:tcPr>
          <w:p>
            <w:pPr>
              <w:widowControl/>
              <w:jc w:val="right"/>
              <w:rPr>
                <w:rFonts w:cs="Calibri"/>
                <w:color w:val="000000"/>
                <w:kern w:val="0"/>
                <w:sz w:val="22"/>
              </w:rPr>
            </w:pPr>
          </w:p>
        </w:tc>
        <w:tc>
          <w:tcPr>
            <w:tcW w:w="802" w:type="dxa"/>
            <w:tcBorders>
              <w:top w:val="nil"/>
              <w:left w:val="nil"/>
              <w:bottom w:val="nil"/>
              <w:right w:val="nil"/>
            </w:tcBorders>
            <w:noWrap/>
            <w:vAlign w:val="top"/>
          </w:tcPr>
          <w:p>
            <w:pPr>
              <w:widowControl/>
              <w:jc w:val="right"/>
              <w:rPr>
                <w:rFonts w:cs="Calibri"/>
                <w:color w:val="000000"/>
                <w:kern w:val="0"/>
                <w:sz w:val="22"/>
              </w:rPr>
            </w:pPr>
          </w:p>
        </w:tc>
        <w:tc>
          <w:tcPr>
            <w:tcW w:w="1553" w:type="dxa"/>
            <w:tcBorders>
              <w:top w:val="nil"/>
              <w:left w:val="nil"/>
              <w:bottom w:val="nil"/>
              <w:right w:val="nil"/>
            </w:tcBorders>
            <w:noWrap/>
            <w:vAlign w:val="top"/>
          </w:tcPr>
          <w:p>
            <w:pPr>
              <w:widowControl/>
              <w:jc w:val="right"/>
              <w:rPr>
                <w:rFonts w:cs="Calibri"/>
                <w:color w:val="000000"/>
                <w:kern w:val="0"/>
                <w:sz w:val="22"/>
              </w:rPr>
            </w:pPr>
          </w:p>
        </w:tc>
        <w:tc>
          <w:tcPr>
            <w:tcW w:w="2680" w:type="dxa"/>
            <w:tcBorders>
              <w:top w:val="nil"/>
              <w:left w:val="nil"/>
              <w:bottom w:val="nil"/>
              <w:right w:val="nil"/>
            </w:tcBorders>
            <w:noWrap/>
            <w:vAlign w:val="top"/>
          </w:tcPr>
          <w:p>
            <w:pPr>
              <w:widowControl/>
              <w:jc w:val="right"/>
              <w:rPr>
                <w:rFonts w:cs="Calibri"/>
                <w:color w:val="000000"/>
                <w:kern w:val="0"/>
                <w:sz w:val="22"/>
              </w:rPr>
            </w:pPr>
          </w:p>
        </w:tc>
        <w:tc>
          <w:tcPr>
            <w:tcW w:w="2680" w:type="dxa"/>
            <w:tcBorders>
              <w:top w:val="nil"/>
              <w:left w:val="nil"/>
              <w:bottom w:val="nil"/>
              <w:right w:val="nil"/>
            </w:tcBorders>
            <w:noWrap/>
            <w:vAlign w:val="top"/>
          </w:tcPr>
          <w:p>
            <w:pPr>
              <w:widowControl/>
              <w:jc w:val="right"/>
              <w:rPr>
                <w:rFonts w:cs="Calibri"/>
                <w:color w:val="000000"/>
                <w:kern w:val="0"/>
                <w:sz w:val="22"/>
              </w:rPr>
            </w:pPr>
          </w:p>
        </w:tc>
      </w:tr>
    </w:tbl>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tbl>
      <w:tblPr>
        <w:tblStyle w:val="8"/>
        <w:tblW w:w="14160" w:type="dxa"/>
        <w:tblInd w:w="93" w:type="dxa"/>
        <w:tblLayout w:type="fixed"/>
        <w:tblCellMar>
          <w:top w:w="0" w:type="dxa"/>
          <w:left w:w="108" w:type="dxa"/>
          <w:bottom w:w="0" w:type="dxa"/>
          <w:right w:w="108" w:type="dxa"/>
        </w:tblCellMar>
      </w:tblPr>
      <w:tblGrid>
        <w:gridCol w:w="1128"/>
        <w:gridCol w:w="2184"/>
        <w:gridCol w:w="2184"/>
        <w:gridCol w:w="1128"/>
        <w:gridCol w:w="3768"/>
        <w:gridCol w:w="3768"/>
      </w:tblGrid>
      <w:tr>
        <w:tblPrEx>
          <w:tblCellMar>
            <w:top w:w="0" w:type="dxa"/>
            <w:left w:w="108" w:type="dxa"/>
            <w:bottom w:w="0" w:type="dxa"/>
            <w:right w:w="108" w:type="dxa"/>
          </w:tblCellMar>
        </w:tblPrEx>
        <w:trPr>
          <w:trHeight w:val="735" w:hRule="atLeast"/>
        </w:trPr>
        <w:tc>
          <w:tcPr>
            <w:tcW w:w="14160" w:type="dxa"/>
            <w:gridSpan w:val="6"/>
            <w:tcBorders>
              <w:top w:val="nil"/>
              <w:left w:val="nil"/>
              <w:bottom w:val="nil"/>
              <w:right w:val="nil"/>
            </w:tcBorders>
            <w:noWrap/>
            <w:vAlign w:val="center"/>
          </w:tcPr>
          <w:p>
            <w:pPr>
              <w:widowControl/>
              <w:jc w:val="center"/>
              <w:rPr>
                <w:rFonts w:hint="eastAsia" w:ascii="宋体" w:hAnsi="宋体" w:cs="宋体"/>
                <w:color w:val="000000"/>
                <w:kern w:val="0"/>
                <w:sz w:val="36"/>
                <w:szCs w:val="36"/>
              </w:rPr>
            </w:pPr>
          </w:p>
          <w:p>
            <w:pPr>
              <w:widowControl/>
              <w:jc w:val="center"/>
              <w:rPr>
                <w:rFonts w:ascii="宋体" w:hAnsi="宋体" w:cs="宋体"/>
                <w:color w:val="000000"/>
                <w:kern w:val="0"/>
                <w:sz w:val="36"/>
                <w:szCs w:val="36"/>
              </w:rPr>
            </w:pPr>
            <w:r>
              <w:rPr>
                <w:rFonts w:hint="eastAsia" w:ascii="宋体" w:hAnsi="宋体" w:cs="宋体"/>
                <w:color w:val="000000"/>
                <w:kern w:val="0"/>
                <w:sz w:val="36"/>
                <w:szCs w:val="36"/>
              </w:rPr>
              <w:t>单位预算一般公共预算财政拨款基本支出表</w:t>
            </w:r>
          </w:p>
        </w:tc>
      </w:tr>
      <w:tr>
        <w:tblPrEx>
          <w:tblCellMar>
            <w:top w:w="0" w:type="dxa"/>
            <w:left w:w="108" w:type="dxa"/>
            <w:bottom w:w="0" w:type="dxa"/>
            <w:right w:w="108" w:type="dxa"/>
          </w:tblCellMar>
        </w:tblPrEx>
        <w:trPr>
          <w:trHeight w:val="360" w:hRule="atLeast"/>
        </w:trPr>
        <w:tc>
          <w:tcPr>
            <w:tcW w:w="6624" w:type="dxa"/>
            <w:gridSpan w:val="4"/>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预算单位编码及名称：[314003]宁晋县民政事业服务中心</w:t>
            </w:r>
          </w:p>
        </w:tc>
        <w:tc>
          <w:tcPr>
            <w:tcW w:w="3768" w:type="dxa"/>
            <w:tcBorders>
              <w:top w:val="nil"/>
              <w:left w:val="nil"/>
              <w:bottom w:val="nil"/>
              <w:right w:val="nil"/>
            </w:tcBorders>
            <w:noWrap/>
            <w:vAlign w:val="center"/>
          </w:tcPr>
          <w:p>
            <w:pPr>
              <w:widowControl/>
              <w:jc w:val="right"/>
              <w:rPr>
                <w:rFonts w:hint="eastAsia" w:ascii="宋体" w:hAnsi="宋体" w:cs="宋体"/>
                <w:color w:val="000000"/>
                <w:kern w:val="0"/>
                <w:sz w:val="22"/>
              </w:rPr>
            </w:pPr>
            <w:r>
              <w:rPr>
                <w:rFonts w:hint="eastAsia" w:ascii="宋体" w:hAnsi="宋体" w:cs="宋体"/>
                <w:color w:val="000000"/>
                <w:kern w:val="0"/>
                <w:sz w:val="22"/>
              </w:rPr>
              <w:t>预算年度：2021</w:t>
            </w:r>
          </w:p>
        </w:tc>
        <w:tc>
          <w:tcPr>
            <w:tcW w:w="3768" w:type="dxa"/>
            <w:tcBorders>
              <w:top w:val="nil"/>
              <w:left w:val="nil"/>
              <w:bottom w:val="nil"/>
              <w:right w:val="nil"/>
            </w:tcBorders>
            <w:noWrap/>
            <w:vAlign w:val="center"/>
          </w:tcPr>
          <w:p>
            <w:pPr>
              <w:widowControl/>
              <w:jc w:val="right"/>
              <w:rPr>
                <w:rFonts w:ascii="宋体" w:hAnsi="宋体" w:cs="宋体"/>
                <w:color w:val="000000"/>
                <w:kern w:val="0"/>
                <w:sz w:val="22"/>
              </w:rPr>
            </w:pPr>
            <w:r>
              <w:rPr>
                <w:rFonts w:hint="eastAsia" w:ascii="宋体" w:hAnsi="宋体" w:cs="宋体"/>
                <w:color w:val="000000"/>
                <w:kern w:val="0"/>
                <w:sz w:val="22"/>
              </w:rPr>
              <w:t>金额单位：万元</w:t>
            </w:r>
          </w:p>
        </w:tc>
      </w:tr>
      <w:tr>
        <w:tblPrEx>
          <w:tblCellMar>
            <w:top w:w="0" w:type="dxa"/>
            <w:left w:w="108" w:type="dxa"/>
            <w:bottom w:w="0" w:type="dxa"/>
            <w:right w:w="108" w:type="dxa"/>
          </w:tblCellMar>
        </w:tblPrEx>
        <w:trPr>
          <w:trHeight w:val="360" w:hRule="atLeast"/>
        </w:trPr>
        <w:tc>
          <w:tcPr>
            <w:tcW w:w="1128"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序号</w:t>
            </w:r>
          </w:p>
        </w:tc>
        <w:tc>
          <w:tcPr>
            <w:tcW w:w="4368"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支出部门经济分类科目</w:t>
            </w:r>
          </w:p>
        </w:tc>
        <w:tc>
          <w:tcPr>
            <w:tcW w:w="8664" w:type="dxa"/>
            <w:gridSpan w:val="3"/>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一般公共预算基本支出</w:t>
            </w:r>
          </w:p>
        </w:tc>
      </w:tr>
      <w:tr>
        <w:tblPrEx>
          <w:tblCellMar>
            <w:top w:w="0" w:type="dxa"/>
            <w:left w:w="108" w:type="dxa"/>
            <w:bottom w:w="0" w:type="dxa"/>
            <w:right w:w="108" w:type="dxa"/>
          </w:tblCellMar>
        </w:tblPrEx>
        <w:trPr>
          <w:trHeight w:val="360" w:hRule="atLeast"/>
        </w:trPr>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2184"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科目编码</w:t>
            </w:r>
          </w:p>
        </w:tc>
        <w:tc>
          <w:tcPr>
            <w:tcW w:w="2184"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112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376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人员经费</w:t>
            </w:r>
          </w:p>
        </w:tc>
        <w:tc>
          <w:tcPr>
            <w:tcW w:w="376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公用经费</w:t>
            </w:r>
          </w:p>
        </w:tc>
      </w:tr>
      <w:tr>
        <w:tblPrEx>
          <w:tblCellMar>
            <w:top w:w="0" w:type="dxa"/>
            <w:left w:w="108" w:type="dxa"/>
            <w:bottom w:w="0" w:type="dxa"/>
            <w:right w:w="108" w:type="dxa"/>
          </w:tblCellMar>
        </w:tblPrEx>
        <w:trPr>
          <w:trHeight w:val="360" w:hRule="atLeast"/>
        </w:trPr>
        <w:tc>
          <w:tcPr>
            <w:tcW w:w="1128"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2184"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2184"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12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376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376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5</w:t>
            </w:r>
          </w:p>
        </w:tc>
      </w:tr>
      <w:tr>
        <w:tblPrEx>
          <w:tblCellMar>
            <w:top w:w="0" w:type="dxa"/>
            <w:left w:w="108" w:type="dxa"/>
            <w:bottom w:w="0" w:type="dxa"/>
            <w:right w:w="108" w:type="dxa"/>
          </w:tblCellMar>
        </w:tblPrEx>
        <w:trPr>
          <w:trHeight w:val="300" w:hRule="atLeast"/>
        </w:trPr>
        <w:tc>
          <w:tcPr>
            <w:tcW w:w="1128"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　</w:t>
            </w:r>
          </w:p>
        </w:tc>
        <w:tc>
          <w:tcPr>
            <w:tcW w:w="2184"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　</w:t>
            </w:r>
          </w:p>
        </w:tc>
        <w:tc>
          <w:tcPr>
            <w:tcW w:w="2184"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　</w:t>
            </w:r>
          </w:p>
        </w:tc>
        <w:tc>
          <w:tcPr>
            <w:tcW w:w="112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376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376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00" w:hRule="atLeast"/>
        </w:trPr>
        <w:tc>
          <w:tcPr>
            <w:tcW w:w="1128"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　</w:t>
            </w:r>
          </w:p>
        </w:tc>
        <w:tc>
          <w:tcPr>
            <w:tcW w:w="2184"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　</w:t>
            </w:r>
          </w:p>
        </w:tc>
        <w:tc>
          <w:tcPr>
            <w:tcW w:w="2184"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　</w:t>
            </w:r>
          </w:p>
        </w:tc>
        <w:tc>
          <w:tcPr>
            <w:tcW w:w="112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376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376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00" w:hRule="atLeast"/>
        </w:trPr>
        <w:tc>
          <w:tcPr>
            <w:tcW w:w="14160" w:type="dxa"/>
            <w:gridSpan w:val="6"/>
            <w:tcBorders>
              <w:top w:val="single" w:color="auto" w:sz="4" w:space="0"/>
              <w:left w:val="nil"/>
              <w:bottom w:val="nil"/>
              <w:right w:val="nil"/>
            </w:tcBorders>
            <w:noWrap/>
            <w:vAlign w:val="top"/>
          </w:tcPr>
          <w:p>
            <w:pPr>
              <w:widowControl/>
              <w:jc w:val="center"/>
              <w:rPr>
                <w:rFonts w:ascii="宋体" w:hAnsi="宋体" w:cs="宋体"/>
                <w:color w:val="000000"/>
                <w:kern w:val="0"/>
                <w:sz w:val="22"/>
              </w:rPr>
            </w:pPr>
            <w:r>
              <w:rPr>
                <w:rFonts w:hint="eastAsia" w:ascii="宋体" w:hAnsi="宋体" w:cs="宋体"/>
                <w:color w:val="000000"/>
                <w:kern w:val="0"/>
                <w:sz w:val="22"/>
              </w:rPr>
              <w:t>注：本单位无基本支出，空表列示。</w:t>
            </w:r>
          </w:p>
        </w:tc>
      </w:tr>
    </w:tbl>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tbl>
      <w:tblPr>
        <w:tblStyle w:val="8"/>
        <w:tblW w:w="14040" w:type="dxa"/>
        <w:tblInd w:w="93" w:type="dxa"/>
        <w:tblLayout w:type="fixed"/>
        <w:tblCellMar>
          <w:top w:w="0" w:type="dxa"/>
          <w:left w:w="108" w:type="dxa"/>
          <w:bottom w:w="0" w:type="dxa"/>
          <w:right w:w="108" w:type="dxa"/>
        </w:tblCellMar>
      </w:tblPr>
      <w:tblGrid>
        <w:gridCol w:w="1119"/>
        <w:gridCol w:w="2166"/>
        <w:gridCol w:w="2165"/>
        <w:gridCol w:w="1118"/>
        <w:gridCol w:w="3736"/>
        <w:gridCol w:w="3736"/>
      </w:tblGrid>
      <w:tr>
        <w:tblPrEx>
          <w:tblCellMar>
            <w:top w:w="0" w:type="dxa"/>
            <w:left w:w="108" w:type="dxa"/>
            <w:bottom w:w="0" w:type="dxa"/>
            <w:right w:w="108" w:type="dxa"/>
          </w:tblCellMar>
        </w:tblPrEx>
        <w:trPr>
          <w:trHeight w:val="795" w:hRule="atLeast"/>
        </w:trPr>
        <w:tc>
          <w:tcPr>
            <w:tcW w:w="14040" w:type="dxa"/>
            <w:gridSpan w:val="6"/>
            <w:tcBorders>
              <w:top w:val="nil"/>
              <w:left w:val="nil"/>
              <w:bottom w:val="nil"/>
              <w:right w:val="nil"/>
            </w:tcBorders>
            <w:noWrap/>
            <w:vAlign w:val="center"/>
          </w:tcPr>
          <w:p>
            <w:pPr>
              <w:widowControl/>
              <w:jc w:val="center"/>
              <w:rPr>
                <w:rFonts w:hint="eastAsia" w:ascii="宋体" w:hAnsi="宋体" w:cs="宋体"/>
                <w:color w:val="000000"/>
                <w:kern w:val="0"/>
                <w:sz w:val="36"/>
                <w:szCs w:val="36"/>
              </w:rPr>
            </w:pPr>
          </w:p>
          <w:p>
            <w:pPr>
              <w:widowControl/>
              <w:jc w:val="center"/>
              <w:rPr>
                <w:rFonts w:ascii="宋体" w:hAnsi="宋体" w:cs="宋体"/>
                <w:color w:val="000000"/>
                <w:kern w:val="0"/>
                <w:sz w:val="36"/>
                <w:szCs w:val="36"/>
              </w:rPr>
            </w:pPr>
            <w:r>
              <w:rPr>
                <w:rFonts w:hint="eastAsia" w:ascii="宋体" w:hAnsi="宋体" w:cs="宋体"/>
                <w:color w:val="000000"/>
                <w:kern w:val="0"/>
                <w:sz w:val="36"/>
                <w:szCs w:val="36"/>
              </w:rPr>
              <w:t>单位预算政府基金预算财政拨款支出表</w:t>
            </w:r>
          </w:p>
        </w:tc>
      </w:tr>
      <w:tr>
        <w:tblPrEx>
          <w:tblCellMar>
            <w:top w:w="0" w:type="dxa"/>
            <w:left w:w="108" w:type="dxa"/>
            <w:bottom w:w="0" w:type="dxa"/>
            <w:right w:w="108" w:type="dxa"/>
          </w:tblCellMar>
        </w:tblPrEx>
        <w:trPr>
          <w:trHeight w:val="360" w:hRule="atLeast"/>
        </w:trPr>
        <w:tc>
          <w:tcPr>
            <w:tcW w:w="6568" w:type="dxa"/>
            <w:gridSpan w:val="4"/>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预算单位编码及名称：[314003]宁晋县民政事业服务中心</w:t>
            </w:r>
          </w:p>
        </w:tc>
        <w:tc>
          <w:tcPr>
            <w:tcW w:w="3736" w:type="dxa"/>
            <w:tcBorders>
              <w:top w:val="nil"/>
              <w:left w:val="nil"/>
              <w:bottom w:val="nil"/>
              <w:right w:val="nil"/>
            </w:tcBorders>
            <w:noWrap/>
            <w:vAlign w:val="center"/>
          </w:tcPr>
          <w:p>
            <w:pPr>
              <w:widowControl/>
              <w:jc w:val="right"/>
              <w:rPr>
                <w:rFonts w:hint="eastAsia" w:ascii="宋体" w:hAnsi="宋体" w:cs="宋体"/>
                <w:color w:val="000000"/>
                <w:kern w:val="0"/>
                <w:sz w:val="22"/>
              </w:rPr>
            </w:pPr>
            <w:r>
              <w:rPr>
                <w:rFonts w:hint="eastAsia" w:ascii="宋体" w:hAnsi="宋体" w:cs="宋体"/>
                <w:color w:val="000000"/>
                <w:kern w:val="0"/>
                <w:sz w:val="22"/>
              </w:rPr>
              <w:t>预算年度：2021</w:t>
            </w:r>
          </w:p>
        </w:tc>
        <w:tc>
          <w:tcPr>
            <w:tcW w:w="3736" w:type="dxa"/>
            <w:tcBorders>
              <w:top w:val="nil"/>
              <w:left w:val="nil"/>
              <w:bottom w:val="nil"/>
              <w:right w:val="nil"/>
            </w:tcBorders>
            <w:noWrap/>
            <w:vAlign w:val="center"/>
          </w:tcPr>
          <w:p>
            <w:pPr>
              <w:widowControl/>
              <w:jc w:val="right"/>
              <w:rPr>
                <w:rFonts w:ascii="宋体" w:hAnsi="宋体" w:cs="宋体"/>
                <w:color w:val="000000"/>
                <w:kern w:val="0"/>
                <w:sz w:val="22"/>
              </w:rPr>
            </w:pPr>
            <w:r>
              <w:rPr>
                <w:rFonts w:hint="eastAsia" w:ascii="宋体" w:hAnsi="宋体" w:cs="宋体"/>
                <w:color w:val="000000"/>
                <w:kern w:val="0"/>
                <w:sz w:val="22"/>
              </w:rPr>
              <w:t>金额单位：万元</w:t>
            </w:r>
          </w:p>
        </w:tc>
      </w:tr>
      <w:tr>
        <w:tblPrEx>
          <w:tblCellMar>
            <w:top w:w="0" w:type="dxa"/>
            <w:left w:w="108" w:type="dxa"/>
            <w:bottom w:w="0" w:type="dxa"/>
            <w:right w:w="108" w:type="dxa"/>
          </w:tblCellMar>
        </w:tblPrEx>
        <w:trPr>
          <w:trHeight w:val="360" w:hRule="atLeast"/>
        </w:trPr>
        <w:tc>
          <w:tcPr>
            <w:tcW w:w="1119"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序号</w:t>
            </w:r>
          </w:p>
        </w:tc>
        <w:tc>
          <w:tcPr>
            <w:tcW w:w="4331"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支出功能分类科目</w:t>
            </w:r>
          </w:p>
        </w:tc>
        <w:tc>
          <w:tcPr>
            <w:tcW w:w="1118"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3736"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基本支出</w:t>
            </w:r>
          </w:p>
        </w:tc>
        <w:tc>
          <w:tcPr>
            <w:tcW w:w="3736"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项目支出</w:t>
            </w:r>
          </w:p>
        </w:tc>
      </w:tr>
      <w:tr>
        <w:tblPrEx>
          <w:tblCellMar>
            <w:top w:w="0" w:type="dxa"/>
            <w:left w:w="108" w:type="dxa"/>
            <w:bottom w:w="0" w:type="dxa"/>
            <w:right w:w="108" w:type="dxa"/>
          </w:tblCellMar>
        </w:tblPrEx>
        <w:trPr>
          <w:trHeight w:val="360" w:hRule="atLeast"/>
        </w:trPr>
        <w:tc>
          <w:tcPr>
            <w:tcW w:w="111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216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科目编码</w:t>
            </w:r>
          </w:p>
        </w:tc>
        <w:tc>
          <w:tcPr>
            <w:tcW w:w="216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111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37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37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r>
      <w:tr>
        <w:tblPrEx>
          <w:tblCellMar>
            <w:top w:w="0" w:type="dxa"/>
            <w:left w:w="108" w:type="dxa"/>
            <w:bottom w:w="0" w:type="dxa"/>
            <w:right w:w="108" w:type="dxa"/>
          </w:tblCellMar>
        </w:tblPrEx>
        <w:trPr>
          <w:trHeight w:val="360" w:hRule="atLeast"/>
        </w:trPr>
        <w:tc>
          <w:tcPr>
            <w:tcW w:w="1119"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216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216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11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373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373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5</w:t>
            </w:r>
          </w:p>
        </w:tc>
      </w:tr>
      <w:tr>
        <w:tblPrEx>
          <w:tblCellMar>
            <w:top w:w="0" w:type="dxa"/>
            <w:left w:w="108" w:type="dxa"/>
            <w:bottom w:w="0" w:type="dxa"/>
            <w:right w:w="108" w:type="dxa"/>
          </w:tblCellMar>
        </w:tblPrEx>
        <w:trPr>
          <w:trHeight w:val="300" w:hRule="atLeast"/>
        </w:trPr>
        <w:tc>
          <w:tcPr>
            <w:tcW w:w="1119"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　</w:t>
            </w:r>
          </w:p>
        </w:tc>
        <w:tc>
          <w:tcPr>
            <w:tcW w:w="2166"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　</w:t>
            </w:r>
          </w:p>
        </w:tc>
        <w:tc>
          <w:tcPr>
            <w:tcW w:w="2165"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　</w:t>
            </w:r>
          </w:p>
        </w:tc>
        <w:tc>
          <w:tcPr>
            <w:tcW w:w="111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373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373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00" w:hRule="atLeast"/>
        </w:trPr>
        <w:tc>
          <w:tcPr>
            <w:tcW w:w="10304" w:type="dxa"/>
            <w:gridSpan w:val="5"/>
            <w:tcBorders>
              <w:top w:val="single" w:color="auto" w:sz="4" w:space="0"/>
              <w:left w:val="single" w:color="auto" w:sz="4" w:space="0"/>
              <w:bottom w:val="single" w:color="auto" w:sz="4" w:space="0"/>
              <w:right w:val="single" w:color="000000" w:sz="4" w:space="0"/>
            </w:tcBorders>
            <w:noWrap/>
            <w:vAlign w:val="top"/>
          </w:tcPr>
          <w:p>
            <w:pPr>
              <w:widowControl/>
              <w:jc w:val="center"/>
              <w:rPr>
                <w:rFonts w:ascii="宋体" w:hAnsi="宋体" w:cs="宋体"/>
                <w:color w:val="000000"/>
                <w:kern w:val="0"/>
                <w:sz w:val="22"/>
              </w:rPr>
            </w:pPr>
            <w:r>
              <w:rPr>
                <w:rFonts w:hint="eastAsia" w:ascii="宋体" w:hAnsi="宋体" w:cs="宋体"/>
                <w:color w:val="000000"/>
                <w:kern w:val="0"/>
                <w:sz w:val="22"/>
              </w:rPr>
              <w:t>注：本单位无政府基金预算，空表列示。</w:t>
            </w:r>
          </w:p>
        </w:tc>
        <w:tc>
          <w:tcPr>
            <w:tcW w:w="3736"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bl>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tbl>
      <w:tblPr>
        <w:tblStyle w:val="8"/>
        <w:tblW w:w="13860" w:type="dxa"/>
        <w:tblInd w:w="93" w:type="dxa"/>
        <w:tblLayout w:type="fixed"/>
        <w:tblCellMar>
          <w:top w:w="0" w:type="dxa"/>
          <w:left w:w="108" w:type="dxa"/>
          <w:bottom w:w="0" w:type="dxa"/>
          <w:right w:w="108" w:type="dxa"/>
        </w:tblCellMar>
      </w:tblPr>
      <w:tblGrid>
        <w:gridCol w:w="1104"/>
        <w:gridCol w:w="2138"/>
        <w:gridCol w:w="2138"/>
        <w:gridCol w:w="1104"/>
        <w:gridCol w:w="3688"/>
        <w:gridCol w:w="3688"/>
      </w:tblGrid>
      <w:tr>
        <w:tblPrEx>
          <w:tblCellMar>
            <w:top w:w="0" w:type="dxa"/>
            <w:left w:w="108" w:type="dxa"/>
            <w:bottom w:w="0" w:type="dxa"/>
            <w:right w:w="108" w:type="dxa"/>
          </w:tblCellMar>
        </w:tblPrEx>
        <w:trPr>
          <w:trHeight w:val="360" w:hRule="atLeast"/>
        </w:trPr>
        <w:tc>
          <w:tcPr>
            <w:tcW w:w="13860" w:type="dxa"/>
            <w:gridSpan w:val="6"/>
            <w:tcBorders>
              <w:top w:val="nil"/>
              <w:left w:val="nil"/>
              <w:bottom w:val="nil"/>
              <w:right w:val="nil"/>
            </w:tcBorders>
            <w:noWrap/>
            <w:vAlign w:val="center"/>
          </w:tcPr>
          <w:p>
            <w:pPr>
              <w:widowControl/>
              <w:jc w:val="center"/>
              <w:rPr>
                <w:rFonts w:hint="eastAsia" w:ascii="宋体" w:hAnsi="宋体" w:cs="宋体"/>
                <w:color w:val="000000"/>
                <w:kern w:val="0"/>
                <w:sz w:val="36"/>
                <w:szCs w:val="36"/>
              </w:rPr>
            </w:pPr>
          </w:p>
          <w:p>
            <w:pPr>
              <w:widowControl/>
              <w:jc w:val="center"/>
              <w:rPr>
                <w:rFonts w:ascii="宋体" w:hAnsi="宋体" w:cs="宋体"/>
                <w:color w:val="000000"/>
                <w:kern w:val="0"/>
                <w:sz w:val="36"/>
                <w:szCs w:val="36"/>
              </w:rPr>
            </w:pPr>
            <w:r>
              <w:rPr>
                <w:rFonts w:hint="eastAsia" w:ascii="宋体" w:hAnsi="宋体" w:cs="宋体"/>
                <w:color w:val="000000"/>
                <w:kern w:val="0"/>
                <w:sz w:val="36"/>
                <w:szCs w:val="36"/>
              </w:rPr>
              <w:t>单位预算国有资本经营预算财政拨款支出表</w:t>
            </w:r>
          </w:p>
        </w:tc>
      </w:tr>
      <w:tr>
        <w:tblPrEx>
          <w:tblCellMar>
            <w:top w:w="0" w:type="dxa"/>
            <w:left w:w="108" w:type="dxa"/>
            <w:bottom w:w="0" w:type="dxa"/>
            <w:right w:w="108" w:type="dxa"/>
          </w:tblCellMar>
        </w:tblPrEx>
        <w:trPr>
          <w:trHeight w:val="360" w:hRule="atLeast"/>
        </w:trPr>
        <w:tc>
          <w:tcPr>
            <w:tcW w:w="6484" w:type="dxa"/>
            <w:gridSpan w:val="4"/>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预算单位编码及名称：[314003]宁晋县民政事业服务中心</w:t>
            </w:r>
          </w:p>
        </w:tc>
        <w:tc>
          <w:tcPr>
            <w:tcW w:w="3688" w:type="dxa"/>
            <w:tcBorders>
              <w:top w:val="nil"/>
              <w:left w:val="nil"/>
              <w:bottom w:val="nil"/>
              <w:right w:val="nil"/>
            </w:tcBorders>
            <w:noWrap/>
            <w:vAlign w:val="center"/>
          </w:tcPr>
          <w:p>
            <w:pPr>
              <w:widowControl/>
              <w:jc w:val="right"/>
              <w:rPr>
                <w:rFonts w:hint="eastAsia" w:ascii="宋体" w:hAnsi="宋体" w:cs="宋体"/>
                <w:color w:val="000000"/>
                <w:kern w:val="0"/>
                <w:sz w:val="22"/>
              </w:rPr>
            </w:pPr>
            <w:r>
              <w:rPr>
                <w:rFonts w:hint="eastAsia" w:ascii="宋体" w:hAnsi="宋体" w:cs="宋体"/>
                <w:color w:val="000000"/>
                <w:kern w:val="0"/>
                <w:sz w:val="22"/>
              </w:rPr>
              <w:t>预算年度：2021</w:t>
            </w:r>
          </w:p>
        </w:tc>
        <w:tc>
          <w:tcPr>
            <w:tcW w:w="3688" w:type="dxa"/>
            <w:tcBorders>
              <w:top w:val="nil"/>
              <w:left w:val="nil"/>
              <w:bottom w:val="nil"/>
              <w:right w:val="nil"/>
            </w:tcBorders>
            <w:noWrap/>
            <w:vAlign w:val="center"/>
          </w:tcPr>
          <w:p>
            <w:pPr>
              <w:widowControl/>
              <w:jc w:val="right"/>
              <w:rPr>
                <w:rFonts w:ascii="宋体" w:hAnsi="宋体" w:cs="宋体"/>
                <w:color w:val="000000"/>
                <w:kern w:val="0"/>
                <w:sz w:val="22"/>
              </w:rPr>
            </w:pPr>
            <w:r>
              <w:rPr>
                <w:rFonts w:hint="eastAsia" w:ascii="宋体" w:hAnsi="宋体" w:cs="宋体"/>
                <w:color w:val="000000"/>
                <w:kern w:val="0"/>
                <w:sz w:val="22"/>
              </w:rPr>
              <w:t>金额单位：万元</w:t>
            </w:r>
          </w:p>
        </w:tc>
      </w:tr>
      <w:tr>
        <w:tblPrEx>
          <w:tblCellMar>
            <w:top w:w="0" w:type="dxa"/>
            <w:left w:w="108" w:type="dxa"/>
            <w:bottom w:w="0" w:type="dxa"/>
            <w:right w:w="108" w:type="dxa"/>
          </w:tblCellMar>
        </w:tblPrEx>
        <w:trPr>
          <w:trHeight w:val="360" w:hRule="atLeast"/>
        </w:trPr>
        <w:tc>
          <w:tcPr>
            <w:tcW w:w="1104"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序号</w:t>
            </w:r>
          </w:p>
        </w:tc>
        <w:tc>
          <w:tcPr>
            <w:tcW w:w="4276"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支出功能分类科目</w:t>
            </w:r>
          </w:p>
        </w:tc>
        <w:tc>
          <w:tcPr>
            <w:tcW w:w="1104"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3688"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基本支出</w:t>
            </w:r>
          </w:p>
        </w:tc>
        <w:tc>
          <w:tcPr>
            <w:tcW w:w="3688"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项目支出</w:t>
            </w:r>
          </w:p>
        </w:tc>
      </w:tr>
      <w:tr>
        <w:tblPrEx>
          <w:tblCellMar>
            <w:top w:w="0" w:type="dxa"/>
            <w:left w:w="108" w:type="dxa"/>
            <w:bottom w:w="0" w:type="dxa"/>
            <w:right w:w="108" w:type="dxa"/>
          </w:tblCellMar>
        </w:tblPrEx>
        <w:trPr>
          <w:trHeight w:val="360" w:hRule="atLeast"/>
        </w:trPr>
        <w:tc>
          <w:tcPr>
            <w:tcW w:w="110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213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科目编码</w:t>
            </w:r>
          </w:p>
        </w:tc>
        <w:tc>
          <w:tcPr>
            <w:tcW w:w="213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科目名称</w:t>
            </w:r>
          </w:p>
        </w:tc>
        <w:tc>
          <w:tcPr>
            <w:tcW w:w="110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368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368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r>
      <w:tr>
        <w:tblPrEx>
          <w:tblCellMar>
            <w:top w:w="0" w:type="dxa"/>
            <w:left w:w="108" w:type="dxa"/>
            <w:bottom w:w="0" w:type="dxa"/>
            <w:right w:w="108" w:type="dxa"/>
          </w:tblCellMar>
        </w:tblPrEx>
        <w:trPr>
          <w:trHeight w:val="360" w:hRule="atLeast"/>
        </w:trPr>
        <w:tc>
          <w:tcPr>
            <w:tcW w:w="1104"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213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213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368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368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5</w:t>
            </w:r>
          </w:p>
        </w:tc>
      </w:tr>
      <w:tr>
        <w:tblPrEx>
          <w:tblCellMar>
            <w:top w:w="0" w:type="dxa"/>
            <w:left w:w="108" w:type="dxa"/>
            <w:bottom w:w="0" w:type="dxa"/>
            <w:right w:w="108" w:type="dxa"/>
          </w:tblCellMar>
        </w:tblPrEx>
        <w:trPr>
          <w:trHeight w:val="300" w:hRule="atLeast"/>
        </w:trPr>
        <w:tc>
          <w:tcPr>
            <w:tcW w:w="1104"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　</w:t>
            </w:r>
          </w:p>
        </w:tc>
        <w:tc>
          <w:tcPr>
            <w:tcW w:w="2138"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　</w:t>
            </w:r>
          </w:p>
        </w:tc>
        <w:tc>
          <w:tcPr>
            <w:tcW w:w="2138"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　</w:t>
            </w:r>
          </w:p>
        </w:tc>
        <w:tc>
          <w:tcPr>
            <w:tcW w:w="1104"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368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368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00" w:hRule="atLeast"/>
        </w:trPr>
        <w:tc>
          <w:tcPr>
            <w:tcW w:w="13860" w:type="dxa"/>
            <w:gridSpan w:val="6"/>
            <w:tcBorders>
              <w:top w:val="single" w:color="auto" w:sz="4" w:space="0"/>
              <w:left w:val="single" w:color="auto" w:sz="4" w:space="0"/>
              <w:bottom w:val="single" w:color="auto" w:sz="4" w:space="0"/>
              <w:right w:val="single" w:color="000000" w:sz="4" w:space="0"/>
            </w:tcBorders>
            <w:noWrap/>
            <w:vAlign w:val="top"/>
          </w:tcPr>
          <w:p>
            <w:pPr>
              <w:widowControl/>
              <w:jc w:val="center"/>
              <w:rPr>
                <w:rFonts w:ascii="宋体" w:hAnsi="宋体" w:cs="宋体"/>
                <w:color w:val="000000"/>
                <w:kern w:val="0"/>
                <w:sz w:val="22"/>
              </w:rPr>
            </w:pPr>
            <w:r>
              <w:rPr>
                <w:rFonts w:hint="eastAsia" w:ascii="宋体" w:hAnsi="宋体" w:cs="宋体"/>
                <w:color w:val="000000"/>
                <w:kern w:val="0"/>
                <w:sz w:val="22"/>
              </w:rPr>
              <w:t>注：本单位无国有资本经营预算，空表列示。</w:t>
            </w:r>
          </w:p>
        </w:tc>
      </w:tr>
    </w:tbl>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tbl>
      <w:tblPr>
        <w:tblStyle w:val="8"/>
        <w:tblW w:w="14320" w:type="dxa"/>
        <w:tblInd w:w="93" w:type="dxa"/>
        <w:tblLayout w:type="fixed"/>
        <w:tblCellMar>
          <w:top w:w="0" w:type="dxa"/>
          <w:left w:w="108" w:type="dxa"/>
          <w:bottom w:w="0" w:type="dxa"/>
          <w:right w:w="108" w:type="dxa"/>
        </w:tblCellMar>
      </w:tblPr>
      <w:tblGrid>
        <w:gridCol w:w="809"/>
        <w:gridCol w:w="809"/>
        <w:gridCol w:w="809"/>
        <w:gridCol w:w="3838"/>
        <w:gridCol w:w="3460"/>
        <w:gridCol w:w="4595"/>
      </w:tblGrid>
      <w:tr>
        <w:tblPrEx>
          <w:tblCellMar>
            <w:top w:w="0" w:type="dxa"/>
            <w:left w:w="108" w:type="dxa"/>
            <w:bottom w:w="0" w:type="dxa"/>
            <w:right w:w="108" w:type="dxa"/>
          </w:tblCellMar>
        </w:tblPrEx>
        <w:trPr>
          <w:trHeight w:val="525" w:hRule="atLeast"/>
        </w:trPr>
        <w:tc>
          <w:tcPr>
            <w:tcW w:w="14320" w:type="dxa"/>
            <w:gridSpan w:val="6"/>
            <w:tcBorders>
              <w:top w:val="nil"/>
              <w:left w:val="nil"/>
              <w:bottom w:val="nil"/>
              <w:right w:val="nil"/>
            </w:tcBorders>
            <w:noWrap/>
            <w:vAlign w:val="center"/>
          </w:tcPr>
          <w:p>
            <w:pPr>
              <w:widowControl/>
              <w:jc w:val="center"/>
              <w:rPr>
                <w:rFonts w:hint="eastAsia" w:ascii="宋体" w:hAnsi="宋体" w:cs="宋体"/>
                <w:color w:val="000000"/>
                <w:kern w:val="0"/>
                <w:sz w:val="36"/>
                <w:szCs w:val="36"/>
              </w:rPr>
            </w:pPr>
          </w:p>
          <w:p>
            <w:pPr>
              <w:widowControl/>
              <w:jc w:val="center"/>
              <w:rPr>
                <w:rFonts w:ascii="宋体" w:hAnsi="宋体" w:cs="宋体"/>
                <w:color w:val="000000"/>
                <w:kern w:val="0"/>
                <w:sz w:val="36"/>
                <w:szCs w:val="36"/>
              </w:rPr>
            </w:pPr>
            <w:r>
              <w:rPr>
                <w:rFonts w:hint="eastAsia" w:ascii="宋体" w:hAnsi="宋体" w:cs="宋体"/>
                <w:color w:val="000000"/>
                <w:kern w:val="0"/>
                <w:sz w:val="36"/>
                <w:szCs w:val="36"/>
              </w:rPr>
              <w:t>单位预算财政拨款“三公”经费支出表</w:t>
            </w:r>
          </w:p>
        </w:tc>
      </w:tr>
      <w:tr>
        <w:tblPrEx>
          <w:tblCellMar>
            <w:top w:w="0" w:type="dxa"/>
            <w:left w:w="108" w:type="dxa"/>
            <w:bottom w:w="0" w:type="dxa"/>
            <w:right w:w="108" w:type="dxa"/>
          </w:tblCellMar>
        </w:tblPrEx>
        <w:trPr>
          <w:trHeight w:val="360" w:hRule="atLeast"/>
        </w:trPr>
        <w:tc>
          <w:tcPr>
            <w:tcW w:w="6265" w:type="dxa"/>
            <w:gridSpan w:val="4"/>
            <w:tcBorders>
              <w:top w:val="nil"/>
              <w:left w:val="nil"/>
              <w:bottom w:val="nil"/>
              <w:right w:val="nil"/>
            </w:tcBorders>
            <w:noWrap/>
            <w:vAlign w:val="center"/>
          </w:tcPr>
          <w:p>
            <w:pPr>
              <w:widowControl/>
              <w:jc w:val="left"/>
              <w:rPr>
                <w:rFonts w:ascii="宋体" w:hAnsi="宋体" w:cs="宋体"/>
                <w:color w:val="000000"/>
                <w:kern w:val="0"/>
                <w:sz w:val="22"/>
              </w:rPr>
            </w:pPr>
            <w:r>
              <w:rPr>
                <w:rFonts w:hint="eastAsia" w:ascii="宋体" w:hAnsi="宋体" w:cs="宋体"/>
                <w:color w:val="000000"/>
                <w:kern w:val="0"/>
                <w:sz w:val="22"/>
              </w:rPr>
              <w:t>预算单位编码及名称：[314003]宁晋县民政事业服务中心</w:t>
            </w:r>
          </w:p>
        </w:tc>
        <w:tc>
          <w:tcPr>
            <w:tcW w:w="3460" w:type="dxa"/>
            <w:tcBorders>
              <w:top w:val="nil"/>
              <w:left w:val="nil"/>
              <w:bottom w:val="nil"/>
              <w:right w:val="nil"/>
            </w:tcBorders>
            <w:noWrap/>
            <w:vAlign w:val="center"/>
          </w:tcPr>
          <w:p>
            <w:pPr>
              <w:widowControl/>
              <w:jc w:val="right"/>
              <w:rPr>
                <w:rFonts w:hint="eastAsia" w:ascii="宋体" w:hAnsi="宋体" w:cs="宋体"/>
                <w:color w:val="000000"/>
                <w:kern w:val="0"/>
                <w:sz w:val="22"/>
              </w:rPr>
            </w:pPr>
            <w:r>
              <w:rPr>
                <w:rFonts w:hint="eastAsia" w:ascii="宋体" w:hAnsi="宋体" w:cs="宋体"/>
                <w:color w:val="000000"/>
                <w:kern w:val="0"/>
                <w:sz w:val="22"/>
              </w:rPr>
              <w:t>预算年度：2021</w:t>
            </w:r>
          </w:p>
        </w:tc>
        <w:tc>
          <w:tcPr>
            <w:tcW w:w="4595" w:type="dxa"/>
            <w:tcBorders>
              <w:top w:val="nil"/>
              <w:left w:val="nil"/>
              <w:bottom w:val="nil"/>
              <w:right w:val="nil"/>
            </w:tcBorders>
            <w:noWrap/>
            <w:vAlign w:val="center"/>
          </w:tcPr>
          <w:p>
            <w:pPr>
              <w:widowControl/>
              <w:jc w:val="right"/>
              <w:rPr>
                <w:rFonts w:ascii="宋体" w:hAnsi="宋体" w:cs="宋体"/>
                <w:color w:val="000000"/>
                <w:kern w:val="0"/>
                <w:sz w:val="22"/>
              </w:rPr>
            </w:pPr>
            <w:r>
              <w:rPr>
                <w:rFonts w:hint="eastAsia" w:ascii="宋体" w:hAnsi="宋体" w:cs="宋体"/>
                <w:color w:val="000000"/>
                <w:kern w:val="0"/>
                <w:sz w:val="22"/>
              </w:rPr>
              <w:t>金额单位：万元</w:t>
            </w:r>
          </w:p>
        </w:tc>
      </w:tr>
      <w:tr>
        <w:tblPrEx>
          <w:tblCellMar>
            <w:top w:w="0" w:type="dxa"/>
            <w:left w:w="108" w:type="dxa"/>
            <w:bottom w:w="0" w:type="dxa"/>
            <w:right w:w="108" w:type="dxa"/>
          </w:tblCellMar>
        </w:tblPrEx>
        <w:trPr>
          <w:trHeight w:val="360" w:hRule="atLeast"/>
        </w:trPr>
        <w:tc>
          <w:tcPr>
            <w:tcW w:w="809"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序号</w:t>
            </w:r>
          </w:p>
        </w:tc>
        <w:tc>
          <w:tcPr>
            <w:tcW w:w="809"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项目</w:t>
            </w:r>
          </w:p>
        </w:tc>
        <w:tc>
          <w:tcPr>
            <w:tcW w:w="12702" w:type="dxa"/>
            <w:gridSpan w:val="4"/>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资金性质</w:t>
            </w:r>
          </w:p>
        </w:tc>
      </w:tr>
      <w:tr>
        <w:tblPrEx>
          <w:tblCellMar>
            <w:top w:w="0" w:type="dxa"/>
            <w:left w:w="108" w:type="dxa"/>
            <w:bottom w:w="0" w:type="dxa"/>
            <w:right w:w="108" w:type="dxa"/>
          </w:tblCellMar>
        </w:tblPrEx>
        <w:trPr>
          <w:trHeight w:val="360" w:hRule="atLeast"/>
        </w:trPr>
        <w:tc>
          <w:tcPr>
            <w:tcW w:w="8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8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2"/>
              </w:rPr>
            </w:pPr>
          </w:p>
        </w:tc>
        <w:tc>
          <w:tcPr>
            <w:tcW w:w="809"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合计</w:t>
            </w:r>
          </w:p>
        </w:tc>
        <w:tc>
          <w:tcPr>
            <w:tcW w:w="383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一般公共预算财政拨款</w:t>
            </w:r>
          </w:p>
        </w:tc>
        <w:tc>
          <w:tcPr>
            <w:tcW w:w="346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政府性基金财政拨款</w:t>
            </w:r>
          </w:p>
        </w:tc>
        <w:tc>
          <w:tcPr>
            <w:tcW w:w="459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国有资本经营预算财政拨款</w:t>
            </w:r>
          </w:p>
        </w:tc>
      </w:tr>
      <w:tr>
        <w:tblPrEx>
          <w:tblCellMar>
            <w:top w:w="0" w:type="dxa"/>
            <w:left w:w="108" w:type="dxa"/>
            <w:bottom w:w="0" w:type="dxa"/>
            <w:right w:w="108" w:type="dxa"/>
          </w:tblCellMar>
        </w:tblPrEx>
        <w:trPr>
          <w:trHeight w:val="360" w:hRule="atLeast"/>
        </w:trPr>
        <w:tc>
          <w:tcPr>
            <w:tcW w:w="809"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栏次</w:t>
            </w:r>
          </w:p>
        </w:tc>
        <w:tc>
          <w:tcPr>
            <w:tcW w:w="809"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1</w:t>
            </w:r>
          </w:p>
        </w:tc>
        <w:tc>
          <w:tcPr>
            <w:tcW w:w="809"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2</w:t>
            </w:r>
          </w:p>
        </w:tc>
        <w:tc>
          <w:tcPr>
            <w:tcW w:w="3838"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3</w:t>
            </w:r>
          </w:p>
        </w:tc>
        <w:tc>
          <w:tcPr>
            <w:tcW w:w="3460"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4</w:t>
            </w:r>
          </w:p>
        </w:tc>
        <w:tc>
          <w:tcPr>
            <w:tcW w:w="459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rPr>
            </w:pPr>
            <w:r>
              <w:rPr>
                <w:rFonts w:hint="eastAsia" w:ascii="宋体" w:hAnsi="宋体" w:cs="宋体"/>
                <w:color w:val="000000"/>
                <w:kern w:val="0"/>
                <w:sz w:val="22"/>
              </w:rPr>
              <w:t>5</w:t>
            </w:r>
          </w:p>
        </w:tc>
      </w:tr>
      <w:tr>
        <w:tblPrEx>
          <w:tblCellMar>
            <w:top w:w="0" w:type="dxa"/>
            <w:left w:w="108" w:type="dxa"/>
            <w:bottom w:w="0" w:type="dxa"/>
            <w:right w:w="108" w:type="dxa"/>
          </w:tblCellMar>
        </w:tblPrEx>
        <w:trPr>
          <w:trHeight w:val="300" w:hRule="atLeast"/>
        </w:trPr>
        <w:tc>
          <w:tcPr>
            <w:tcW w:w="809" w:type="dxa"/>
            <w:tcBorders>
              <w:top w:val="nil"/>
              <w:left w:val="single" w:color="auto" w:sz="4" w:space="0"/>
              <w:bottom w:val="single" w:color="auto" w:sz="4" w:space="0"/>
              <w:right w:val="single" w:color="auto" w:sz="4" w:space="0"/>
            </w:tcBorders>
            <w:noWrap/>
            <w:vAlign w:val="top"/>
          </w:tcPr>
          <w:p>
            <w:pPr>
              <w:widowControl/>
              <w:jc w:val="center"/>
              <w:rPr>
                <w:rFonts w:cs="Calibri"/>
                <w:color w:val="000000"/>
                <w:kern w:val="0"/>
                <w:sz w:val="22"/>
              </w:rPr>
            </w:pPr>
            <w:r>
              <w:rPr>
                <w:rFonts w:cs="Calibri"/>
                <w:color w:val="000000"/>
                <w:kern w:val="0"/>
                <w:sz w:val="22"/>
              </w:rPr>
              <w:t>　</w:t>
            </w:r>
          </w:p>
        </w:tc>
        <w:tc>
          <w:tcPr>
            <w:tcW w:w="809" w:type="dxa"/>
            <w:tcBorders>
              <w:top w:val="nil"/>
              <w:left w:val="nil"/>
              <w:bottom w:val="single" w:color="auto" w:sz="4" w:space="0"/>
              <w:right w:val="single" w:color="auto" w:sz="4" w:space="0"/>
            </w:tcBorders>
            <w:noWrap/>
            <w:vAlign w:val="top"/>
          </w:tcPr>
          <w:p>
            <w:pPr>
              <w:widowControl/>
              <w:jc w:val="left"/>
              <w:rPr>
                <w:rFonts w:cs="Calibri"/>
                <w:color w:val="000000"/>
                <w:kern w:val="0"/>
                <w:sz w:val="22"/>
              </w:rPr>
            </w:pPr>
            <w:r>
              <w:rPr>
                <w:rFonts w:cs="Calibri"/>
                <w:color w:val="000000"/>
                <w:kern w:val="0"/>
                <w:sz w:val="22"/>
              </w:rPr>
              <w:t>　</w:t>
            </w:r>
          </w:p>
        </w:tc>
        <w:tc>
          <w:tcPr>
            <w:tcW w:w="809"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3838"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3460"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c>
          <w:tcPr>
            <w:tcW w:w="4595" w:type="dxa"/>
            <w:tcBorders>
              <w:top w:val="nil"/>
              <w:left w:val="nil"/>
              <w:bottom w:val="single" w:color="auto" w:sz="4" w:space="0"/>
              <w:right w:val="single" w:color="auto" w:sz="4" w:space="0"/>
            </w:tcBorders>
            <w:noWrap/>
            <w:vAlign w:val="top"/>
          </w:tcPr>
          <w:p>
            <w:pPr>
              <w:widowControl/>
              <w:jc w:val="right"/>
              <w:rPr>
                <w:rFonts w:cs="Calibri"/>
                <w:color w:val="000000"/>
                <w:kern w:val="0"/>
                <w:sz w:val="22"/>
              </w:rPr>
            </w:pPr>
            <w:r>
              <w:rPr>
                <w:rFonts w:cs="Calibri"/>
                <w:color w:val="000000"/>
                <w:kern w:val="0"/>
                <w:sz w:val="22"/>
              </w:rPr>
              <w:t>　</w:t>
            </w:r>
          </w:p>
        </w:tc>
      </w:tr>
      <w:tr>
        <w:tblPrEx>
          <w:tblCellMar>
            <w:top w:w="0" w:type="dxa"/>
            <w:left w:w="108" w:type="dxa"/>
            <w:bottom w:w="0" w:type="dxa"/>
            <w:right w:w="108" w:type="dxa"/>
          </w:tblCellMar>
        </w:tblPrEx>
        <w:trPr>
          <w:trHeight w:val="300" w:hRule="atLeast"/>
        </w:trPr>
        <w:tc>
          <w:tcPr>
            <w:tcW w:w="14320" w:type="dxa"/>
            <w:gridSpan w:val="6"/>
            <w:tcBorders>
              <w:top w:val="single" w:color="auto" w:sz="4" w:space="0"/>
              <w:left w:val="nil"/>
              <w:bottom w:val="nil"/>
              <w:right w:val="nil"/>
            </w:tcBorders>
            <w:noWrap/>
            <w:vAlign w:val="top"/>
          </w:tcPr>
          <w:p>
            <w:pPr>
              <w:widowControl/>
              <w:jc w:val="center"/>
              <w:rPr>
                <w:rFonts w:ascii="宋体" w:hAnsi="宋体" w:cs="宋体"/>
                <w:color w:val="000000"/>
                <w:kern w:val="0"/>
                <w:sz w:val="22"/>
              </w:rPr>
            </w:pPr>
            <w:r>
              <w:rPr>
                <w:rFonts w:hint="eastAsia" w:ascii="宋体" w:hAnsi="宋体" w:cs="宋体"/>
                <w:color w:val="000000"/>
                <w:kern w:val="0"/>
                <w:sz w:val="22"/>
              </w:rPr>
              <w:t>注：本单位无“三公”经费预算，空表列示。</w:t>
            </w:r>
          </w:p>
        </w:tc>
      </w:tr>
    </w:tbl>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jc w:val="center"/>
        <w:outlineLvl w:val="4"/>
        <w:rPr>
          <w:rFonts w:hint="eastAsia" w:ascii="宋体" w:hAnsi="宋体" w:cs="方正小标宋_GBK"/>
          <w:b/>
          <w:color w:val="000000"/>
          <w:sz w:val="36"/>
          <w:szCs w:val="36"/>
        </w:rPr>
      </w:pPr>
    </w:p>
    <w:p>
      <w:pPr>
        <w:jc w:val="center"/>
        <w:outlineLvl w:val="4"/>
        <w:rPr>
          <w:rFonts w:hint="eastAsia" w:ascii="宋体" w:hAnsi="宋体" w:cs="方正小标宋_GBK"/>
          <w:b/>
          <w:color w:val="000000"/>
          <w:sz w:val="36"/>
          <w:szCs w:val="36"/>
        </w:rPr>
      </w:pPr>
    </w:p>
    <w:p>
      <w:pPr>
        <w:jc w:val="center"/>
        <w:outlineLvl w:val="4"/>
        <w:rPr>
          <w:rFonts w:ascii="宋体" w:hAnsi="宋体"/>
          <w:b/>
          <w:sz w:val="36"/>
          <w:szCs w:val="36"/>
        </w:rPr>
      </w:pPr>
      <w:r>
        <w:rPr>
          <w:rFonts w:hint="eastAsia" w:ascii="宋体" w:hAnsi="宋体" w:cs="方正小标宋_GBK"/>
          <w:b/>
          <w:color w:val="000000"/>
          <w:sz w:val="36"/>
          <w:szCs w:val="36"/>
        </w:rPr>
        <w:t>宁晋县</w:t>
      </w:r>
      <w:r>
        <w:rPr>
          <w:rFonts w:ascii="宋体" w:hAnsi="宋体" w:cs="方正小标宋_GBK"/>
          <w:b/>
          <w:color w:val="000000"/>
          <w:sz w:val="36"/>
          <w:szCs w:val="36"/>
        </w:rPr>
        <w:t>民政事业服务中心202</w:t>
      </w:r>
      <w:r>
        <w:rPr>
          <w:rFonts w:hint="eastAsia" w:ascii="宋体" w:hAnsi="宋体" w:cs="方正小标宋_GBK"/>
          <w:b/>
          <w:color w:val="000000"/>
          <w:sz w:val="36"/>
          <w:szCs w:val="36"/>
        </w:rPr>
        <w:t>1</w:t>
      </w:r>
      <w:r>
        <w:rPr>
          <w:rFonts w:ascii="宋体" w:hAnsi="宋体" w:cs="方正小标宋_GBK"/>
          <w:b/>
          <w:color w:val="000000"/>
          <w:sz w:val="36"/>
          <w:szCs w:val="36"/>
        </w:rPr>
        <w:t>年单位预算信息公开情况说明</w:t>
      </w:r>
    </w:p>
    <w:p>
      <w:pPr>
        <w:spacing w:line="500" w:lineRule="exact"/>
        <w:ind w:firstLine="560"/>
        <w:rPr>
          <w:rFonts w:ascii="宋体" w:hAnsi="宋体"/>
          <w:sz w:val="30"/>
          <w:szCs w:val="30"/>
        </w:rPr>
      </w:pPr>
      <w:r>
        <w:rPr>
          <w:rFonts w:ascii="宋体" w:hAnsi="宋体"/>
          <w:color w:val="000000"/>
          <w:sz w:val="30"/>
          <w:szCs w:val="30"/>
        </w:rPr>
        <w:t>按照</w:t>
      </w:r>
      <w:r>
        <w:rPr>
          <w:rFonts w:hint="eastAsia" w:ascii="宋体" w:hAnsi="宋体"/>
          <w:color w:val="000000"/>
          <w:sz w:val="30"/>
          <w:szCs w:val="30"/>
          <w:lang w:eastAsia="zh-CN"/>
        </w:rPr>
        <w:t>《中华人民共和国预算法》</w:t>
      </w:r>
      <w:r>
        <w:rPr>
          <w:rFonts w:ascii="宋体" w:hAnsi="宋体"/>
          <w:color w:val="000000"/>
          <w:sz w:val="30"/>
          <w:szCs w:val="30"/>
        </w:rPr>
        <w:t>、《地方预决算公开操作规程》和《关于进一步推进预算公开工作的实施意见》规定，现将</w:t>
      </w:r>
      <w:r>
        <w:rPr>
          <w:rFonts w:hint="eastAsia" w:ascii="宋体" w:hAnsi="宋体"/>
          <w:color w:val="000000"/>
          <w:sz w:val="30"/>
          <w:szCs w:val="30"/>
        </w:rPr>
        <w:t>宁晋县</w:t>
      </w:r>
      <w:r>
        <w:rPr>
          <w:rFonts w:ascii="宋体" w:hAnsi="宋体"/>
          <w:color w:val="000000"/>
          <w:sz w:val="30"/>
          <w:szCs w:val="30"/>
        </w:rPr>
        <w:t>民政事业服务中心202</w:t>
      </w:r>
      <w:r>
        <w:rPr>
          <w:rFonts w:hint="eastAsia" w:ascii="宋体" w:hAnsi="宋体"/>
          <w:color w:val="000000"/>
          <w:sz w:val="30"/>
          <w:szCs w:val="30"/>
        </w:rPr>
        <w:t>1</w:t>
      </w:r>
      <w:r>
        <w:rPr>
          <w:rFonts w:ascii="宋体" w:hAnsi="宋体"/>
          <w:color w:val="000000"/>
          <w:sz w:val="30"/>
          <w:szCs w:val="30"/>
        </w:rPr>
        <w:t>年单位预算公开如下：</w:t>
      </w:r>
    </w:p>
    <w:p>
      <w:pPr>
        <w:spacing w:before="10" w:after="10"/>
        <w:ind w:firstLine="640"/>
        <w:outlineLvl w:val="5"/>
        <w:rPr>
          <w:rFonts w:ascii="宋体" w:hAnsi="宋体"/>
          <w:b/>
          <w:sz w:val="30"/>
          <w:szCs w:val="30"/>
        </w:rPr>
      </w:pPr>
      <w:r>
        <w:rPr>
          <w:rFonts w:ascii="宋体" w:hAnsi="宋体" w:cs="黑体"/>
          <w:b/>
          <w:color w:val="000000"/>
          <w:sz w:val="30"/>
          <w:szCs w:val="30"/>
        </w:rPr>
        <w:t>一、单位职责及机构设置情况</w:t>
      </w:r>
    </w:p>
    <w:p>
      <w:pPr>
        <w:ind w:firstLine="640"/>
        <w:rPr>
          <w:rFonts w:ascii="宋体" w:hAnsi="宋体"/>
          <w:sz w:val="30"/>
          <w:szCs w:val="30"/>
        </w:rPr>
      </w:pPr>
      <w:r>
        <w:rPr>
          <w:rFonts w:ascii="宋体" w:hAnsi="宋体" w:cs="方正楷体_GBK"/>
          <w:b/>
          <w:color w:val="000000"/>
          <w:sz w:val="30"/>
          <w:szCs w:val="30"/>
        </w:rPr>
        <w:t>单位职责：</w:t>
      </w:r>
    </w:p>
    <w:p>
      <w:pPr>
        <w:pStyle w:val="16"/>
        <w:rPr>
          <w:rFonts w:hint="eastAsia" w:ascii="宋体" w:hAnsi="宋体" w:eastAsia="宋体"/>
          <w:sz w:val="30"/>
          <w:szCs w:val="30"/>
          <w:lang w:eastAsia="zh-CN"/>
        </w:rPr>
      </w:pPr>
      <w:r>
        <w:rPr>
          <w:rFonts w:hint="eastAsia" w:ascii="宋体" w:hAnsi="宋体" w:eastAsia="宋体"/>
          <w:sz w:val="30"/>
          <w:szCs w:val="30"/>
          <w:lang w:eastAsia="zh-CN"/>
        </w:rPr>
        <w:t>集中供养五保对象、孤老优抚对象，接受自愿入院的孤老烈属、孤老退伍老军人战士、孤老伤残复员军人、社会老人，以及未满十六周岁的烈士遗孤和患有残病生活不能自理、家中无人照顾的烈士子女，为他们提供饮食、衣服、医疗、住宿、丧葬等服务；弃婴、孤儿的供养和救助。</w:t>
      </w:r>
    </w:p>
    <w:p>
      <w:pPr>
        <w:ind w:firstLine="640"/>
        <w:rPr>
          <w:rFonts w:ascii="宋体" w:hAnsi="宋体"/>
          <w:sz w:val="30"/>
          <w:szCs w:val="30"/>
        </w:rPr>
      </w:pPr>
      <w:r>
        <w:rPr>
          <w:rFonts w:ascii="宋体" w:hAnsi="宋体" w:cs="方正楷体_GBK"/>
          <w:b/>
          <w:color w:val="000000"/>
          <w:sz w:val="30"/>
          <w:szCs w:val="30"/>
        </w:rPr>
        <w:t>机构设置：</w:t>
      </w:r>
    </w:p>
    <w:p>
      <w:pPr>
        <w:jc w:val="center"/>
        <w:rPr>
          <w:rFonts w:ascii="宋体" w:hAnsi="宋体"/>
          <w:sz w:val="28"/>
          <w:szCs w:val="28"/>
        </w:rPr>
      </w:pPr>
      <w:r>
        <w:rPr>
          <w:rFonts w:ascii="宋体" w:hAnsi="宋体" w:cs="方正小标宋_GBK"/>
          <w:color w:val="000000"/>
          <w:sz w:val="28"/>
          <w:szCs w:val="28"/>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pPr>
              <w:pStyle w:val="17"/>
              <w:rPr>
                <w:rFonts w:ascii="宋体" w:hAnsi="宋体" w:eastAsia="宋体"/>
                <w:sz w:val="28"/>
                <w:szCs w:val="28"/>
              </w:rPr>
            </w:pPr>
            <w:r>
              <w:rPr>
                <w:rFonts w:ascii="宋体" w:hAnsi="宋体" w:eastAsia="宋体"/>
                <w:sz w:val="28"/>
                <w:szCs w:val="28"/>
              </w:rPr>
              <w:t>单位名称</w:t>
            </w:r>
          </w:p>
        </w:tc>
        <w:tc>
          <w:tcPr>
            <w:tcW w:w="1843" w:type="dxa"/>
            <w:noWrap w:val="0"/>
            <w:vAlign w:val="center"/>
          </w:tcPr>
          <w:p>
            <w:pPr>
              <w:pStyle w:val="17"/>
              <w:rPr>
                <w:rFonts w:ascii="宋体" w:hAnsi="宋体" w:eastAsia="宋体"/>
                <w:sz w:val="28"/>
                <w:szCs w:val="28"/>
              </w:rPr>
            </w:pPr>
            <w:r>
              <w:rPr>
                <w:rFonts w:ascii="宋体" w:hAnsi="宋体" w:eastAsia="宋体"/>
                <w:sz w:val="28"/>
                <w:szCs w:val="28"/>
              </w:rPr>
              <w:t>单位性质</w:t>
            </w:r>
          </w:p>
        </w:tc>
        <w:tc>
          <w:tcPr>
            <w:tcW w:w="2126" w:type="dxa"/>
            <w:noWrap w:val="0"/>
            <w:vAlign w:val="center"/>
          </w:tcPr>
          <w:p>
            <w:pPr>
              <w:pStyle w:val="17"/>
              <w:rPr>
                <w:rFonts w:ascii="宋体" w:hAnsi="宋体" w:eastAsia="宋体"/>
                <w:sz w:val="28"/>
                <w:szCs w:val="28"/>
              </w:rPr>
            </w:pPr>
            <w:r>
              <w:rPr>
                <w:rFonts w:ascii="宋体" w:hAnsi="宋体" w:eastAsia="宋体"/>
                <w:sz w:val="28"/>
                <w:szCs w:val="28"/>
              </w:rPr>
              <w:t>单位规格</w:t>
            </w:r>
          </w:p>
        </w:tc>
        <w:tc>
          <w:tcPr>
            <w:tcW w:w="3827" w:type="dxa"/>
            <w:noWrap w:val="0"/>
            <w:vAlign w:val="center"/>
          </w:tcPr>
          <w:p>
            <w:pPr>
              <w:pStyle w:val="17"/>
              <w:rPr>
                <w:rFonts w:ascii="宋体" w:hAnsi="宋体" w:eastAsia="宋体"/>
                <w:sz w:val="28"/>
                <w:szCs w:val="28"/>
              </w:rPr>
            </w:pPr>
            <w:r>
              <w:rPr>
                <w:rFonts w:ascii="宋体" w:hAnsi="宋体" w:eastAsia="宋体"/>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pPr>
              <w:pStyle w:val="18"/>
              <w:rPr>
                <w:rFonts w:ascii="宋体" w:hAnsi="宋体" w:eastAsia="宋体"/>
                <w:sz w:val="28"/>
                <w:szCs w:val="28"/>
              </w:rPr>
            </w:pPr>
            <w:r>
              <w:rPr>
                <w:rFonts w:hint="eastAsia" w:ascii="宋体" w:hAnsi="宋体" w:eastAsia="宋体"/>
                <w:sz w:val="28"/>
                <w:szCs w:val="28"/>
                <w:lang w:eastAsia="zh-CN"/>
              </w:rPr>
              <w:t>宁晋县</w:t>
            </w:r>
            <w:r>
              <w:rPr>
                <w:rFonts w:ascii="宋体" w:hAnsi="宋体" w:eastAsia="宋体"/>
                <w:sz w:val="28"/>
                <w:szCs w:val="28"/>
              </w:rPr>
              <w:t>民政事业服务中心</w:t>
            </w:r>
          </w:p>
        </w:tc>
        <w:tc>
          <w:tcPr>
            <w:tcW w:w="1843" w:type="dxa"/>
            <w:noWrap w:val="0"/>
            <w:vAlign w:val="center"/>
          </w:tcPr>
          <w:p>
            <w:pPr>
              <w:pStyle w:val="19"/>
              <w:rPr>
                <w:rFonts w:ascii="宋体" w:hAnsi="宋体" w:eastAsia="宋体"/>
                <w:sz w:val="28"/>
                <w:szCs w:val="28"/>
              </w:rPr>
            </w:pPr>
            <w:r>
              <w:rPr>
                <w:rFonts w:ascii="宋体" w:hAnsi="宋体" w:eastAsia="宋体"/>
                <w:sz w:val="28"/>
                <w:szCs w:val="28"/>
              </w:rPr>
              <w:t>事业</w:t>
            </w:r>
          </w:p>
        </w:tc>
        <w:tc>
          <w:tcPr>
            <w:tcW w:w="2126" w:type="dxa"/>
            <w:noWrap w:val="0"/>
            <w:vAlign w:val="center"/>
          </w:tcPr>
          <w:p>
            <w:pPr>
              <w:pStyle w:val="19"/>
              <w:rPr>
                <w:rFonts w:hint="eastAsia" w:ascii="宋体" w:hAnsi="宋体" w:eastAsia="宋体"/>
                <w:sz w:val="28"/>
                <w:szCs w:val="28"/>
                <w:lang w:eastAsia="zh-CN"/>
              </w:rPr>
            </w:pPr>
            <w:r>
              <w:rPr>
                <w:rFonts w:hint="eastAsia" w:ascii="宋体" w:hAnsi="宋体" w:eastAsia="宋体"/>
                <w:sz w:val="28"/>
                <w:szCs w:val="28"/>
                <w:lang w:eastAsia="zh-CN"/>
              </w:rPr>
              <w:t>股级</w:t>
            </w:r>
          </w:p>
        </w:tc>
        <w:tc>
          <w:tcPr>
            <w:tcW w:w="3827" w:type="dxa"/>
            <w:noWrap w:val="0"/>
            <w:vAlign w:val="center"/>
          </w:tcPr>
          <w:p>
            <w:pPr>
              <w:pStyle w:val="19"/>
              <w:rPr>
                <w:rFonts w:hint="eastAsia" w:ascii="宋体" w:hAnsi="宋体" w:eastAsia="宋体"/>
                <w:sz w:val="28"/>
                <w:szCs w:val="28"/>
                <w:lang w:eastAsia="zh-CN"/>
              </w:rPr>
            </w:pPr>
            <w:r>
              <w:rPr>
                <w:rFonts w:ascii="宋体" w:hAnsi="宋体" w:eastAsia="宋体"/>
                <w:sz w:val="28"/>
                <w:szCs w:val="28"/>
              </w:rPr>
              <w:t>财政</w:t>
            </w:r>
            <w:r>
              <w:rPr>
                <w:rFonts w:hint="eastAsia" w:ascii="宋体" w:hAnsi="宋体" w:eastAsia="宋体"/>
                <w:sz w:val="28"/>
                <w:szCs w:val="28"/>
                <w:lang w:eastAsia="zh-CN"/>
              </w:rPr>
              <w:t>拨款</w:t>
            </w:r>
          </w:p>
        </w:tc>
      </w:tr>
    </w:tbl>
    <w:p>
      <w:pPr>
        <w:widowControl/>
        <w:ind w:firstLine="643"/>
        <w:jc w:val="left"/>
        <w:rPr>
          <w:rFonts w:ascii="宋体" w:hAnsi="宋体"/>
          <w:b/>
          <w:sz w:val="30"/>
          <w:szCs w:val="30"/>
        </w:rPr>
      </w:pPr>
      <w:r>
        <w:rPr>
          <w:rFonts w:hint="eastAsia" w:ascii="宋体" w:hAnsi="宋体"/>
          <w:b/>
          <w:sz w:val="30"/>
          <w:szCs w:val="30"/>
        </w:rPr>
        <w:t>二、</w:t>
      </w:r>
      <w:r>
        <w:rPr>
          <w:rFonts w:hint="eastAsia" w:ascii="宋体" w:hAnsi="宋体" w:cs="宋体"/>
          <w:b/>
          <w:kern w:val="0"/>
          <w:sz w:val="30"/>
          <w:szCs w:val="30"/>
        </w:rPr>
        <w:t>单位预算安排总体情况</w:t>
      </w:r>
    </w:p>
    <w:p>
      <w:pPr>
        <w:widowControl/>
        <w:spacing w:line="580" w:lineRule="atLeast"/>
        <w:ind w:firstLine="627"/>
        <w:jc w:val="left"/>
        <w:rPr>
          <w:rFonts w:hint="eastAsia" w:ascii="宋体" w:hAnsi="宋体" w:cs="宋体"/>
          <w:kern w:val="0"/>
          <w:sz w:val="30"/>
          <w:szCs w:val="30"/>
        </w:rPr>
      </w:pPr>
      <w:r>
        <w:rPr>
          <w:rFonts w:hint="eastAsia" w:ascii="宋体" w:hAnsi="宋体" w:cs="宋体"/>
          <w:kern w:val="0"/>
          <w:sz w:val="30"/>
          <w:szCs w:val="30"/>
        </w:rPr>
        <w:t>1.收入说明</w:t>
      </w:r>
    </w:p>
    <w:p>
      <w:pPr>
        <w:widowControl/>
        <w:spacing w:line="580" w:lineRule="atLeast"/>
        <w:ind w:firstLine="627"/>
        <w:jc w:val="left"/>
        <w:rPr>
          <w:rFonts w:hint="eastAsia" w:ascii="宋体" w:hAnsi="宋体" w:cs="宋体"/>
          <w:color w:val="000000"/>
          <w:kern w:val="0"/>
          <w:sz w:val="30"/>
          <w:szCs w:val="30"/>
        </w:rPr>
      </w:pPr>
      <w:r>
        <w:rPr>
          <w:rFonts w:hint="eastAsia" w:ascii="宋体" w:hAnsi="宋体" w:cs="宋体"/>
          <w:color w:val="000000"/>
          <w:kern w:val="0"/>
          <w:sz w:val="30"/>
          <w:szCs w:val="30"/>
        </w:rPr>
        <w:t>我单位2021年预算总收入</w:t>
      </w:r>
      <w:r>
        <w:rPr>
          <w:rFonts w:hint="eastAsia" w:ascii="宋体" w:hAnsi="宋体" w:cs="FZFSK--GBK1-0"/>
          <w:kern w:val="0"/>
          <w:sz w:val="30"/>
          <w:szCs w:val="30"/>
        </w:rPr>
        <w:t>131.73</w:t>
      </w:r>
      <w:r>
        <w:rPr>
          <w:rFonts w:hint="eastAsia" w:ascii="宋体" w:hAnsi="宋体" w:cs="宋体"/>
          <w:color w:val="000000"/>
          <w:kern w:val="0"/>
          <w:sz w:val="30"/>
          <w:szCs w:val="30"/>
        </w:rPr>
        <w:t>万元。</w:t>
      </w:r>
    </w:p>
    <w:p>
      <w:pPr>
        <w:widowControl/>
        <w:spacing w:line="580" w:lineRule="atLeast"/>
        <w:ind w:firstLine="627"/>
        <w:jc w:val="left"/>
        <w:rPr>
          <w:rFonts w:hint="eastAsia" w:ascii="宋体" w:hAnsi="宋体" w:cs="宋体"/>
          <w:kern w:val="0"/>
          <w:sz w:val="30"/>
          <w:szCs w:val="30"/>
        </w:rPr>
      </w:pPr>
      <w:r>
        <w:rPr>
          <w:rFonts w:hint="eastAsia" w:ascii="宋体" w:hAnsi="宋体" w:cs="宋体"/>
          <w:kern w:val="0"/>
          <w:sz w:val="30"/>
          <w:szCs w:val="30"/>
        </w:rPr>
        <w:t>2.支出说明</w:t>
      </w:r>
    </w:p>
    <w:p>
      <w:pPr>
        <w:widowControl/>
        <w:spacing w:line="580" w:lineRule="atLeast"/>
        <w:ind w:firstLine="627"/>
        <w:jc w:val="left"/>
        <w:rPr>
          <w:rFonts w:hint="eastAsia" w:ascii="宋体" w:hAnsi="宋体" w:cs="宋体"/>
          <w:kern w:val="0"/>
          <w:sz w:val="30"/>
          <w:szCs w:val="30"/>
        </w:rPr>
      </w:pPr>
      <w:r>
        <w:rPr>
          <w:rFonts w:hint="eastAsia" w:ascii="宋体" w:hAnsi="宋体" w:cs="宋体"/>
          <w:kern w:val="0"/>
          <w:sz w:val="30"/>
          <w:szCs w:val="30"/>
        </w:rPr>
        <w:t>收支预算总表支出栏、基本支出表、项目支出表按经济分类和支出功能分类科目编制，反映宁晋县民政事业服务中心年度单位预算中支出预算的总体情况。2021年支出预算131.73万元，其中基本支出0万元，项目支出131.73万元，主要为经费及自收自支人员工资、保险等。</w:t>
      </w:r>
    </w:p>
    <w:p>
      <w:pPr>
        <w:widowControl/>
        <w:spacing w:line="580" w:lineRule="atLeast"/>
        <w:ind w:firstLine="627"/>
        <w:jc w:val="left"/>
        <w:rPr>
          <w:rFonts w:hint="eastAsia" w:ascii="宋体" w:hAnsi="宋体" w:cs="宋体"/>
          <w:kern w:val="0"/>
          <w:sz w:val="30"/>
          <w:szCs w:val="30"/>
        </w:rPr>
      </w:pPr>
      <w:r>
        <w:rPr>
          <w:rFonts w:hint="eastAsia" w:ascii="宋体" w:hAnsi="宋体" w:cs="宋体"/>
          <w:kern w:val="0"/>
          <w:sz w:val="30"/>
          <w:szCs w:val="30"/>
        </w:rPr>
        <w:t>3.比上年增减情况</w:t>
      </w:r>
    </w:p>
    <w:p>
      <w:pPr>
        <w:widowControl/>
        <w:spacing w:line="580" w:lineRule="atLeast"/>
        <w:ind w:firstLine="627"/>
        <w:jc w:val="left"/>
        <w:rPr>
          <w:rFonts w:hint="eastAsia" w:ascii="宋体" w:hAnsi="宋体" w:cs="宋体"/>
          <w:kern w:val="0"/>
          <w:sz w:val="30"/>
          <w:szCs w:val="30"/>
        </w:rPr>
      </w:pPr>
      <w:r>
        <w:rPr>
          <w:rFonts w:hint="eastAsia" w:ascii="宋体" w:hAnsi="宋体" w:cs="宋体"/>
          <w:color w:val="000000"/>
          <w:kern w:val="0"/>
          <w:sz w:val="30"/>
          <w:szCs w:val="30"/>
        </w:rPr>
        <w:t>2021年预算总收入131.73万元</w:t>
      </w:r>
      <w:r>
        <w:rPr>
          <w:rFonts w:hint="eastAsia" w:ascii="宋体" w:hAnsi="宋体" w:cs="宋体"/>
          <w:kern w:val="0"/>
          <w:sz w:val="30"/>
          <w:szCs w:val="30"/>
        </w:rPr>
        <w:t>较2020年预算总收入（120万元）增加11.73万元，增加9.78%，主要经费增加。</w:t>
      </w:r>
    </w:p>
    <w:p>
      <w:pPr>
        <w:widowControl/>
        <w:ind w:firstLine="640"/>
        <w:jc w:val="left"/>
        <w:rPr>
          <w:rFonts w:hint="eastAsia" w:ascii="宋体" w:hAnsi="宋体"/>
          <w:b/>
          <w:sz w:val="30"/>
          <w:szCs w:val="30"/>
        </w:rPr>
      </w:pPr>
      <w:r>
        <w:rPr>
          <w:rFonts w:hint="eastAsia" w:ascii="宋体" w:hAnsi="宋体" w:cs="宋体"/>
          <w:b/>
          <w:kern w:val="0"/>
          <w:sz w:val="30"/>
          <w:szCs w:val="30"/>
        </w:rPr>
        <w:t>三、单位运行经费预算安排情况</w:t>
      </w:r>
    </w:p>
    <w:p>
      <w:pPr>
        <w:widowControl/>
        <w:spacing w:line="580" w:lineRule="atLeast"/>
        <w:ind w:firstLine="600" w:firstLineChars="200"/>
        <w:jc w:val="left"/>
        <w:rPr>
          <w:rFonts w:hint="eastAsia" w:ascii="宋体" w:hAnsi="宋体" w:cs="宋体"/>
          <w:color w:val="000000"/>
          <w:sz w:val="30"/>
          <w:szCs w:val="30"/>
        </w:rPr>
      </w:pPr>
      <w:r>
        <w:rPr>
          <w:rFonts w:hint="eastAsia" w:ascii="宋体" w:hAnsi="宋体" w:cs="FZFSK--GBK1-0"/>
          <w:kern w:val="0"/>
          <w:sz w:val="30"/>
          <w:szCs w:val="30"/>
        </w:rPr>
        <w:t>2021年本单位无机关运行费。</w:t>
      </w:r>
    </w:p>
    <w:p>
      <w:pPr>
        <w:widowControl/>
        <w:ind w:firstLine="640"/>
        <w:jc w:val="left"/>
        <w:rPr>
          <w:rFonts w:hint="eastAsia" w:ascii="宋体" w:hAnsi="宋体"/>
          <w:b/>
          <w:sz w:val="30"/>
          <w:szCs w:val="30"/>
        </w:rPr>
      </w:pPr>
      <w:r>
        <w:rPr>
          <w:rFonts w:hint="eastAsia" w:ascii="宋体" w:hAnsi="宋体" w:cs="宋体"/>
          <w:b/>
          <w:kern w:val="0"/>
          <w:sz w:val="30"/>
          <w:szCs w:val="30"/>
        </w:rPr>
        <w:t>四、财政拨款“三公”经费预算安排情况</w:t>
      </w:r>
    </w:p>
    <w:p>
      <w:pPr>
        <w:spacing w:line="560" w:lineRule="exact"/>
        <w:ind w:firstLine="645"/>
        <w:rPr>
          <w:rFonts w:hint="eastAsia" w:ascii="宋体" w:hAnsi="宋体" w:cs="FZFSK--GBK1-0"/>
          <w:kern w:val="0"/>
          <w:sz w:val="30"/>
          <w:szCs w:val="30"/>
        </w:rPr>
      </w:pPr>
      <w:bookmarkStart w:id="35" w:name="OLE_LINK14"/>
      <w:bookmarkStart w:id="36" w:name="OLE_LINK15"/>
      <w:r>
        <w:rPr>
          <w:rFonts w:hint="eastAsia" w:ascii="宋体" w:hAnsi="宋体" w:cs="FZFSK--GBK1-0"/>
          <w:kern w:val="0"/>
          <w:sz w:val="30"/>
          <w:szCs w:val="30"/>
        </w:rPr>
        <w:t>2021年本单位无“三公”经费。</w:t>
      </w:r>
    </w:p>
    <w:bookmarkEnd w:id="35"/>
    <w:bookmarkEnd w:id="36"/>
    <w:p>
      <w:pPr>
        <w:pStyle w:val="15"/>
        <w:ind w:left="720" w:firstLine="0" w:firstLineChars="0"/>
        <w:rPr>
          <w:rFonts w:hint="eastAsia" w:ascii="宋体" w:hAnsi="宋体" w:cs="FZFSK--GBK1-0"/>
          <w:b/>
          <w:kern w:val="0"/>
          <w:sz w:val="30"/>
          <w:szCs w:val="30"/>
        </w:rPr>
      </w:pPr>
      <w:r>
        <w:rPr>
          <w:rFonts w:hint="eastAsia" w:ascii="宋体" w:hAnsi="宋体" w:cs="FZFSK--GBK1-0"/>
          <w:b/>
          <w:kern w:val="0"/>
          <w:sz w:val="30"/>
          <w:szCs w:val="30"/>
        </w:rPr>
        <w:t>五、绩效预算信息情况</w:t>
      </w:r>
    </w:p>
    <w:p>
      <w:pPr>
        <w:pStyle w:val="15"/>
        <w:ind w:left="720" w:firstLine="0" w:firstLineChars="0"/>
        <w:rPr>
          <w:rFonts w:hint="eastAsia" w:ascii="宋体" w:hAnsi="宋体" w:cs="FZFSK--GBK1-0"/>
          <w:b/>
          <w:kern w:val="0"/>
          <w:sz w:val="30"/>
          <w:szCs w:val="30"/>
        </w:rPr>
      </w:pPr>
    </w:p>
    <w:p>
      <w:pPr>
        <w:pStyle w:val="15"/>
        <w:ind w:left="720" w:firstLine="0" w:firstLineChars="0"/>
        <w:rPr>
          <w:rFonts w:hint="eastAsia" w:ascii="宋体" w:hAnsi="宋体" w:cs="FZFSK--GBK1-0"/>
          <w:b/>
          <w:kern w:val="0"/>
          <w:sz w:val="30"/>
          <w:szCs w:val="30"/>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jc w:val="left"/>
              <w:outlineLvl w:val="3"/>
              <w:rPr>
                <w:rFonts w:hint="eastAsia" w:ascii="方正仿宋_GBK" w:eastAsia="方正仿宋_GBK"/>
                <w:bCs/>
                <w:sz w:val="32"/>
                <w:szCs w:val="32"/>
              </w:rPr>
            </w:pPr>
            <w:bookmarkStart w:id="37" w:name="_Toc70667905"/>
            <w:bookmarkStart w:id="38" w:name="_Toc_4_4_0000000029"/>
            <w:r>
              <w:rPr>
                <w:rFonts w:hint="eastAsia" w:ascii="方正仿宋_GBK" w:eastAsia="方正仿宋_GBK"/>
                <w:bCs/>
                <w:sz w:val="32"/>
                <w:szCs w:val="32"/>
              </w:rPr>
              <w:t>1.民政事业服务中心经费绩效目标表</w:t>
            </w:r>
            <w:bookmarkEnd w:id="37"/>
          </w:p>
          <w:p>
            <w:pPr>
              <w:ind w:firstLine="422" w:firstLineChars="200"/>
              <w:jc w:val="left"/>
              <w:outlineLvl w:val="3"/>
              <w:rPr>
                <w:rFonts w:ascii="方正书宋_GBK" w:eastAsia="方正书宋_GBK"/>
                <w:b/>
              </w:rPr>
            </w:pPr>
            <w:r>
              <w:rPr>
                <w:rFonts w:ascii="方正书宋_GBK" w:eastAsia="方正书宋_GBK"/>
                <w:b/>
              </w:rPr>
              <w:t>314003</w:t>
            </w:r>
            <w:r>
              <w:rPr>
                <w:rFonts w:hint="eastAsia" w:ascii="方正书宋_GBK" w:eastAsia="方正书宋_GBK"/>
                <w:b/>
              </w:rPr>
              <w:t>宁晋县民政事业服务中心</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eastAsia="方正书宋_GBK"/>
              </w:rPr>
            </w:pPr>
          </w:p>
          <w:p>
            <w:pPr>
              <w:spacing w:line="300" w:lineRule="exact"/>
              <w:jc w:val="right"/>
              <w:rPr>
                <w:rFonts w:hint="eastAsia" w:ascii="方正书宋_GBK" w:eastAsia="方正书宋_GBK"/>
              </w:rPr>
            </w:pPr>
          </w:p>
          <w:p>
            <w:pPr>
              <w:spacing w:line="300" w:lineRule="exact"/>
              <w:jc w:val="right"/>
              <w:rPr>
                <w:rFonts w:hint="eastAsia" w:ascii="方正书宋_GBK" w:eastAsia="方正书宋_GBK"/>
              </w:rPr>
            </w:pPr>
          </w:p>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13052821K6MUSNSR1UFVV</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民政事业服务中心经费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120.00</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120.00</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用于民政事业服务中心日常工作经费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保障民政事业服务中心工作正常运转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促进民政事业服务工作民展，为院民提供更好的服务</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护理人员培训次数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护理人员培训次数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次</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工作完成及时率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工作完成及时率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安排</w:t>
            </w:r>
            <w:r>
              <w:rPr>
                <w:rFonts w:hint="eastAsia" w:ascii="方正书宋_GBK" w:eastAsia="方正书宋_GBK"/>
              </w:rPr>
              <w:t>预算资金</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lang w:eastAsia="zh-CN"/>
              </w:rPr>
              <w:t>安排</w:t>
            </w:r>
            <w:r>
              <w:rPr>
                <w:rFonts w:hint="eastAsia" w:ascii="方正书宋_GBK" w:eastAsia="方正书宋_GBK"/>
              </w:rPr>
              <w:t>预算资金</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120</w:t>
            </w:r>
            <w:r>
              <w:rPr>
                <w:rFonts w:hint="eastAsia" w:ascii="方正书宋_GBK" w:eastAsia="方正书宋_GBK"/>
              </w:rPr>
              <w:t>万元</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改善院民生活质量</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改善院民生活质量</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明显改善</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保障养老服务机构正常运转</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保障养老服务机构正常运转</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有力保障</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改善院民生活环境</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改善院民生活环境</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明显改善</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提高养老服务水平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提高养老服务水平</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明显提高</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入院院民满意度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入院院民满意度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民政中心工作</w:t>
            </w:r>
          </w:p>
        </w:tc>
      </w:tr>
    </w:tbl>
    <w:p>
      <w:pPr>
        <w:spacing w:line="300" w:lineRule="exact"/>
        <w:jc w:val="left"/>
        <w:sectPr>
          <w:pgSz w:w="16839" w:h="11907" w:orient="landscape"/>
          <w:pgMar w:top="1304" w:right="1984" w:bottom="1304" w:left="1134" w:header="851" w:footer="992" w:gutter="0"/>
          <w:pgNumType w:fmt="numberInDash"/>
          <w:cols w:space="720" w:num="1"/>
          <w:docGrid w:type="lines" w:linePitch="312" w:charSpace="0"/>
        </w:sectPr>
      </w:pPr>
    </w:p>
    <w:bookmarkEnd w:id="38"/>
    <w:p>
      <w:pPr>
        <w:ind w:firstLine="640" w:firstLineChars="200"/>
        <w:jc w:val="left"/>
        <w:outlineLvl w:val="3"/>
        <w:rPr>
          <w:rFonts w:hAnsi="宋体"/>
          <w:b/>
          <w:sz w:val="32"/>
          <w:szCs w:val="32"/>
        </w:rPr>
      </w:pPr>
      <w:bookmarkStart w:id="39" w:name="_Toc70667906"/>
      <w:r>
        <w:rPr>
          <w:rFonts w:hint="eastAsia" w:ascii="方正仿宋_GBK" w:eastAsia="方正仿宋_GBK"/>
          <w:bCs/>
          <w:sz w:val="32"/>
          <w:szCs w:val="32"/>
        </w:rPr>
        <w:t>2.民政事业服务中心人员工资、保险绩效目标表</w:t>
      </w:r>
      <w:bookmarkEnd w:id="39"/>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ascii="方正书宋_GBK" w:eastAsia="方正书宋_GBK"/>
                <w:b/>
              </w:rPr>
            </w:pPr>
            <w:r>
              <w:rPr>
                <w:rFonts w:ascii="方正书宋_GBK" w:eastAsia="方正书宋_GBK"/>
                <w:b/>
              </w:rPr>
              <w:t>314003</w:t>
            </w:r>
            <w:r>
              <w:rPr>
                <w:rFonts w:hint="eastAsia" w:ascii="方正书宋_GBK" w:eastAsia="方正书宋_GBK"/>
                <w:b/>
              </w:rPr>
              <w:t>宁晋县民政事业服务中心</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pPr>
              <w:spacing w:line="300" w:lineRule="exact"/>
              <w:jc w:val="left"/>
              <w:rPr>
                <w:rFonts w:ascii="方正书宋_GBK" w:eastAsia="方正书宋_GBK"/>
              </w:rPr>
            </w:pPr>
            <w:r>
              <w:rPr>
                <w:rFonts w:ascii="方正书宋_GBK" w:eastAsia="方正书宋_GBK"/>
              </w:rPr>
              <w:t>13052821VLMNT5ZUF7QBT</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pPr>
              <w:spacing w:line="300" w:lineRule="exact"/>
              <w:jc w:val="left"/>
              <w:rPr>
                <w:rFonts w:ascii="方正书宋_GBK" w:eastAsia="方正书宋_GBK"/>
              </w:rPr>
            </w:pPr>
            <w:r>
              <w:rPr>
                <w:rFonts w:hint="eastAsia" w:ascii="方正书宋_GBK" w:eastAsia="方正书宋_GBK"/>
              </w:rPr>
              <w:t>民政事业服务中心人员工资、保险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11.73</w:t>
            </w:r>
          </w:p>
        </w:tc>
        <w:tc>
          <w:tcPr>
            <w:tcW w:w="1587" w:type="dxa"/>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pPr>
              <w:spacing w:line="300" w:lineRule="exact"/>
              <w:jc w:val="left"/>
              <w:rPr>
                <w:rFonts w:ascii="方正书宋_GBK" w:eastAsia="方正书宋_GBK"/>
              </w:rPr>
            </w:pPr>
            <w:r>
              <w:rPr>
                <w:rFonts w:ascii="方正书宋_GBK" w:eastAsia="方正书宋_GBK"/>
              </w:rPr>
              <w:t>11.73</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pPr>
              <w:spacing w:line="300" w:lineRule="exact"/>
              <w:jc w:val="left"/>
              <w:outlineLvl w:val="3"/>
            </w:pPr>
          </w:p>
        </w:tc>
        <w:tc>
          <w:tcPr>
            <w:tcW w:w="8278" w:type="dxa"/>
            <w:gridSpan w:val="6"/>
            <w:noWrap w:val="0"/>
            <w:vAlign w:val="center"/>
          </w:tcPr>
          <w:p>
            <w:pPr>
              <w:spacing w:line="300" w:lineRule="exact"/>
              <w:jc w:val="left"/>
              <w:rPr>
                <w:rFonts w:ascii="方正书宋_GBK" w:eastAsia="方正书宋_GBK"/>
              </w:rPr>
            </w:pPr>
            <w:r>
              <w:rPr>
                <w:rFonts w:hint="eastAsia" w:ascii="方正书宋_GBK" w:eastAsia="方正书宋_GBK"/>
              </w:rPr>
              <w:t>用于民政中心自收自支职工工资、社会保险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pPr>
              <w:spacing w:line="300" w:lineRule="exact"/>
              <w:jc w:val="left"/>
              <w:outlineLvl w:val="3"/>
            </w:pPr>
          </w:p>
        </w:tc>
        <w:tc>
          <w:tcPr>
            <w:tcW w:w="2410"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落实职工工资待遇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保障职工工资权益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自收自支职工人数</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自收自支职工人数</w:t>
            </w:r>
          </w:p>
        </w:tc>
        <w:tc>
          <w:tcPr>
            <w:tcW w:w="1276"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发放时效</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按月发放</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工资标准</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工资标准</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按人社局调资方案比例</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保障职工工资水平</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保障职工工资水平</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有力保障</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保障职工稳定工资收入</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保障职工稳定工资收入</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有力保障</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保障社会发展</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保障社会发展</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有力保障</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ascii="方正书宋_GBK" w:eastAsia="方正书宋_GBK"/>
              </w:rPr>
            </w:pP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提高工作积极性</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提高职工工作积极性</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明显提高</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2891" w:type="dxa"/>
            <w:noWrap w:val="0"/>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pPr>
              <w:spacing w:line="300" w:lineRule="exact"/>
              <w:jc w:val="left"/>
              <w:rPr>
                <w:rFonts w:ascii="方正书宋_GBK" w:eastAsia="方正书宋_GBK"/>
              </w:rPr>
            </w:pPr>
            <w:r>
              <w:rPr>
                <w:rFonts w:hint="eastAsia" w:ascii="方正书宋_GBK" w:eastAsia="方正书宋_GBK"/>
              </w:rPr>
              <w:t>绩效自评</w:t>
            </w:r>
          </w:p>
        </w:tc>
      </w:tr>
    </w:tbl>
    <w:p>
      <w:pPr>
        <w:pStyle w:val="15"/>
        <w:ind w:left="720" w:firstLine="0" w:firstLineChars="0"/>
        <w:rPr>
          <w:rFonts w:hint="eastAsia" w:ascii="宋体" w:hAnsi="宋体"/>
          <w:b/>
          <w:sz w:val="36"/>
          <w:szCs w:val="36"/>
        </w:rPr>
      </w:pPr>
    </w:p>
    <w:p>
      <w:pPr>
        <w:pStyle w:val="15"/>
        <w:ind w:left="720" w:firstLine="0" w:firstLineChars="0"/>
        <w:rPr>
          <w:rFonts w:hint="eastAsia" w:ascii="宋体" w:hAnsi="宋体"/>
          <w:b/>
          <w:sz w:val="30"/>
          <w:szCs w:val="30"/>
        </w:rPr>
      </w:pPr>
    </w:p>
    <w:p>
      <w:pPr>
        <w:spacing w:line="560" w:lineRule="exact"/>
        <w:ind w:firstLine="590" w:firstLineChars="196"/>
        <w:rPr>
          <w:rFonts w:ascii="宋体" w:hAnsi="宋体" w:cs="FZFSK--GBK1-0"/>
          <w:b/>
          <w:kern w:val="0"/>
          <w:sz w:val="30"/>
          <w:szCs w:val="30"/>
        </w:rPr>
      </w:pPr>
      <w:r>
        <w:rPr>
          <w:rFonts w:hint="eastAsia" w:ascii="宋体" w:hAnsi="宋体" w:cs="FZFSK--GBK1-0"/>
          <w:b/>
          <w:kern w:val="0"/>
          <w:sz w:val="30"/>
          <w:szCs w:val="30"/>
        </w:rPr>
        <w:t>六、政府采购预算情况</w:t>
      </w:r>
    </w:p>
    <w:p>
      <w:pPr>
        <w:spacing w:line="560" w:lineRule="exact"/>
        <w:ind w:firstLine="590" w:firstLineChars="196"/>
        <w:rPr>
          <w:rFonts w:ascii="宋体" w:hAnsi="宋体" w:cs="FZFSK--GBK1-0"/>
          <w:b/>
          <w:kern w:val="0"/>
          <w:sz w:val="30"/>
          <w:szCs w:val="30"/>
        </w:rPr>
      </w:pPr>
      <w:r>
        <w:rPr>
          <w:rFonts w:hint="eastAsia" w:ascii="宋体" w:hAnsi="宋体" w:cs="FZFSK--GBK1-0"/>
          <w:b/>
          <w:kern w:val="0"/>
          <w:sz w:val="30"/>
          <w:szCs w:val="30"/>
        </w:rPr>
        <w:t>2021年我单位无政府采购项目</w:t>
      </w:r>
    </w:p>
    <w:p>
      <w:pPr>
        <w:spacing w:line="560" w:lineRule="exact"/>
        <w:ind w:firstLine="590" w:firstLineChars="196"/>
        <w:rPr>
          <w:rFonts w:ascii="宋体" w:hAnsi="宋体" w:cs="FZFSK--GBK1-0"/>
          <w:b/>
          <w:kern w:val="0"/>
          <w:sz w:val="30"/>
          <w:szCs w:val="30"/>
        </w:rPr>
      </w:pPr>
      <w:r>
        <w:rPr>
          <w:rFonts w:hint="eastAsia" w:ascii="宋体" w:hAnsi="宋体" w:cs="FZFSK--GBK1-0"/>
          <w:b/>
          <w:kern w:val="0"/>
          <w:sz w:val="30"/>
          <w:szCs w:val="30"/>
        </w:rPr>
        <w:t>七、 国有资产信息</w:t>
      </w:r>
    </w:p>
    <w:p>
      <w:pPr>
        <w:spacing w:line="560" w:lineRule="exact"/>
        <w:rPr>
          <w:rFonts w:hint="eastAsia" w:ascii="宋体" w:hAnsi="宋体" w:cs="宋体"/>
          <w:color w:val="000000"/>
          <w:kern w:val="0"/>
          <w:sz w:val="30"/>
          <w:szCs w:val="30"/>
        </w:rPr>
      </w:pPr>
    </w:p>
    <w:p>
      <w:pPr>
        <w:spacing w:line="560" w:lineRule="exact"/>
        <w:rPr>
          <w:rFonts w:hint="eastAsia" w:ascii="宋体" w:hAnsi="宋体" w:cs="宋体"/>
          <w:color w:val="000000"/>
          <w:kern w:val="0"/>
          <w:sz w:val="30"/>
          <w:szCs w:val="30"/>
        </w:rPr>
      </w:pPr>
    </w:p>
    <w:p>
      <w:pPr>
        <w:spacing w:line="560" w:lineRule="exact"/>
        <w:rPr>
          <w:rFonts w:hint="eastAsia" w:ascii="宋体" w:hAnsi="宋体" w:cs="宋体"/>
          <w:color w:val="000000"/>
          <w:kern w:val="0"/>
          <w:sz w:val="30"/>
          <w:szCs w:val="30"/>
        </w:rPr>
      </w:pPr>
    </w:p>
    <w:p>
      <w:pPr>
        <w:spacing w:line="560" w:lineRule="exact"/>
        <w:rPr>
          <w:rFonts w:hint="eastAsia" w:ascii="宋体" w:hAnsi="宋体" w:cs="宋体"/>
          <w:color w:val="000000"/>
          <w:kern w:val="0"/>
          <w:sz w:val="30"/>
          <w:szCs w:val="30"/>
        </w:rPr>
      </w:pPr>
    </w:p>
    <w:p>
      <w:pPr>
        <w:spacing w:line="560" w:lineRule="exact"/>
        <w:rPr>
          <w:rFonts w:hint="eastAsia" w:ascii="宋体" w:hAnsi="宋体" w:cs="宋体"/>
          <w:color w:val="000000"/>
          <w:kern w:val="0"/>
          <w:sz w:val="30"/>
          <w:szCs w:val="30"/>
        </w:rPr>
      </w:pPr>
    </w:p>
    <w:p>
      <w:pPr>
        <w:spacing w:line="560" w:lineRule="exact"/>
        <w:rPr>
          <w:rFonts w:hint="eastAsia" w:ascii="宋体" w:hAnsi="宋体" w:cs="宋体"/>
          <w:color w:val="000000"/>
          <w:kern w:val="0"/>
          <w:sz w:val="30"/>
          <w:szCs w:val="30"/>
        </w:rPr>
      </w:pPr>
    </w:p>
    <w:p>
      <w:pPr>
        <w:spacing w:line="560" w:lineRule="exact"/>
        <w:rPr>
          <w:rFonts w:ascii="宋体" w:hAnsi="宋体" w:cs="FZFSK--GBK1-0"/>
          <w:b/>
          <w:kern w:val="0"/>
          <w:sz w:val="30"/>
          <w:szCs w:val="30"/>
        </w:rPr>
      </w:pPr>
      <w:r>
        <w:rPr>
          <w:rFonts w:hint="eastAsia" w:ascii="宋体" w:hAnsi="宋体" w:cs="宋体"/>
          <w:color w:val="000000"/>
          <w:kern w:val="0"/>
          <w:sz w:val="30"/>
          <w:szCs w:val="30"/>
        </w:rPr>
        <w:t>我单位2020年末固定资产金额为</w:t>
      </w:r>
      <w:r>
        <w:rPr>
          <w:rFonts w:hint="eastAsia" w:ascii="宋体" w:hAnsi="宋体"/>
          <w:color w:val="000000"/>
          <w:sz w:val="30"/>
          <w:szCs w:val="30"/>
        </w:rPr>
        <w:t>3163.28万元，详见下表。</w:t>
      </w:r>
    </w:p>
    <w:tbl>
      <w:tblPr>
        <w:tblStyle w:val="8"/>
        <w:tblW w:w="8216" w:type="dxa"/>
        <w:tblInd w:w="93" w:type="dxa"/>
        <w:tblLayout w:type="fixed"/>
        <w:tblCellMar>
          <w:top w:w="0" w:type="dxa"/>
          <w:left w:w="108" w:type="dxa"/>
          <w:bottom w:w="0" w:type="dxa"/>
          <w:right w:w="108" w:type="dxa"/>
        </w:tblCellMar>
      </w:tblPr>
      <w:tblGrid>
        <w:gridCol w:w="3054"/>
        <w:gridCol w:w="2108"/>
        <w:gridCol w:w="3054"/>
      </w:tblGrid>
      <w:tr>
        <w:tblPrEx>
          <w:tblCellMar>
            <w:top w:w="0" w:type="dxa"/>
            <w:left w:w="108" w:type="dxa"/>
            <w:bottom w:w="0" w:type="dxa"/>
            <w:right w:w="108" w:type="dxa"/>
          </w:tblCellMar>
        </w:tblPrEx>
        <w:trPr>
          <w:trHeight w:val="708" w:hRule="atLeast"/>
        </w:trPr>
        <w:tc>
          <w:tcPr>
            <w:tcW w:w="3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4"/>
                <w:szCs w:val="24"/>
              </w:rPr>
            </w:pPr>
            <w:r>
              <w:rPr>
                <w:rFonts w:hint="eastAsia" w:ascii="宋体" w:hAnsi="宋体" w:cs="宋体"/>
                <w:b/>
                <w:bCs/>
                <w:kern w:val="0"/>
                <w:sz w:val="24"/>
                <w:szCs w:val="24"/>
              </w:rPr>
              <w:t>项目</w:t>
            </w:r>
          </w:p>
        </w:tc>
        <w:tc>
          <w:tcPr>
            <w:tcW w:w="2108"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szCs w:val="24"/>
              </w:rPr>
            </w:pPr>
            <w:r>
              <w:rPr>
                <w:rFonts w:hint="eastAsia" w:ascii="宋体" w:hAnsi="宋体" w:cs="宋体"/>
                <w:b/>
                <w:bCs/>
                <w:kern w:val="0"/>
                <w:sz w:val="24"/>
                <w:szCs w:val="24"/>
              </w:rPr>
              <w:t>数量</w:t>
            </w:r>
          </w:p>
        </w:tc>
        <w:tc>
          <w:tcPr>
            <w:tcW w:w="3054"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kern w:val="0"/>
                <w:sz w:val="24"/>
                <w:szCs w:val="24"/>
              </w:rPr>
            </w:pPr>
            <w:r>
              <w:rPr>
                <w:rFonts w:hint="eastAsia" w:ascii="宋体" w:hAnsi="宋体" w:cs="宋体"/>
                <w:b/>
                <w:bCs/>
                <w:kern w:val="0"/>
                <w:sz w:val="24"/>
                <w:szCs w:val="24"/>
              </w:rPr>
              <w:t>价值（金额单位：万元）</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kern w:val="0"/>
                <w:sz w:val="24"/>
                <w:szCs w:val="24"/>
              </w:rPr>
            </w:pPr>
            <w:r>
              <w:rPr>
                <w:rFonts w:hint="eastAsia" w:ascii="宋体" w:hAnsi="宋体" w:cs="宋体"/>
                <w:b/>
                <w:bCs/>
                <w:kern w:val="0"/>
                <w:sz w:val="24"/>
                <w:szCs w:val="24"/>
              </w:rPr>
              <w:t>固定资产总额</w:t>
            </w:r>
          </w:p>
        </w:tc>
        <w:tc>
          <w:tcPr>
            <w:tcW w:w="2108" w:type="dxa"/>
            <w:tcBorders>
              <w:top w:val="nil"/>
              <w:left w:val="nil"/>
              <w:bottom w:val="single" w:color="auto" w:sz="4" w:space="0"/>
              <w:right w:val="single" w:color="auto" w:sz="4" w:space="0"/>
            </w:tcBorders>
            <w:noWrap w:val="0"/>
            <w:vAlign w:val="center"/>
          </w:tcPr>
          <w:p>
            <w:pPr>
              <w:widowControl/>
              <w:jc w:val="center"/>
              <w:rPr>
                <w:rFonts w:ascii="宋体" w:hAnsi="宋体" w:cs="宋体"/>
                <w:b/>
                <w:bCs/>
                <w:kern w:val="0"/>
                <w:sz w:val="24"/>
                <w:szCs w:val="24"/>
              </w:rPr>
            </w:pPr>
            <w:r>
              <w:rPr>
                <w:rFonts w:hint="eastAsia" w:ascii="宋体" w:hAnsi="宋体" w:cs="宋体"/>
                <w:b/>
                <w:bCs/>
                <w:kern w:val="0"/>
                <w:sz w:val="24"/>
                <w:szCs w:val="24"/>
              </w:rPr>
              <w:t>——</w:t>
            </w:r>
          </w:p>
        </w:tc>
        <w:tc>
          <w:tcPr>
            <w:tcW w:w="3054" w:type="dxa"/>
            <w:tcBorders>
              <w:top w:val="nil"/>
              <w:left w:val="nil"/>
              <w:bottom w:val="single" w:color="auto" w:sz="4" w:space="0"/>
              <w:right w:val="single" w:color="auto" w:sz="4" w:space="0"/>
            </w:tcBorders>
            <w:noWrap w:val="0"/>
            <w:vAlign w:val="center"/>
          </w:tcPr>
          <w:p>
            <w:pPr>
              <w:widowControl/>
              <w:jc w:val="right"/>
              <w:rPr>
                <w:rFonts w:ascii="宋体" w:hAnsi="宋体" w:cs="宋体"/>
                <w:b/>
                <w:bCs/>
                <w:kern w:val="0"/>
                <w:sz w:val="24"/>
                <w:szCs w:val="24"/>
              </w:rPr>
            </w:pPr>
            <w:r>
              <w:rPr>
                <w:rFonts w:hint="eastAsia" w:ascii="宋体" w:hAnsi="宋体" w:cs="宋体"/>
                <w:b/>
                <w:bCs/>
                <w:kern w:val="0"/>
                <w:sz w:val="24"/>
                <w:szCs w:val="24"/>
              </w:rPr>
              <w:t>3163.28</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 w:val="24"/>
                <w:szCs w:val="24"/>
              </w:rPr>
            </w:pPr>
            <w:r>
              <w:rPr>
                <w:rFonts w:hint="eastAsia" w:ascii="宋体" w:hAnsi="宋体" w:cs="宋体"/>
                <w:kern w:val="0"/>
                <w:sz w:val="24"/>
                <w:szCs w:val="24"/>
              </w:rPr>
              <w:t>1.房屋（平方米）</w:t>
            </w:r>
          </w:p>
        </w:tc>
        <w:tc>
          <w:tcPr>
            <w:tcW w:w="2108"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 w:val="24"/>
                <w:szCs w:val="24"/>
              </w:rPr>
            </w:pPr>
            <w:r>
              <w:rPr>
                <w:rFonts w:hint="eastAsia" w:ascii="宋体" w:hAnsi="宋体" w:cs="宋体"/>
                <w:kern w:val="0"/>
                <w:sz w:val="24"/>
                <w:szCs w:val="24"/>
              </w:rPr>
              <w:t>10800</w:t>
            </w:r>
          </w:p>
        </w:tc>
        <w:tc>
          <w:tcPr>
            <w:tcW w:w="3054"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 w:val="24"/>
                <w:szCs w:val="24"/>
              </w:rPr>
            </w:pPr>
            <w:r>
              <w:rPr>
                <w:rFonts w:hint="eastAsia" w:ascii="宋体" w:hAnsi="宋体" w:cs="宋体"/>
                <w:kern w:val="0"/>
                <w:sz w:val="24"/>
                <w:szCs w:val="24"/>
              </w:rPr>
              <w:t>2321.71</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 w:val="24"/>
                <w:szCs w:val="24"/>
              </w:rPr>
            </w:pPr>
            <w:r>
              <w:rPr>
                <w:rFonts w:hint="eastAsia" w:ascii="宋体" w:hAnsi="宋体" w:cs="宋体"/>
                <w:kern w:val="0"/>
                <w:sz w:val="24"/>
                <w:szCs w:val="24"/>
              </w:rPr>
              <w:t>2.车辆（台、辆）</w:t>
            </w:r>
          </w:p>
        </w:tc>
        <w:tc>
          <w:tcPr>
            <w:tcW w:w="2108"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 w:val="24"/>
                <w:szCs w:val="24"/>
              </w:rPr>
            </w:pPr>
            <w:r>
              <w:rPr>
                <w:rFonts w:hint="eastAsia" w:ascii="宋体" w:hAnsi="宋体" w:cs="宋体"/>
                <w:kern w:val="0"/>
                <w:sz w:val="24"/>
                <w:szCs w:val="24"/>
              </w:rPr>
              <w:t>2</w:t>
            </w:r>
          </w:p>
        </w:tc>
        <w:tc>
          <w:tcPr>
            <w:tcW w:w="3054"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 w:val="24"/>
                <w:szCs w:val="24"/>
              </w:rPr>
            </w:pPr>
            <w:r>
              <w:rPr>
                <w:rFonts w:hint="eastAsia" w:ascii="宋体" w:hAnsi="宋体" w:cs="宋体"/>
                <w:kern w:val="0"/>
                <w:sz w:val="24"/>
                <w:szCs w:val="24"/>
              </w:rPr>
              <w:t>23.88</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 w:val="24"/>
                <w:szCs w:val="24"/>
              </w:rPr>
            </w:pPr>
            <w:r>
              <w:rPr>
                <w:rFonts w:hint="eastAsia" w:ascii="宋体" w:hAnsi="宋体" w:cs="宋体"/>
                <w:kern w:val="0"/>
                <w:sz w:val="24"/>
                <w:szCs w:val="24"/>
              </w:rPr>
              <w:t>3.通用设备</w:t>
            </w:r>
          </w:p>
        </w:tc>
        <w:tc>
          <w:tcPr>
            <w:tcW w:w="2108"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 w:val="24"/>
                <w:szCs w:val="24"/>
              </w:rPr>
            </w:pPr>
          </w:p>
        </w:tc>
        <w:tc>
          <w:tcPr>
            <w:tcW w:w="3054"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 w:val="24"/>
                <w:szCs w:val="24"/>
              </w:rPr>
            </w:pPr>
            <w:r>
              <w:rPr>
                <w:rFonts w:hint="eastAsia" w:ascii="宋体" w:hAnsi="宋体" w:cs="宋体"/>
                <w:kern w:val="0"/>
                <w:sz w:val="24"/>
                <w:szCs w:val="24"/>
              </w:rPr>
              <w:t>67.11</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noWrap w:val="0"/>
            <w:vAlign w:val="center"/>
          </w:tcPr>
          <w:p>
            <w:pPr>
              <w:widowControl/>
              <w:jc w:val="left"/>
              <w:rPr>
                <w:rFonts w:hint="eastAsia" w:ascii="宋体" w:hAnsi="宋体" w:cs="宋体"/>
                <w:kern w:val="0"/>
                <w:sz w:val="24"/>
                <w:szCs w:val="24"/>
              </w:rPr>
            </w:pPr>
            <w:r>
              <w:rPr>
                <w:rFonts w:hint="eastAsia" w:ascii="宋体" w:hAnsi="宋体" w:cs="宋体"/>
                <w:kern w:val="0"/>
                <w:sz w:val="24"/>
                <w:szCs w:val="24"/>
              </w:rPr>
              <w:t>4、专用设备</w:t>
            </w:r>
          </w:p>
        </w:tc>
        <w:tc>
          <w:tcPr>
            <w:tcW w:w="2108"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 w:val="24"/>
                <w:szCs w:val="24"/>
              </w:rPr>
            </w:pPr>
          </w:p>
        </w:tc>
        <w:tc>
          <w:tcPr>
            <w:tcW w:w="3054" w:type="dxa"/>
            <w:tcBorders>
              <w:top w:val="nil"/>
              <w:left w:val="nil"/>
              <w:bottom w:val="single" w:color="auto" w:sz="4" w:space="0"/>
              <w:right w:val="single" w:color="auto" w:sz="4" w:space="0"/>
            </w:tcBorders>
            <w:noWrap w:val="0"/>
            <w:vAlign w:val="center"/>
          </w:tcPr>
          <w:p>
            <w:pPr>
              <w:widowControl/>
              <w:jc w:val="right"/>
              <w:rPr>
                <w:rFonts w:hint="eastAsia" w:ascii="宋体" w:hAnsi="宋体" w:cs="宋体"/>
                <w:kern w:val="0"/>
                <w:sz w:val="24"/>
                <w:szCs w:val="24"/>
              </w:rPr>
            </w:pPr>
            <w:r>
              <w:rPr>
                <w:rFonts w:hint="eastAsia" w:ascii="宋体" w:hAnsi="宋体" w:cs="宋体"/>
                <w:kern w:val="0"/>
                <w:sz w:val="24"/>
                <w:szCs w:val="24"/>
              </w:rPr>
              <w:t>745.59</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kern w:val="0"/>
                <w:sz w:val="24"/>
                <w:szCs w:val="24"/>
              </w:rPr>
            </w:pPr>
            <w:r>
              <w:rPr>
                <w:rFonts w:hint="eastAsia" w:ascii="宋体" w:hAnsi="宋体" w:cs="宋体"/>
                <w:kern w:val="0"/>
                <w:sz w:val="24"/>
                <w:szCs w:val="24"/>
              </w:rPr>
              <w:t>5.家具用品</w:t>
            </w:r>
          </w:p>
        </w:tc>
        <w:tc>
          <w:tcPr>
            <w:tcW w:w="2108" w:type="dxa"/>
            <w:tcBorders>
              <w:top w:val="nil"/>
              <w:left w:val="nil"/>
              <w:bottom w:val="single" w:color="auto" w:sz="4" w:space="0"/>
              <w:right w:val="single" w:color="auto" w:sz="4" w:space="0"/>
            </w:tcBorders>
            <w:noWrap w:val="0"/>
            <w:vAlign w:val="center"/>
          </w:tcPr>
          <w:p>
            <w:pPr>
              <w:widowControl/>
              <w:jc w:val="center"/>
              <w:rPr>
                <w:rFonts w:ascii="宋体" w:hAnsi="宋体" w:cs="宋体"/>
                <w:kern w:val="0"/>
                <w:sz w:val="24"/>
                <w:szCs w:val="24"/>
              </w:rPr>
            </w:pPr>
            <w:r>
              <w:rPr>
                <w:rFonts w:hint="eastAsia" w:ascii="宋体" w:hAnsi="宋体" w:cs="宋体"/>
                <w:kern w:val="0"/>
                <w:sz w:val="24"/>
                <w:szCs w:val="24"/>
              </w:rPr>
              <w:t>——</w:t>
            </w:r>
          </w:p>
        </w:tc>
        <w:tc>
          <w:tcPr>
            <w:tcW w:w="3054" w:type="dxa"/>
            <w:tcBorders>
              <w:top w:val="nil"/>
              <w:left w:val="nil"/>
              <w:bottom w:val="single" w:color="auto" w:sz="4" w:space="0"/>
              <w:right w:val="single" w:color="auto" w:sz="4" w:space="0"/>
            </w:tcBorders>
            <w:noWrap w:val="0"/>
            <w:vAlign w:val="center"/>
          </w:tcPr>
          <w:p>
            <w:pPr>
              <w:widowControl/>
              <w:jc w:val="right"/>
              <w:rPr>
                <w:rFonts w:ascii="宋体" w:hAnsi="宋体" w:cs="宋体"/>
                <w:kern w:val="0"/>
                <w:sz w:val="24"/>
                <w:szCs w:val="24"/>
              </w:rPr>
            </w:pPr>
            <w:r>
              <w:rPr>
                <w:rFonts w:hint="eastAsia" w:ascii="宋体" w:hAnsi="宋体" w:cs="宋体"/>
                <w:kern w:val="0"/>
                <w:sz w:val="24"/>
                <w:szCs w:val="24"/>
              </w:rPr>
              <w:t>4.99</w:t>
            </w:r>
          </w:p>
        </w:tc>
      </w:tr>
    </w:tbl>
    <w:p>
      <w:pPr>
        <w:spacing w:line="560" w:lineRule="exact"/>
        <w:ind w:firstLine="720"/>
        <w:rPr>
          <w:rFonts w:ascii="宋体" w:hAnsi="宋体" w:cs="FZFSK--GBK1-0"/>
          <w:b/>
          <w:kern w:val="0"/>
          <w:sz w:val="24"/>
          <w:szCs w:val="24"/>
        </w:rPr>
      </w:pPr>
    </w:p>
    <w:p>
      <w:pPr>
        <w:spacing w:line="560" w:lineRule="exact"/>
        <w:ind w:firstLine="753" w:firstLineChars="250"/>
        <w:rPr>
          <w:rFonts w:hint="eastAsia" w:ascii="宋体" w:hAnsi="宋体" w:cs="FZFSK--GBK1-0"/>
          <w:b/>
          <w:kern w:val="0"/>
          <w:sz w:val="30"/>
          <w:szCs w:val="30"/>
        </w:rPr>
      </w:pPr>
    </w:p>
    <w:p>
      <w:pPr>
        <w:spacing w:line="560" w:lineRule="exact"/>
        <w:ind w:firstLine="753" w:firstLineChars="250"/>
        <w:rPr>
          <w:rFonts w:hint="eastAsia" w:ascii="宋体" w:hAnsi="宋体" w:cs="FZFSK--GBK1-0"/>
          <w:b/>
          <w:kern w:val="0"/>
          <w:sz w:val="30"/>
          <w:szCs w:val="30"/>
        </w:rPr>
      </w:pPr>
    </w:p>
    <w:p>
      <w:pPr>
        <w:spacing w:line="560" w:lineRule="exact"/>
        <w:ind w:firstLine="753" w:firstLineChars="250"/>
        <w:rPr>
          <w:rFonts w:hint="eastAsia" w:ascii="宋体" w:hAnsi="宋体" w:cs="FZFSK--GBK1-0"/>
          <w:b/>
          <w:kern w:val="0"/>
          <w:sz w:val="30"/>
          <w:szCs w:val="30"/>
        </w:rPr>
      </w:pPr>
    </w:p>
    <w:p>
      <w:pPr>
        <w:spacing w:line="560" w:lineRule="exact"/>
        <w:ind w:firstLine="753" w:firstLineChars="250"/>
        <w:rPr>
          <w:rFonts w:ascii="宋体" w:hAnsi="宋体" w:cs="FZFSK--GBK1-0"/>
          <w:b/>
          <w:kern w:val="0"/>
          <w:sz w:val="30"/>
          <w:szCs w:val="30"/>
        </w:rPr>
      </w:pPr>
      <w:r>
        <w:rPr>
          <w:rFonts w:hint="eastAsia" w:ascii="宋体" w:hAnsi="宋体" w:cs="FZFSK--GBK1-0"/>
          <w:b/>
          <w:kern w:val="0"/>
          <w:sz w:val="30"/>
          <w:szCs w:val="30"/>
        </w:rPr>
        <w:t>八、名词解释</w:t>
      </w:r>
    </w:p>
    <w:p>
      <w:pPr>
        <w:spacing w:line="500" w:lineRule="exact"/>
        <w:ind w:firstLine="560"/>
        <w:rPr>
          <w:rFonts w:ascii="宋体" w:hAnsi="宋体"/>
          <w:sz w:val="30"/>
          <w:szCs w:val="30"/>
        </w:rPr>
      </w:pPr>
      <w:r>
        <w:rPr>
          <w:rFonts w:ascii="宋体" w:hAnsi="宋体"/>
          <w:color w:val="000000"/>
          <w:sz w:val="30"/>
          <w:szCs w:val="30"/>
        </w:rPr>
        <w:t>1、</w:t>
      </w:r>
      <w:r>
        <w:rPr>
          <w:rFonts w:ascii="宋体" w:hAnsi="宋体"/>
          <w:b/>
          <w:color w:val="000000"/>
          <w:sz w:val="30"/>
          <w:szCs w:val="30"/>
        </w:rPr>
        <w:t>一般公共预算拨款收入：</w:t>
      </w:r>
      <w:r>
        <w:rPr>
          <w:rFonts w:ascii="宋体" w:hAnsi="宋体"/>
          <w:color w:val="000000"/>
          <w:sz w:val="30"/>
          <w:szCs w:val="30"/>
        </w:rPr>
        <w:t>指省级财政当年拨付的资金。</w:t>
      </w:r>
    </w:p>
    <w:p>
      <w:pPr>
        <w:spacing w:line="500" w:lineRule="exact"/>
        <w:ind w:firstLine="560"/>
        <w:rPr>
          <w:rFonts w:ascii="宋体" w:hAnsi="宋体"/>
          <w:sz w:val="30"/>
          <w:szCs w:val="30"/>
        </w:rPr>
      </w:pPr>
      <w:r>
        <w:rPr>
          <w:rFonts w:ascii="宋体" w:hAnsi="宋体"/>
          <w:color w:val="000000"/>
          <w:sz w:val="30"/>
          <w:szCs w:val="30"/>
        </w:rPr>
        <w:t>2、</w:t>
      </w:r>
      <w:r>
        <w:rPr>
          <w:rFonts w:ascii="宋体" w:hAnsi="宋体"/>
          <w:b/>
          <w:color w:val="000000"/>
          <w:sz w:val="30"/>
          <w:szCs w:val="30"/>
        </w:rPr>
        <w:t>事业收入：</w:t>
      </w:r>
      <w:r>
        <w:rPr>
          <w:rFonts w:ascii="宋体" w:hAnsi="宋体"/>
          <w:color w:val="000000"/>
          <w:sz w:val="30"/>
          <w:szCs w:val="30"/>
        </w:rPr>
        <w:t>指事业单位开展专业业务活动及辅助活动所取得的收入。</w:t>
      </w:r>
    </w:p>
    <w:p>
      <w:pPr>
        <w:spacing w:line="500" w:lineRule="exact"/>
        <w:ind w:firstLine="560"/>
        <w:rPr>
          <w:rFonts w:ascii="宋体" w:hAnsi="宋体"/>
          <w:sz w:val="30"/>
          <w:szCs w:val="30"/>
        </w:rPr>
      </w:pPr>
      <w:r>
        <w:rPr>
          <w:rFonts w:ascii="宋体" w:hAnsi="宋体"/>
          <w:color w:val="000000"/>
          <w:sz w:val="30"/>
          <w:szCs w:val="30"/>
        </w:rPr>
        <w:t>3、</w:t>
      </w:r>
      <w:r>
        <w:rPr>
          <w:rFonts w:ascii="宋体" w:hAnsi="宋体"/>
          <w:b/>
          <w:color w:val="000000"/>
          <w:sz w:val="30"/>
          <w:szCs w:val="30"/>
        </w:rPr>
        <w:t>其他收入：</w:t>
      </w:r>
      <w:r>
        <w:rPr>
          <w:rFonts w:ascii="宋体" w:hAnsi="宋体"/>
          <w:color w:val="000000"/>
          <w:sz w:val="30"/>
          <w:szCs w:val="30"/>
        </w:rPr>
        <w:t>指除“一般公共预算拨款收入”、“事业收入”等以外的收入。主要是按规定动用的租房收入、存款利息收入等。</w:t>
      </w:r>
    </w:p>
    <w:p>
      <w:pPr>
        <w:spacing w:line="500" w:lineRule="exact"/>
        <w:ind w:firstLine="560"/>
        <w:rPr>
          <w:rFonts w:ascii="宋体" w:hAnsi="宋体"/>
          <w:sz w:val="30"/>
          <w:szCs w:val="30"/>
        </w:rPr>
      </w:pPr>
      <w:r>
        <w:rPr>
          <w:rFonts w:ascii="宋体" w:hAnsi="宋体"/>
          <w:color w:val="000000"/>
          <w:sz w:val="30"/>
          <w:szCs w:val="30"/>
        </w:rPr>
        <w:t>4、</w:t>
      </w:r>
      <w:r>
        <w:rPr>
          <w:rFonts w:ascii="宋体" w:hAnsi="宋体"/>
          <w:b/>
          <w:color w:val="000000"/>
          <w:sz w:val="30"/>
          <w:szCs w:val="30"/>
        </w:rPr>
        <w:t>基本支出：</w:t>
      </w:r>
      <w:r>
        <w:rPr>
          <w:rFonts w:ascii="宋体" w:hAnsi="宋体"/>
          <w:color w:val="000000"/>
          <w:sz w:val="30"/>
          <w:szCs w:val="30"/>
        </w:rPr>
        <w:t>指为保障机构正常运转、完成日常工作任务而发生的人员支出和公用支出。</w:t>
      </w:r>
    </w:p>
    <w:p>
      <w:pPr>
        <w:spacing w:line="500" w:lineRule="exact"/>
        <w:ind w:firstLine="560"/>
        <w:rPr>
          <w:rFonts w:ascii="宋体" w:hAnsi="宋体"/>
          <w:sz w:val="30"/>
          <w:szCs w:val="30"/>
        </w:rPr>
      </w:pPr>
      <w:r>
        <w:rPr>
          <w:rFonts w:ascii="宋体" w:hAnsi="宋体"/>
          <w:color w:val="000000"/>
          <w:sz w:val="30"/>
          <w:szCs w:val="30"/>
        </w:rPr>
        <w:t>5、</w:t>
      </w:r>
      <w:r>
        <w:rPr>
          <w:rFonts w:ascii="宋体" w:hAnsi="宋体"/>
          <w:b/>
          <w:color w:val="000000"/>
          <w:sz w:val="30"/>
          <w:szCs w:val="30"/>
        </w:rPr>
        <w:t>项目支出：</w:t>
      </w:r>
      <w:r>
        <w:rPr>
          <w:rFonts w:ascii="宋体" w:hAnsi="宋体"/>
          <w:color w:val="000000"/>
          <w:sz w:val="30"/>
          <w:szCs w:val="30"/>
        </w:rPr>
        <w:t>指在基本支出之外为完成特定行政任务和事业发展目标所发生的支出。</w:t>
      </w:r>
    </w:p>
    <w:p>
      <w:pPr>
        <w:spacing w:line="500" w:lineRule="exact"/>
        <w:ind w:firstLine="560"/>
        <w:rPr>
          <w:rFonts w:ascii="宋体" w:hAnsi="宋体"/>
          <w:sz w:val="30"/>
          <w:szCs w:val="30"/>
        </w:rPr>
      </w:pPr>
      <w:r>
        <w:rPr>
          <w:rFonts w:ascii="宋体" w:hAnsi="宋体"/>
          <w:color w:val="000000"/>
          <w:sz w:val="30"/>
          <w:szCs w:val="30"/>
        </w:rPr>
        <w:t>6、</w:t>
      </w:r>
      <w:r>
        <w:rPr>
          <w:rFonts w:ascii="宋体" w:hAnsi="宋体"/>
          <w:b/>
          <w:color w:val="000000"/>
          <w:sz w:val="30"/>
          <w:szCs w:val="30"/>
        </w:rPr>
        <w:t>上缴上级支出：</w:t>
      </w:r>
      <w:r>
        <w:rPr>
          <w:rFonts w:ascii="宋体" w:hAnsi="宋体"/>
          <w:color w:val="000000"/>
          <w:sz w:val="30"/>
          <w:szCs w:val="30"/>
        </w:rPr>
        <w:t>指下级单位上缴上级的支出。</w:t>
      </w:r>
    </w:p>
    <w:p>
      <w:pPr>
        <w:spacing w:line="500" w:lineRule="exact"/>
        <w:ind w:firstLine="560"/>
        <w:rPr>
          <w:rFonts w:ascii="宋体" w:hAnsi="宋体"/>
          <w:sz w:val="30"/>
          <w:szCs w:val="30"/>
        </w:rPr>
      </w:pPr>
      <w:r>
        <w:rPr>
          <w:rFonts w:ascii="宋体" w:hAnsi="宋体"/>
          <w:color w:val="000000"/>
          <w:sz w:val="30"/>
          <w:szCs w:val="30"/>
        </w:rPr>
        <w:t>7、</w:t>
      </w:r>
      <w:r>
        <w:rPr>
          <w:rFonts w:ascii="宋体" w:hAnsi="宋体"/>
          <w:b/>
          <w:color w:val="000000"/>
          <w:sz w:val="30"/>
          <w:szCs w:val="30"/>
        </w:rPr>
        <w:t>“三公”经费：</w:t>
      </w:r>
      <w:r>
        <w:rPr>
          <w:rFonts w:ascii="宋体" w:hAnsi="宋体"/>
          <w:color w:val="000000"/>
          <w:sz w:val="30"/>
          <w:szCs w:val="30"/>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ascii="宋体" w:hAnsi="宋体"/>
          <w:sz w:val="30"/>
          <w:szCs w:val="30"/>
        </w:rPr>
      </w:pPr>
      <w:r>
        <w:rPr>
          <w:rFonts w:ascii="宋体" w:hAnsi="宋体"/>
          <w:color w:val="000000"/>
          <w:sz w:val="30"/>
          <w:szCs w:val="30"/>
        </w:rPr>
        <w:t>8、</w:t>
      </w:r>
      <w:r>
        <w:rPr>
          <w:rFonts w:ascii="宋体" w:hAnsi="宋体"/>
          <w:b/>
          <w:color w:val="000000"/>
          <w:sz w:val="30"/>
          <w:szCs w:val="30"/>
        </w:rPr>
        <w:t>机关运行费：</w:t>
      </w:r>
      <w:r>
        <w:rPr>
          <w:rFonts w:ascii="宋体" w:hAnsi="宋体"/>
          <w:color w:val="000000"/>
          <w:sz w:val="30"/>
          <w:szCs w:val="30"/>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ascii="宋体" w:hAnsi="宋体"/>
          <w:sz w:val="30"/>
          <w:szCs w:val="30"/>
        </w:rPr>
      </w:pPr>
      <w:r>
        <w:rPr>
          <w:rFonts w:ascii="宋体" w:hAnsi="宋体"/>
          <w:color w:val="000000"/>
          <w:sz w:val="30"/>
          <w:szCs w:val="30"/>
        </w:rPr>
        <w:t>9、</w:t>
      </w:r>
      <w:r>
        <w:rPr>
          <w:rFonts w:ascii="宋体" w:hAnsi="宋体"/>
          <w:b/>
          <w:color w:val="000000"/>
          <w:sz w:val="30"/>
          <w:szCs w:val="30"/>
        </w:rPr>
        <w:t>上年结转：</w:t>
      </w:r>
      <w:r>
        <w:rPr>
          <w:rFonts w:ascii="宋体" w:hAnsi="宋体"/>
          <w:color w:val="000000"/>
          <w:sz w:val="30"/>
          <w:szCs w:val="30"/>
        </w:rPr>
        <w:t>指以前年度尚未完成、结转到本年仍按原规定用途继续使用的资金。</w:t>
      </w:r>
    </w:p>
    <w:p>
      <w:pPr>
        <w:spacing w:line="500" w:lineRule="exact"/>
        <w:ind w:firstLine="560"/>
        <w:rPr>
          <w:rFonts w:ascii="宋体" w:hAnsi="宋体"/>
          <w:sz w:val="30"/>
          <w:szCs w:val="30"/>
        </w:rPr>
      </w:pPr>
      <w:r>
        <w:rPr>
          <w:rFonts w:ascii="宋体" w:hAnsi="宋体"/>
          <w:color w:val="000000"/>
          <w:sz w:val="30"/>
          <w:szCs w:val="30"/>
        </w:rPr>
        <w:t>10、</w:t>
      </w:r>
      <w:r>
        <w:rPr>
          <w:rFonts w:ascii="宋体" w:hAnsi="宋体"/>
          <w:b/>
          <w:color w:val="000000"/>
          <w:sz w:val="30"/>
          <w:szCs w:val="30"/>
        </w:rPr>
        <w:t>事业单位经营支出：</w:t>
      </w:r>
      <w:r>
        <w:rPr>
          <w:rFonts w:ascii="宋体" w:hAnsi="宋体"/>
          <w:color w:val="000000"/>
          <w:sz w:val="30"/>
          <w:szCs w:val="30"/>
        </w:rPr>
        <w:t>指事业单位在专业业务活动及其辅助活动之外开展非独立核算经营活动发生的支出。</w:t>
      </w:r>
    </w:p>
    <w:p>
      <w:pPr>
        <w:spacing w:before="10" w:after="10"/>
        <w:ind w:firstLine="640"/>
        <w:outlineLvl w:val="5"/>
        <w:rPr>
          <w:rFonts w:ascii="宋体" w:hAnsi="宋体"/>
          <w:sz w:val="30"/>
          <w:szCs w:val="30"/>
        </w:rPr>
      </w:pPr>
      <w:r>
        <w:rPr>
          <w:rFonts w:ascii="宋体" w:hAnsi="宋体" w:cs="黑体"/>
          <w:color w:val="000000"/>
          <w:sz w:val="30"/>
          <w:szCs w:val="30"/>
        </w:rPr>
        <w:t>九、其他需要说明的事项</w:t>
      </w:r>
    </w:p>
    <w:p>
      <w:pPr>
        <w:rPr>
          <w:rFonts w:hint="eastAsia" w:ascii="宋体" w:hAnsi="宋体"/>
          <w:sz w:val="30"/>
          <w:szCs w:val="30"/>
        </w:rPr>
      </w:pPr>
      <w:r>
        <w:rPr>
          <w:rFonts w:ascii="宋体" w:hAnsi="宋体"/>
          <w:color w:val="000000"/>
          <w:sz w:val="30"/>
          <w:szCs w:val="30"/>
        </w:rPr>
        <w:t>我单位无其他需要说明的事项。</w:t>
      </w: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866" w:firstLineChars="196"/>
        <w:rPr>
          <w:rFonts w:hint="eastAsia" w:asciiTheme="minorEastAsia" w:hAnsiTheme="minorEastAsia"/>
          <w:b/>
          <w:sz w:val="32"/>
          <w:szCs w:val="32"/>
        </w:rPr>
      </w:pPr>
      <w:r>
        <w:rPr>
          <w:rFonts w:hint="eastAsia" w:ascii="仿宋_GB2312" w:hAnsi="仿宋_GB2312" w:eastAsia="仿宋_GB2312" w:cs="仿宋_GB2312"/>
          <w:b/>
          <w:bCs/>
          <w:sz w:val="44"/>
          <w:szCs w:val="44"/>
        </w:rPr>
        <w:t>三、宁晋县殡葬管理所收支预算</w:t>
      </w: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p>
      <w:pPr>
        <w:ind w:firstLine="630" w:firstLineChars="196"/>
        <w:rPr>
          <w:rFonts w:hint="eastAsia" w:asciiTheme="minorEastAsia" w:hAnsiTheme="minorEastAsia"/>
          <w:b/>
          <w:sz w:val="32"/>
          <w:szCs w:val="32"/>
        </w:rPr>
      </w:pPr>
    </w:p>
    <w:tbl>
      <w:tblPr>
        <w:tblStyle w:val="8"/>
        <w:tblW w:w="14301" w:type="dxa"/>
        <w:jc w:val="center"/>
        <w:tblLayout w:type="fixed"/>
        <w:tblCellMar>
          <w:top w:w="0" w:type="dxa"/>
          <w:left w:w="108" w:type="dxa"/>
          <w:bottom w:w="0" w:type="dxa"/>
          <w:right w:w="108" w:type="dxa"/>
        </w:tblCellMar>
      </w:tblPr>
      <w:tblGrid>
        <w:gridCol w:w="729"/>
        <w:gridCol w:w="4821"/>
        <w:gridCol w:w="1070"/>
        <w:gridCol w:w="5247"/>
        <w:gridCol w:w="2434"/>
      </w:tblGrid>
      <w:tr>
        <w:tblPrEx>
          <w:tblCellMar>
            <w:top w:w="0" w:type="dxa"/>
            <w:left w:w="108" w:type="dxa"/>
            <w:bottom w:w="0" w:type="dxa"/>
            <w:right w:w="108" w:type="dxa"/>
          </w:tblCellMar>
        </w:tblPrEx>
        <w:trPr>
          <w:trHeight w:val="690" w:hRule="atLeast"/>
          <w:jc w:val="center"/>
        </w:trPr>
        <w:tc>
          <w:tcPr>
            <w:tcW w:w="14301" w:type="dxa"/>
            <w:gridSpan w:val="5"/>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单位预算收支总表</w:t>
            </w:r>
          </w:p>
        </w:tc>
      </w:tr>
      <w:tr>
        <w:tblPrEx>
          <w:tblCellMar>
            <w:top w:w="0" w:type="dxa"/>
            <w:left w:w="108" w:type="dxa"/>
            <w:bottom w:w="0" w:type="dxa"/>
            <w:right w:w="108" w:type="dxa"/>
          </w:tblCellMar>
        </w:tblPrEx>
        <w:trPr>
          <w:trHeight w:val="360" w:hRule="atLeast"/>
          <w:jc w:val="center"/>
        </w:trPr>
        <w:tc>
          <w:tcPr>
            <w:tcW w:w="6620" w:type="dxa"/>
            <w:gridSpan w:val="3"/>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预算单位编码及名称：[314005]宁晋县殡葬管理所</w:t>
            </w:r>
          </w:p>
        </w:tc>
        <w:tc>
          <w:tcPr>
            <w:tcW w:w="5247"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预算年度：2021</w:t>
            </w:r>
          </w:p>
        </w:tc>
        <w:tc>
          <w:tcPr>
            <w:tcW w:w="2434"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金额单位：万元</w:t>
            </w:r>
          </w:p>
        </w:tc>
      </w:tr>
      <w:tr>
        <w:tblPrEx>
          <w:tblCellMar>
            <w:top w:w="0" w:type="dxa"/>
            <w:left w:w="108" w:type="dxa"/>
            <w:bottom w:w="0" w:type="dxa"/>
            <w:right w:w="108" w:type="dxa"/>
          </w:tblCellMar>
        </w:tblPrEx>
        <w:trPr>
          <w:trHeight w:val="360" w:hRule="atLeast"/>
          <w:jc w:val="center"/>
        </w:trPr>
        <w:tc>
          <w:tcPr>
            <w:tcW w:w="729"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序号</w:t>
            </w:r>
          </w:p>
        </w:tc>
        <w:tc>
          <w:tcPr>
            <w:tcW w:w="5891"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收入</w:t>
            </w:r>
          </w:p>
        </w:tc>
        <w:tc>
          <w:tcPr>
            <w:tcW w:w="7681"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支出</w:t>
            </w:r>
          </w:p>
        </w:tc>
      </w:tr>
      <w:tr>
        <w:tblPrEx>
          <w:tblCellMar>
            <w:top w:w="0" w:type="dxa"/>
            <w:left w:w="108" w:type="dxa"/>
            <w:bottom w:w="0" w:type="dxa"/>
            <w:right w:w="108" w:type="dxa"/>
          </w:tblCellMar>
        </w:tblPrEx>
        <w:trPr>
          <w:trHeight w:val="360" w:hRule="atLeast"/>
          <w:jc w:val="center"/>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482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项目</w:t>
            </w:r>
          </w:p>
        </w:tc>
        <w:tc>
          <w:tcPr>
            <w:tcW w:w="107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预算数</w:t>
            </w:r>
          </w:p>
        </w:tc>
        <w:tc>
          <w:tcPr>
            <w:tcW w:w="52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项目</w:t>
            </w:r>
          </w:p>
        </w:tc>
        <w:tc>
          <w:tcPr>
            <w:tcW w:w="24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预算数</w:t>
            </w:r>
          </w:p>
        </w:tc>
      </w:tr>
      <w:tr>
        <w:tblPrEx>
          <w:tblCellMar>
            <w:top w:w="0" w:type="dxa"/>
            <w:left w:w="108" w:type="dxa"/>
            <w:bottom w:w="0" w:type="dxa"/>
            <w:right w:w="108" w:type="dxa"/>
          </w:tblCellMar>
        </w:tblPrEx>
        <w:trPr>
          <w:trHeight w:val="360" w:hRule="atLeast"/>
          <w:jc w:val="center"/>
        </w:trPr>
        <w:tc>
          <w:tcPr>
            <w:tcW w:w="72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栏次</w:t>
            </w:r>
          </w:p>
        </w:tc>
        <w:tc>
          <w:tcPr>
            <w:tcW w:w="482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107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524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243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一、一般公共预算拨款收入</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一、一般公共服务支出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二、政府性基金预算拨款收入</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二、外交支出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三、国有资本经营预算拨款收入</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三、国防支出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4</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四、财政专户管理资金收入</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四、公共安全支出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5</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五、事业收入</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五、教育支出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6</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六、事业单位经营收入</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六、科学技术支出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7</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七、上级补助收入</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七、文化旅游体育与传媒支出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8</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八、附属单位上缴收入</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八、社会保障和就业支出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9</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九、其他收入</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九、社会保险基金支出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10</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十、卫生健康支出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11</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十一、节能环保支出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12</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十二、城乡社区支出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13</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十三、农林水支出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14</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十四、交通运输支出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15</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十五、资源勘探工业信息等支出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16</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十六、商业服务业等支出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17</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十七、金融支出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18</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十八、援助其他地区支出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19</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十九、自然资源海洋气象等支出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20</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二十、住房保障支出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21</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二十一、粮油物资储备支出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22</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二十二、国有资本经营预算支出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23</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二十三、灾害防治及应急管理支出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24</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二十四、预备费</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25</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二十五、其他支出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26</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二十六、转移性支出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825"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27</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二十七、灾害防治及应急管理共同财政事权转移支付支出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28</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二十八、债务还本支出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29</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二十九、债务付息支出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30</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三十、债务发行费用支出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31</w:t>
            </w:r>
          </w:p>
        </w:tc>
        <w:tc>
          <w:tcPr>
            <w:tcW w:w="4821"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三十一、抗疫特别国债安排的支出</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32</w:t>
            </w:r>
          </w:p>
        </w:tc>
        <w:tc>
          <w:tcPr>
            <w:tcW w:w="4821"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本年收入合计</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本年支出合计</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33</w:t>
            </w:r>
          </w:p>
        </w:tc>
        <w:tc>
          <w:tcPr>
            <w:tcW w:w="4821"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上年结转结余</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年终结转结余</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30" w:hRule="atLeast"/>
          <w:jc w:val="center"/>
        </w:trPr>
        <w:tc>
          <w:tcPr>
            <w:tcW w:w="729"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34</w:t>
            </w:r>
          </w:p>
        </w:tc>
        <w:tc>
          <w:tcPr>
            <w:tcW w:w="4821"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收入总计</w:t>
            </w:r>
          </w:p>
        </w:tc>
        <w:tc>
          <w:tcPr>
            <w:tcW w:w="1070"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5247"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支出总计</w:t>
            </w:r>
          </w:p>
        </w:tc>
        <w:tc>
          <w:tcPr>
            <w:tcW w:w="2434"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r>
    </w:tbl>
    <w:p/>
    <w:p/>
    <w:p/>
    <w:p/>
    <w:p/>
    <w:p/>
    <w:p/>
    <w:tbl>
      <w:tblPr>
        <w:tblStyle w:val="8"/>
        <w:tblW w:w="14620" w:type="dxa"/>
        <w:jc w:val="center"/>
        <w:tblLayout w:type="fixed"/>
        <w:tblCellMar>
          <w:top w:w="0" w:type="dxa"/>
          <w:left w:w="108" w:type="dxa"/>
          <w:bottom w:w="0" w:type="dxa"/>
          <w:right w:w="108" w:type="dxa"/>
        </w:tblCellMar>
      </w:tblPr>
      <w:tblGrid>
        <w:gridCol w:w="667"/>
        <w:gridCol w:w="1369"/>
        <w:gridCol w:w="2971"/>
        <w:gridCol w:w="913"/>
        <w:gridCol w:w="1052"/>
        <w:gridCol w:w="1251"/>
        <w:gridCol w:w="886"/>
        <w:gridCol w:w="759"/>
        <w:gridCol w:w="702"/>
        <w:gridCol w:w="787"/>
        <w:gridCol w:w="1057"/>
        <w:gridCol w:w="915"/>
        <w:gridCol w:w="1291"/>
      </w:tblGrid>
      <w:tr>
        <w:tblPrEx>
          <w:tblCellMar>
            <w:top w:w="0" w:type="dxa"/>
            <w:left w:w="108" w:type="dxa"/>
            <w:bottom w:w="0" w:type="dxa"/>
            <w:right w:w="108" w:type="dxa"/>
          </w:tblCellMar>
        </w:tblPrEx>
        <w:trPr>
          <w:trHeight w:val="975" w:hRule="atLeast"/>
          <w:jc w:val="center"/>
        </w:trPr>
        <w:tc>
          <w:tcPr>
            <w:tcW w:w="14620" w:type="dxa"/>
            <w:gridSpan w:val="13"/>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单位预算收入总表</w:t>
            </w:r>
          </w:p>
        </w:tc>
      </w:tr>
      <w:tr>
        <w:tblPrEx>
          <w:tblCellMar>
            <w:top w:w="0" w:type="dxa"/>
            <w:left w:w="108" w:type="dxa"/>
            <w:bottom w:w="0" w:type="dxa"/>
            <w:right w:w="108" w:type="dxa"/>
          </w:tblCellMar>
        </w:tblPrEx>
        <w:trPr>
          <w:trHeight w:val="360" w:hRule="atLeast"/>
          <w:jc w:val="center"/>
        </w:trPr>
        <w:tc>
          <w:tcPr>
            <w:tcW w:w="10570" w:type="dxa"/>
            <w:gridSpan w:val="9"/>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预算单位编码及名称：[314005]宁晋县殡葬管理所</w:t>
            </w:r>
          </w:p>
        </w:tc>
        <w:tc>
          <w:tcPr>
            <w:tcW w:w="1844" w:type="dxa"/>
            <w:gridSpan w:val="2"/>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预算年度：2021</w:t>
            </w:r>
          </w:p>
        </w:tc>
        <w:tc>
          <w:tcPr>
            <w:tcW w:w="2206" w:type="dxa"/>
            <w:gridSpan w:val="2"/>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金额单位：万元</w:t>
            </w:r>
          </w:p>
        </w:tc>
      </w:tr>
      <w:tr>
        <w:tblPrEx>
          <w:tblCellMar>
            <w:top w:w="0" w:type="dxa"/>
            <w:left w:w="108" w:type="dxa"/>
            <w:bottom w:w="0" w:type="dxa"/>
            <w:right w:w="108" w:type="dxa"/>
          </w:tblCellMar>
        </w:tblPrEx>
        <w:trPr>
          <w:trHeight w:val="600" w:hRule="atLeast"/>
          <w:jc w:val="center"/>
        </w:trPr>
        <w:tc>
          <w:tcPr>
            <w:tcW w:w="667"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序号</w:t>
            </w:r>
          </w:p>
        </w:tc>
        <w:tc>
          <w:tcPr>
            <w:tcW w:w="43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功能分类科目</w:t>
            </w:r>
          </w:p>
        </w:tc>
        <w:tc>
          <w:tcPr>
            <w:tcW w:w="913"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合计</w:t>
            </w:r>
          </w:p>
        </w:tc>
        <w:tc>
          <w:tcPr>
            <w:tcW w:w="7409" w:type="dxa"/>
            <w:gridSpan w:val="8"/>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本年收入</w:t>
            </w:r>
          </w:p>
        </w:tc>
        <w:tc>
          <w:tcPr>
            <w:tcW w:w="1291"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上年结转</w:t>
            </w:r>
          </w:p>
        </w:tc>
      </w:tr>
      <w:tr>
        <w:tblPrEx>
          <w:tblCellMar>
            <w:top w:w="0" w:type="dxa"/>
            <w:left w:w="108" w:type="dxa"/>
            <w:bottom w:w="0" w:type="dxa"/>
            <w:right w:w="108" w:type="dxa"/>
          </w:tblCellMar>
        </w:tblPrEx>
        <w:trPr>
          <w:trHeight w:val="600" w:hRule="atLeast"/>
          <w:jc w:val="center"/>
        </w:trPr>
        <w:tc>
          <w:tcPr>
            <w:tcW w:w="667"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p>
        </w:tc>
        <w:tc>
          <w:tcPr>
            <w:tcW w:w="136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科目编码</w:t>
            </w:r>
          </w:p>
        </w:tc>
        <w:tc>
          <w:tcPr>
            <w:tcW w:w="297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科目名称</w:t>
            </w:r>
          </w:p>
        </w:tc>
        <w:tc>
          <w:tcPr>
            <w:tcW w:w="913"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p>
        </w:tc>
        <w:tc>
          <w:tcPr>
            <w:tcW w:w="105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小计</w:t>
            </w:r>
          </w:p>
        </w:tc>
        <w:tc>
          <w:tcPr>
            <w:tcW w:w="125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财政拨款收入</w:t>
            </w:r>
          </w:p>
        </w:tc>
        <w:tc>
          <w:tcPr>
            <w:tcW w:w="88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财政专户收入</w:t>
            </w:r>
          </w:p>
        </w:tc>
        <w:tc>
          <w:tcPr>
            <w:tcW w:w="75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事业收入</w:t>
            </w:r>
          </w:p>
        </w:tc>
        <w:tc>
          <w:tcPr>
            <w:tcW w:w="70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经营收入</w:t>
            </w:r>
          </w:p>
        </w:tc>
        <w:tc>
          <w:tcPr>
            <w:tcW w:w="78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上级补助收入</w:t>
            </w:r>
          </w:p>
        </w:tc>
        <w:tc>
          <w:tcPr>
            <w:tcW w:w="105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附属单位上缴收入</w:t>
            </w:r>
          </w:p>
        </w:tc>
        <w:tc>
          <w:tcPr>
            <w:tcW w:w="91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其他收入</w:t>
            </w:r>
          </w:p>
        </w:tc>
        <w:tc>
          <w:tcPr>
            <w:tcW w:w="1291"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eastAsia="宋体" w:cs="宋体"/>
                <w:color w:val="000000"/>
                <w:kern w:val="0"/>
                <w:sz w:val="22"/>
              </w:rPr>
            </w:pPr>
          </w:p>
        </w:tc>
      </w:tr>
      <w:tr>
        <w:tblPrEx>
          <w:tblCellMar>
            <w:top w:w="0" w:type="dxa"/>
            <w:left w:w="108" w:type="dxa"/>
            <w:bottom w:w="0" w:type="dxa"/>
            <w:right w:w="108" w:type="dxa"/>
          </w:tblCellMar>
        </w:tblPrEx>
        <w:trPr>
          <w:trHeight w:val="600" w:hRule="atLeast"/>
          <w:jc w:val="center"/>
        </w:trPr>
        <w:tc>
          <w:tcPr>
            <w:tcW w:w="66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栏次</w:t>
            </w:r>
          </w:p>
        </w:tc>
        <w:tc>
          <w:tcPr>
            <w:tcW w:w="1369"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297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913"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105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125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w:t>
            </w:r>
          </w:p>
        </w:tc>
        <w:tc>
          <w:tcPr>
            <w:tcW w:w="88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w:t>
            </w:r>
          </w:p>
        </w:tc>
        <w:tc>
          <w:tcPr>
            <w:tcW w:w="759"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w:t>
            </w:r>
          </w:p>
        </w:tc>
        <w:tc>
          <w:tcPr>
            <w:tcW w:w="70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78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105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w:t>
            </w:r>
          </w:p>
        </w:tc>
        <w:tc>
          <w:tcPr>
            <w:tcW w:w="91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w:t>
            </w:r>
          </w:p>
        </w:tc>
        <w:tc>
          <w:tcPr>
            <w:tcW w:w="129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w:t>
            </w:r>
          </w:p>
        </w:tc>
      </w:tr>
      <w:tr>
        <w:tblPrEx>
          <w:tblCellMar>
            <w:top w:w="0" w:type="dxa"/>
            <w:left w:w="108" w:type="dxa"/>
            <w:bottom w:w="0" w:type="dxa"/>
            <w:right w:w="108" w:type="dxa"/>
          </w:tblCellMar>
        </w:tblPrEx>
        <w:trPr>
          <w:trHeight w:val="600" w:hRule="atLeast"/>
          <w:jc w:val="center"/>
        </w:trPr>
        <w:tc>
          <w:tcPr>
            <w:tcW w:w="66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w:t>
            </w:r>
          </w:p>
        </w:tc>
        <w:tc>
          <w:tcPr>
            <w:tcW w:w="1369"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p>
        </w:tc>
        <w:tc>
          <w:tcPr>
            <w:tcW w:w="2971"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合计</w:t>
            </w:r>
          </w:p>
        </w:tc>
        <w:tc>
          <w:tcPr>
            <w:tcW w:w="913"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052"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251"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886"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59"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02"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87"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1057"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915"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1291"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r>
      <w:tr>
        <w:tblPrEx>
          <w:tblCellMar>
            <w:top w:w="0" w:type="dxa"/>
            <w:left w:w="108" w:type="dxa"/>
            <w:bottom w:w="0" w:type="dxa"/>
            <w:right w:w="108" w:type="dxa"/>
          </w:tblCellMar>
        </w:tblPrEx>
        <w:trPr>
          <w:trHeight w:val="600" w:hRule="atLeast"/>
          <w:jc w:val="center"/>
        </w:trPr>
        <w:tc>
          <w:tcPr>
            <w:tcW w:w="66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w:t>
            </w:r>
          </w:p>
        </w:tc>
        <w:tc>
          <w:tcPr>
            <w:tcW w:w="1369"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208</w:t>
            </w:r>
          </w:p>
        </w:tc>
        <w:tc>
          <w:tcPr>
            <w:tcW w:w="2971"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社会保障和就业支出</w:t>
            </w:r>
          </w:p>
        </w:tc>
        <w:tc>
          <w:tcPr>
            <w:tcW w:w="913"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052"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251"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886"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59"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02"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87"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1057"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915"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1291"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r>
      <w:tr>
        <w:tblPrEx>
          <w:tblCellMar>
            <w:top w:w="0" w:type="dxa"/>
            <w:left w:w="108" w:type="dxa"/>
            <w:bottom w:w="0" w:type="dxa"/>
            <w:right w:w="108" w:type="dxa"/>
          </w:tblCellMar>
        </w:tblPrEx>
        <w:trPr>
          <w:trHeight w:val="600" w:hRule="atLeast"/>
          <w:jc w:val="center"/>
        </w:trPr>
        <w:tc>
          <w:tcPr>
            <w:tcW w:w="66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w:t>
            </w:r>
          </w:p>
        </w:tc>
        <w:tc>
          <w:tcPr>
            <w:tcW w:w="1369"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20810</w:t>
            </w:r>
          </w:p>
        </w:tc>
        <w:tc>
          <w:tcPr>
            <w:tcW w:w="2971"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社会福利</w:t>
            </w:r>
          </w:p>
        </w:tc>
        <w:tc>
          <w:tcPr>
            <w:tcW w:w="913"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052"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251"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886"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59"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02"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87"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1057"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915"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1291"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r>
      <w:tr>
        <w:tblPrEx>
          <w:tblCellMar>
            <w:top w:w="0" w:type="dxa"/>
            <w:left w:w="108" w:type="dxa"/>
            <w:bottom w:w="0" w:type="dxa"/>
            <w:right w:w="108" w:type="dxa"/>
          </w:tblCellMar>
        </w:tblPrEx>
        <w:trPr>
          <w:trHeight w:val="600" w:hRule="atLeast"/>
          <w:jc w:val="center"/>
        </w:trPr>
        <w:tc>
          <w:tcPr>
            <w:tcW w:w="66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4</w:t>
            </w:r>
          </w:p>
        </w:tc>
        <w:tc>
          <w:tcPr>
            <w:tcW w:w="1369"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2081004</w:t>
            </w:r>
          </w:p>
        </w:tc>
        <w:tc>
          <w:tcPr>
            <w:tcW w:w="2971"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殡葬</w:t>
            </w:r>
          </w:p>
        </w:tc>
        <w:tc>
          <w:tcPr>
            <w:tcW w:w="913"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052"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251" w:type="dxa"/>
            <w:tcBorders>
              <w:top w:val="nil"/>
              <w:left w:val="nil"/>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886"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59"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02"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787"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1057"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915"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c>
          <w:tcPr>
            <w:tcW w:w="1291" w:type="dxa"/>
            <w:tcBorders>
              <w:top w:val="nil"/>
              <w:left w:val="nil"/>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p>
        </w:tc>
      </w:tr>
    </w:tbl>
    <w:p/>
    <w:tbl>
      <w:tblPr>
        <w:tblStyle w:val="8"/>
        <w:tblW w:w="14160" w:type="dxa"/>
        <w:jc w:val="center"/>
        <w:tblLayout w:type="fixed"/>
        <w:tblCellMar>
          <w:top w:w="0" w:type="dxa"/>
          <w:left w:w="108" w:type="dxa"/>
          <w:bottom w:w="0" w:type="dxa"/>
          <w:right w:w="108" w:type="dxa"/>
        </w:tblCellMar>
      </w:tblPr>
      <w:tblGrid>
        <w:gridCol w:w="602"/>
        <w:gridCol w:w="1166"/>
        <w:gridCol w:w="2576"/>
        <w:gridCol w:w="1730"/>
        <w:gridCol w:w="1166"/>
        <w:gridCol w:w="1166"/>
        <w:gridCol w:w="1166"/>
        <w:gridCol w:w="2012"/>
        <w:gridCol w:w="2576"/>
      </w:tblGrid>
      <w:tr>
        <w:tblPrEx>
          <w:tblCellMar>
            <w:top w:w="0" w:type="dxa"/>
            <w:left w:w="108" w:type="dxa"/>
            <w:bottom w:w="0" w:type="dxa"/>
            <w:right w:w="108" w:type="dxa"/>
          </w:tblCellMar>
        </w:tblPrEx>
        <w:trPr>
          <w:trHeight w:val="660" w:hRule="atLeast"/>
          <w:jc w:val="center"/>
        </w:trPr>
        <w:tc>
          <w:tcPr>
            <w:tcW w:w="14160" w:type="dxa"/>
            <w:gridSpan w:val="9"/>
            <w:tcBorders>
              <w:top w:val="nil"/>
              <w:left w:val="nil"/>
              <w:bottom w:val="nil"/>
              <w:right w:val="nil"/>
            </w:tcBorders>
            <w:shd w:val="clear" w:color="auto" w:fill="auto"/>
            <w:noWrap/>
            <w:vAlign w:val="center"/>
          </w:tcPr>
          <w:p>
            <w:pPr>
              <w:widowControl/>
              <w:jc w:val="center"/>
              <w:rPr>
                <w:rFonts w:ascii="宋体" w:hAnsi="宋体" w:eastAsia="宋体" w:cs="宋体"/>
                <w:color w:val="000000"/>
                <w:kern w:val="0"/>
                <w:sz w:val="36"/>
                <w:szCs w:val="36"/>
              </w:rPr>
            </w:pPr>
          </w:p>
          <w:p>
            <w:pPr>
              <w:widowControl/>
              <w:jc w:val="center"/>
              <w:rPr>
                <w:rFonts w:ascii="宋体" w:hAnsi="宋体" w:eastAsia="宋体" w:cs="宋体"/>
                <w:color w:val="000000"/>
                <w:kern w:val="0"/>
                <w:sz w:val="36"/>
                <w:szCs w:val="36"/>
              </w:rPr>
            </w:pPr>
          </w:p>
          <w:p>
            <w:pPr>
              <w:widowControl/>
              <w:jc w:val="center"/>
              <w:rPr>
                <w:rFonts w:ascii="宋体" w:hAnsi="宋体" w:eastAsia="宋体" w:cs="宋体"/>
                <w:color w:val="000000"/>
                <w:kern w:val="0"/>
                <w:sz w:val="36"/>
                <w:szCs w:val="36"/>
              </w:rPr>
            </w:pPr>
          </w:p>
          <w:p>
            <w:pPr>
              <w:widowControl/>
              <w:jc w:val="center"/>
              <w:rPr>
                <w:rFonts w:ascii="宋体" w:hAnsi="宋体" w:eastAsia="宋体" w:cs="宋体"/>
                <w:color w:val="000000"/>
                <w:kern w:val="0"/>
                <w:sz w:val="36"/>
                <w:szCs w:val="36"/>
              </w:rPr>
            </w:pPr>
          </w:p>
          <w:p>
            <w:pPr>
              <w:widowControl/>
              <w:jc w:val="center"/>
              <w:rPr>
                <w:rFonts w:ascii="宋体" w:hAnsi="宋体" w:eastAsia="宋体" w:cs="宋体"/>
                <w:color w:val="000000"/>
                <w:kern w:val="0"/>
                <w:sz w:val="36"/>
                <w:szCs w:val="36"/>
              </w:rPr>
            </w:pPr>
          </w:p>
          <w:p>
            <w:pPr>
              <w:widowControl/>
              <w:jc w:val="center"/>
              <w:rPr>
                <w:rFonts w:ascii="宋体" w:hAnsi="宋体" w:eastAsia="宋体" w:cs="宋体"/>
                <w:color w:val="000000"/>
                <w:kern w:val="0"/>
                <w:sz w:val="36"/>
                <w:szCs w:val="36"/>
              </w:rPr>
            </w:pPr>
          </w:p>
          <w:p>
            <w:pPr>
              <w:widowControl/>
              <w:jc w:val="center"/>
              <w:rPr>
                <w:rFonts w:ascii="宋体" w:hAnsi="宋体" w:eastAsia="宋体" w:cs="宋体"/>
                <w:color w:val="000000"/>
                <w:kern w:val="0"/>
                <w:sz w:val="36"/>
                <w:szCs w:val="36"/>
              </w:rPr>
            </w:pPr>
            <w:r>
              <w:rPr>
                <w:rFonts w:hint="eastAsia" w:ascii="宋体" w:hAnsi="宋体" w:eastAsia="宋体" w:cs="宋体"/>
                <w:color w:val="000000"/>
                <w:kern w:val="0"/>
                <w:sz w:val="36"/>
                <w:szCs w:val="36"/>
              </w:rPr>
              <w:t>单位预算支出总表</w:t>
            </w:r>
          </w:p>
        </w:tc>
      </w:tr>
      <w:tr>
        <w:tblPrEx>
          <w:tblCellMar>
            <w:top w:w="0" w:type="dxa"/>
            <w:left w:w="108" w:type="dxa"/>
            <w:bottom w:w="0" w:type="dxa"/>
            <w:right w:w="108" w:type="dxa"/>
          </w:tblCellMar>
        </w:tblPrEx>
        <w:trPr>
          <w:trHeight w:val="360" w:hRule="atLeast"/>
          <w:jc w:val="center"/>
        </w:trPr>
        <w:tc>
          <w:tcPr>
            <w:tcW w:w="9572" w:type="dxa"/>
            <w:gridSpan w:val="7"/>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预算单位编码及名称：[314005]宁晋县殡葬管理所</w:t>
            </w:r>
          </w:p>
        </w:tc>
        <w:tc>
          <w:tcPr>
            <w:tcW w:w="2012"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预算年度：2021</w:t>
            </w:r>
          </w:p>
        </w:tc>
        <w:tc>
          <w:tcPr>
            <w:tcW w:w="2576"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金额单位：万元</w:t>
            </w:r>
          </w:p>
        </w:tc>
      </w:tr>
      <w:tr>
        <w:tblPrEx>
          <w:tblCellMar>
            <w:top w:w="0" w:type="dxa"/>
            <w:left w:w="108" w:type="dxa"/>
            <w:bottom w:w="0" w:type="dxa"/>
            <w:right w:w="108" w:type="dxa"/>
          </w:tblCellMar>
        </w:tblPrEx>
        <w:trPr>
          <w:trHeight w:val="570" w:hRule="atLeast"/>
          <w:jc w:val="center"/>
        </w:trPr>
        <w:tc>
          <w:tcPr>
            <w:tcW w:w="602"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序号</w:t>
            </w:r>
          </w:p>
        </w:tc>
        <w:tc>
          <w:tcPr>
            <w:tcW w:w="3742"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支出功能分类科目</w:t>
            </w:r>
          </w:p>
        </w:tc>
        <w:tc>
          <w:tcPr>
            <w:tcW w:w="173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本年支出合计</w:t>
            </w:r>
          </w:p>
        </w:tc>
        <w:tc>
          <w:tcPr>
            <w:tcW w:w="1166"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基本支出</w:t>
            </w:r>
          </w:p>
        </w:tc>
        <w:tc>
          <w:tcPr>
            <w:tcW w:w="1166"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项目支出</w:t>
            </w:r>
          </w:p>
        </w:tc>
        <w:tc>
          <w:tcPr>
            <w:tcW w:w="1166"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经营支出</w:t>
            </w:r>
          </w:p>
        </w:tc>
        <w:tc>
          <w:tcPr>
            <w:tcW w:w="2012"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上缴上级支出</w:t>
            </w:r>
          </w:p>
        </w:tc>
        <w:tc>
          <w:tcPr>
            <w:tcW w:w="2576"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对附属单位补助支出</w:t>
            </w:r>
          </w:p>
        </w:tc>
      </w:tr>
      <w:tr>
        <w:tblPrEx>
          <w:tblCellMar>
            <w:top w:w="0" w:type="dxa"/>
            <w:left w:w="108" w:type="dxa"/>
            <w:bottom w:w="0" w:type="dxa"/>
            <w:right w:w="108" w:type="dxa"/>
          </w:tblCellMar>
        </w:tblPrEx>
        <w:trPr>
          <w:trHeight w:val="570" w:hRule="atLeast"/>
          <w:jc w:val="center"/>
        </w:trPr>
        <w:tc>
          <w:tcPr>
            <w:tcW w:w="60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16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科目编码</w:t>
            </w:r>
          </w:p>
        </w:tc>
        <w:tc>
          <w:tcPr>
            <w:tcW w:w="25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科目名称</w:t>
            </w:r>
          </w:p>
        </w:tc>
        <w:tc>
          <w:tcPr>
            <w:tcW w:w="17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16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16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16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01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57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70" w:hRule="atLeast"/>
          <w:jc w:val="center"/>
        </w:trPr>
        <w:tc>
          <w:tcPr>
            <w:tcW w:w="602"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栏次</w:t>
            </w:r>
          </w:p>
        </w:tc>
        <w:tc>
          <w:tcPr>
            <w:tcW w:w="116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25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173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116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116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w:t>
            </w:r>
          </w:p>
        </w:tc>
        <w:tc>
          <w:tcPr>
            <w:tcW w:w="116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w:t>
            </w:r>
          </w:p>
        </w:tc>
        <w:tc>
          <w:tcPr>
            <w:tcW w:w="201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w:t>
            </w:r>
          </w:p>
        </w:tc>
        <w:tc>
          <w:tcPr>
            <w:tcW w:w="25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w:t>
            </w:r>
          </w:p>
        </w:tc>
      </w:tr>
      <w:tr>
        <w:tblPrEx>
          <w:tblCellMar>
            <w:top w:w="0" w:type="dxa"/>
            <w:left w:w="108" w:type="dxa"/>
            <w:bottom w:w="0" w:type="dxa"/>
            <w:right w:w="108" w:type="dxa"/>
          </w:tblCellMar>
        </w:tblPrEx>
        <w:trPr>
          <w:trHeight w:val="570" w:hRule="atLeast"/>
          <w:jc w:val="center"/>
        </w:trPr>
        <w:tc>
          <w:tcPr>
            <w:tcW w:w="602"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w:t>
            </w:r>
          </w:p>
        </w:tc>
        <w:tc>
          <w:tcPr>
            <w:tcW w:w="1166"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2576"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合计</w:t>
            </w:r>
          </w:p>
        </w:tc>
        <w:tc>
          <w:tcPr>
            <w:tcW w:w="1730"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16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16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166"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12"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576"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570" w:hRule="atLeast"/>
          <w:jc w:val="center"/>
        </w:trPr>
        <w:tc>
          <w:tcPr>
            <w:tcW w:w="602"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w:t>
            </w:r>
          </w:p>
        </w:tc>
        <w:tc>
          <w:tcPr>
            <w:tcW w:w="1166"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208</w:t>
            </w:r>
          </w:p>
        </w:tc>
        <w:tc>
          <w:tcPr>
            <w:tcW w:w="2576"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社会保障和就业支出</w:t>
            </w:r>
          </w:p>
        </w:tc>
        <w:tc>
          <w:tcPr>
            <w:tcW w:w="1730"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16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16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166"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12"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576"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570" w:hRule="atLeast"/>
          <w:jc w:val="center"/>
        </w:trPr>
        <w:tc>
          <w:tcPr>
            <w:tcW w:w="602"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w:t>
            </w:r>
          </w:p>
        </w:tc>
        <w:tc>
          <w:tcPr>
            <w:tcW w:w="1166"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20810</w:t>
            </w:r>
          </w:p>
        </w:tc>
        <w:tc>
          <w:tcPr>
            <w:tcW w:w="2576"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社会福利</w:t>
            </w:r>
          </w:p>
        </w:tc>
        <w:tc>
          <w:tcPr>
            <w:tcW w:w="1730"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16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16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166"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12"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576"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570" w:hRule="atLeast"/>
          <w:jc w:val="center"/>
        </w:trPr>
        <w:tc>
          <w:tcPr>
            <w:tcW w:w="602"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4</w:t>
            </w:r>
          </w:p>
        </w:tc>
        <w:tc>
          <w:tcPr>
            <w:tcW w:w="1166"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2081004</w:t>
            </w:r>
          </w:p>
        </w:tc>
        <w:tc>
          <w:tcPr>
            <w:tcW w:w="2576"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殡葬</w:t>
            </w:r>
          </w:p>
        </w:tc>
        <w:tc>
          <w:tcPr>
            <w:tcW w:w="1730"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16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16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166"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12"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576"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bl>
    <w:p/>
    <w:p/>
    <w:p/>
    <w:p/>
    <w:p/>
    <w:p/>
    <w:p/>
    <w:p/>
    <w:p/>
    <w:p/>
    <w:tbl>
      <w:tblPr>
        <w:tblStyle w:val="8"/>
        <w:tblW w:w="14840" w:type="dxa"/>
        <w:jc w:val="center"/>
        <w:tblLayout w:type="fixed"/>
        <w:tblCellMar>
          <w:top w:w="0" w:type="dxa"/>
          <w:left w:w="108" w:type="dxa"/>
          <w:bottom w:w="0" w:type="dxa"/>
          <w:right w:w="108" w:type="dxa"/>
        </w:tblCellMar>
      </w:tblPr>
      <w:tblGrid>
        <w:gridCol w:w="560"/>
        <w:gridCol w:w="255"/>
        <w:gridCol w:w="1579"/>
        <w:gridCol w:w="1414"/>
        <w:gridCol w:w="861"/>
        <w:gridCol w:w="1212"/>
        <w:gridCol w:w="1117"/>
        <w:gridCol w:w="815"/>
        <w:gridCol w:w="1332"/>
        <w:gridCol w:w="247"/>
        <w:gridCol w:w="626"/>
        <w:gridCol w:w="1016"/>
        <w:gridCol w:w="1082"/>
        <w:gridCol w:w="617"/>
        <w:gridCol w:w="2008"/>
        <w:gridCol w:w="99"/>
      </w:tblGrid>
      <w:tr>
        <w:tblPrEx>
          <w:tblCellMar>
            <w:top w:w="0" w:type="dxa"/>
            <w:left w:w="108" w:type="dxa"/>
            <w:bottom w:w="0" w:type="dxa"/>
            <w:right w:w="108" w:type="dxa"/>
          </w:tblCellMar>
        </w:tblPrEx>
        <w:trPr>
          <w:gridAfter w:val="1"/>
          <w:wAfter w:w="99" w:type="dxa"/>
          <w:trHeight w:val="750" w:hRule="atLeast"/>
          <w:jc w:val="center"/>
        </w:trPr>
        <w:tc>
          <w:tcPr>
            <w:tcW w:w="14741" w:type="dxa"/>
            <w:gridSpan w:val="15"/>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单位预算财政拨款收支总表</w:t>
            </w:r>
          </w:p>
        </w:tc>
      </w:tr>
      <w:tr>
        <w:tblPrEx>
          <w:tblCellMar>
            <w:top w:w="0" w:type="dxa"/>
            <w:left w:w="108" w:type="dxa"/>
            <w:bottom w:w="0" w:type="dxa"/>
            <w:right w:w="108" w:type="dxa"/>
          </w:tblCellMar>
        </w:tblPrEx>
        <w:trPr>
          <w:gridAfter w:val="1"/>
          <w:wAfter w:w="99" w:type="dxa"/>
          <w:trHeight w:val="360" w:hRule="atLeast"/>
          <w:jc w:val="center"/>
        </w:trPr>
        <w:tc>
          <w:tcPr>
            <w:tcW w:w="11034" w:type="dxa"/>
            <w:gridSpan w:val="12"/>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预算单位编码及名称：[314005]宁晋县殡葬管理所</w:t>
            </w:r>
          </w:p>
        </w:tc>
        <w:tc>
          <w:tcPr>
            <w:tcW w:w="1699" w:type="dxa"/>
            <w:gridSpan w:val="2"/>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18"/>
                <w:szCs w:val="18"/>
              </w:rPr>
            </w:pPr>
            <w:r>
              <w:rPr>
                <w:rFonts w:hint="eastAsia" w:ascii="宋体" w:hAnsi="宋体" w:eastAsia="宋体" w:cs="宋体"/>
                <w:color w:val="000000"/>
                <w:kern w:val="0"/>
                <w:sz w:val="18"/>
                <w:szCs w:val="18"/>
              </w:rPr>
              <w:t>预算年度：2021</w:t>
            </w:r>
          </w:p>
        </w:tc>
        <w:tc>
          <w:tcPr>
            <w:tcW w:w="2008"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金额单位：万元</w:t>
            </w:r>
          </w:p>
        </w:tc>
      </w:tr>
      <w:tr>
        <w:tblPrEx>
          <w:tblCellMar>
            <w:top w:w="0" w:type="dxa"/>
            <w:left w:w="108" w:type="dxa"/>
            <w:bottom w:w="0" w:type="dxa"/>
            <w:right w:w="108" w:type="dxa"/>
          </w:tblCellMar>
        </w:tblPrEx>
        <w:trPr>
          <w:gridAfter w:val="1"/>
          <w:wAfter w:w="99" w:type="dxa"/>
          <w:trHeight w:val="465" w:hRule="atLeast"/>
          <w:jc w:val="center"/>
        </w:trPr>
        <w:tc>
          <w:tcPr>
            <w:tcW w:w="56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序号</w:t>
            </w:r>
          </w:p>
        </w:tc>
        <w:tc>
          <w:tcPr>
            <w:tcW w:w="4109"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收入</w:t>
            </w:r>
          </w:p>
        </w:tc>
        <w:tc>
          <w:tcPr>
            <w:tcW w:w="10072" w:type="dxa"/>
            <w:gridSpan w:val="10"/>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支出</w:t>
            </w:r>
          </w:p>
        </w:tc>
      </w:tr>
      <w:tr>
        <w:tblPrEx>
          <w:tblCellMar>
            <w:top w:w="0" w:type="dxa"/>
            <w:left w:w="108" w:type="dxa"/>
            <w:bottom w:w="0" w:type="dxa"/>
            <w:right w:w="108" w:type="dxa"/>
          </w:tblCellMar>
        </w:tblPrEx>
        <w:trPr>
          <w:gridAfter w:val="1"/>
          <w:wAfter w:w="99" w:type="dxa"/>
          <w:trHeight w:val="915" w:hRule="atLeast"/>
          <w:jc w:val="center"/>
        </w:trPr>
        <w:tc>
          <w:tcPr>
            <w:tcW w:w="5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项目</w:t>
            </w:r>
          </w:p>
        </w:tc>
        <w:tc>
          <w:tcPr>
            <w:tcW w:w="86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金额</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项目</w:t>
            </w:r>
          </w:p>
        </w:tc>
        <w:tc>
          <w:tcPr>
            <w:tcW w:w="873"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合计</w:t>
            </w:r>
          </w:p>
        </w:tc>
        <w:tc>
          <w:tcPr>
            <w:tcW w:w="101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一般公共预算财政拨款</w:t>
            </w:r>
          </w:p>
        </w:tc>
        <w:tc>
          <w:tcPr>
            <w:tcW w:w="1699"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政府性基金预算财政拨款</w:t>
            </w:r>
          </w:p>
        </w:tc>
        <w:tc>
          <w:tcPr>
            <w:tcW w:w="200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国有资本经营预算财政拨款</w:t>
            </w:r>
          </w:p>
        </w:tc>
      </w:tr>
      <w:tr>
        <w:tblPrEx>
          <w:tblCellMar>
            <w:top w:w="0" w:type="dxa"/>
            <w:left w:w="108" w:type="dxa"/>
            <w:bottom w:w="0" w:type="dxa"/>
            <w:right w:w="108" w:type="dxa"/>
          </w:tblCellMar>
        </w:tblPrEx>
        <w:trPr>
          <w:gridAfter w:val="1"/>
          <w:wAfter w:w="99" w:type="dxa"/>
          <w:trHeight w:val="36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栏次</w:t>
            </w:r>
          </w:p>
        </w:tc>
        <w:tc>
          <w:tcPr>
            <w:tcW w:w="3248" w:type="dxa"/>
            <w:gridSpan w:val="3"/>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86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4476" w:type="dxa"/>
            <w:gridSpan w:val="4"/>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101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w:t>
            </w:r>
          </w:p>
        </w:tc>
        <w:tc>
          <w:tcPr>
            <w:tcW w:w="200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一、一般公共预算拨款</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一、一般公共服务支出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二、政府性基金预算拨款</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二、外交支出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三、国有资本经营预算拨款</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三、国防支出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4</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四、公共安全支出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5</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五、教育支出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6</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六、科学技术支出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7</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七、文化旅游体育与传媒支出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8</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八、社会保障和就业支出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9</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九、社会保险基金支出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10</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十、卫生健康支出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11</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十一、节能环保支出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12</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十二、城乡社区支出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13</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十三、农林水支出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14</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十四、交通运输支出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15</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十五、资源勘探工业信息等支出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16</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十六、商业服务业等支出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17</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十七、金融支出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18</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十八、援助其他地区支出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19</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十九、自然资源海洋气象等支出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20</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二十、住房保障支出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21</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二十一、粮油物资储备支出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22</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二十二、国有资本经营预算支出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23</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二十三、灾害防治及应急管理支出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24</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二十四、预备费</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25</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二十五、其他支出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26</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二十六、转移性支出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645"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27</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二十七、灾害防治及应急管理共同财政事权转移支付支出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28</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二十八、债务还本支出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29</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二十九、债务付息支出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30</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三十、债务发行费用支出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31</w:t>
            </w:r>
          </w:p>
        </w:tc>
        <w:tc>
          <w:tcPr>
            <w:tcW w:w="3248" w:type="dxa"/>
            <w:gridSpan w:val="3"/>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61" w:type="dxa"/>
            <w:tcBorders>
              <w:top w:val="nil"/>
              <w:left w:val="nil"/>
              <w:bottom w:val="single" w:color="auto" w:sz="4" w:space="0"/>
              <w:right w:val="single" w:color="auto" w:sz="4" w:space="0"/>
            </w:tcBorders>
            <w:shd w:val="clear" w:color="auto" w:fill="auto"/>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三十一、抗疫特别国债安排的支出</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32</w:t>
            </w:r>
          </w:p>
        </w:tc>
        <w:tc>
          <w:tcPr>
            <w:tcW w:w="3248"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本年收入合计</w:t>
            </w:r>
          </w:p>
        </w:tc>
        <w:tc>
          <w:tcPr>
            <w:tcW w:w="861"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4476"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本年支出合计</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33</w:t>
            </w:r>
          </w:p>
        </w:tc>
        <w:tc>
          <w:tcPr>
            <w:tcW w:w="3248"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年初财政拨款结转和结余</w:t>
            </w:r>
          </w:p>
        </w:tc>
        <w:tc>
          <w:tcPr>
            <w:tcW w:w="861"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年末财政拨款结转和结余</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34</w:t>
            </w:r>
          </w:p>
        </w:tc>
        <w:tc>
          <w:tcPr>
            <w:tcW w:w="3248"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一、一般公共预算拨款</w:t>
            </w:r>
          </w:p>
        </w:tc>
        <w:tc>
          <w:tcPr>
            <w:tcW w:w="861"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35</w:t>
            </w:r>
          </w:p>
        </w:tc>
        <w:tc>
          <w:tcPr>
            <w:tcW w:w="3248"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二、政府性基金预算拨款</w:t>
            </w:r>
          </w:p>
        </w:tc>
        <w:tc>
          <w:tcPr>
            <w:tcW w:w="861"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36</w:t>
            </w:r>
          </w:p>
        </w:tc>
        <w:tc>
          <w:tcPr>
            <w:tcW w:w="3248"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三、国有资本经营预算拨款</w:t>
            </w:r>
          </w:p>
        </w:tc>
        <w:tc>
          <w:tcPr>
            <w:tcW w:w="861"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4476"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gridAfter w:val="1"/>
          <w:wAfter w:w="99" w:type="dxa"/>
          <w:trHeight w:val="330" w:hRule="atLeast"/>
          <w:jc w:val="center"/>
        </w:trPr>
        <w:tc>
          <w:tcPr>
            <w:tcW w:w="56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37</w:t>
            </w:r>
          </w:p>
        </w:tc>
        <w:tc>
          <w:tcPr>
            <w:tcW w:w="3248"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收入总计</w:t>
            </w:r>
          </w:p>
        </w:tc>
        <w:tc>
          <w:tcPr>
            <w:tcW w:w="861"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4476" w:type="dxa"/>
            <w:gridSpan w:val="4"/>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支出总计</w:t>
            </w:r>
          </w:p>
        </w:tc>
        <w:tc>
          <w:tcPr>
            <w:tcW w:w="873"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016"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169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008"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810" w:hRule="atLeast"/>
          <w:jc w:val="center"/>
        </w:trPr>
        <w:tc>
          <w:tcPr>
            <w:tcW w:w="14840" w:type="dxa"/>
            <w:gridSpan w:val="16"/>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单位预算一般公共预算财政拨款支出表</w:t>
            </w:r>
          </w:p>
        </w:tc>
      </w:tr>
      <w:tr>
        <w:tblPrEx>
          <w:tblCellMar>
            <w:top w:w="0" w:type="dxa"/>
            <w:left w:w="108" w:type="dxa"/>
            <w:bottom w:w="0" w:type="dxa"/>
            <w:right w:w="108" w:type="dxa"/>
          </w:tblCellMar>
        </w:tblPrEx>
        <w:trPr>
          <w:trHeight w:val="360" w:hRule="atLeast"/>
          <w:jc w:val="center"/>
        </w:trPr>
        <w:tc>
          <w:tcPr>
            <w:tcW w:w="9392" w:type="dxa"/>
            <w:gridSpan w:val="10"/>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预算单位编码及名称：[314005]宁晋县殡葬管理所</w:t>
            </w:r>
          </w:p>
        </w:tc>
        <w:tc>
          <w:tcPr>
            <w:tcW w:w="2724" w:type="dxa"/>
            <w:gridSpan w:val="3"/>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预算年度：2021</w:t>
            </w:r>
          </w:p>
        </w:tc>
        <w:tc>
          <w:tcPr>
            <w:tcW w:w="2724" w:type="dxa"/>
            <w:gridSpan w:val="3"/>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金额单位：万元</w:t>
            </w:r>
          </w:p>
        </w:tc>
      </w:tr>
      <w:tr>
        <w:tblPrEx>
          <w:tblCellMar>
            <w:top w:w="0" w:type="dxa"/>
            <w:left w:w="108" w:type="dxa"/>
            <w:bottom w:w="0" w:type="dxa"/>
            <w:right w:w="108" w:type="dxa"/>
          </w:tblCellMar>
        </w:tblPrEx>
        <w:trPr>
          <w:trHeight w:val="450" w:hRule="atLeast"/>
          <w:jc w:val="center"/>
        </w:trPr>
        <w:tc>
          <w:tcPr>
            <w:tcW w:w="815" w:type="dxa"/>
            <w:gridSpan w:val="2"/>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序号</w:t>
            </w:r>
          </w:p>
        </w:tc>
        <w:tc>
          <w:tcPr>
            <w:tcW w:w="5066"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支出功能分类科目</w:t>
            </w:r>
          </w:p>
        </w:tc>
        <w:tc>
          <w:tcPr>
            <w:tcW w:w="1117"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合计</w:t>
            </w:r>
          </w:p>
        </w:tc>
        <w:tc>
          <w:tcPr>
            <w:tcW w:w="5118" w:type="dxa"/>
            <w:gridSpan w:val="6"/>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基本支出</w:t>
            </w:r>
          </w:p>
        </w:tc>
        <w:tc>
          <w:tcPr>
            <w:tcW w:w="2724" w:type="dxa"/>
            <w:gridSpan w:val="3"/>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项目支出</w:t>
            </w:r>
          </w:p>
        </w:tc>
      </w:tr>
      <w:tr>
        <w:tblPrEx>
          <w:tblCellMar>
            <w:top w:w="0" w:type="dxa"/>
            <w:left w:w="108" w:type="dxa"/>
            <w:bottom w:w="0" w:type="dxa"/>
            <w:right w:w="108" w:type="dxa"/>
          </w:tblCellMar>
        </w:tblPrEx>
        <w:trPr>
          <w:trHeight w:val="450" w:hRule="atLeast"/>
          <w:jc w:val="center"/>
        </w:trPr>
        <w:tc>
          <w:tcPr>
            <w:tcW w:w="815"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1579"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科目编码</w:t>
            </w:r>
          </w:p>
        </w:tc>
        <w:tc>
          <w:tcPr>
            <w:tcW w:w="3487" w:type="dxa"/>
            <w:gridSpan w:val="3"/>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科目名称</w:t>
            </w:r>
          </w:p>
        </w:tc>
        <w:tc>
          <w:tcPr>
            <w:tcW w:w="11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81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小计</w:t>
            </w:r>
          </w:p>
        </w:tc>
        <w:tc>
          <w:tcPr>
            <w:tcW w:w="1579"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人员经费</w:t>
            </w:r>
          </w:p>
        </w:tc>
        <w:tc>
          <w:tcPr>
            <w:tcW w:w="2724" w:type="dxa"/>
            <w:gridSpan w:val="3"/>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公用经费</w:t>
            </w:r>
          </w:p>
        </w:tc>
        <w:tc>
          <w:tcPr>
            <w:tcW w:w="2724"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450" w:hRule="atLeast"/>
          <w:jc w:val="center"/>
        </w:trPr>
        <w:tc>
          <w:tcPr>
            <w:tcW w:w="815" w:type="dxa"/>
            <w:gridSpan w:val="2"/>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栏次</w:t>
            </w:r>
          </w:p>
        </w:tc>
        <w:tc>
          <w:tcPr>
            <w:tcW w:w="1579"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3487" w:type="dxa"/>
            <w:gridSpan w:val="3"/>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1117"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81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1579" w:type="dxa"/>
            <w:gridSpan w:val="2"/>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w:t>
            </w:r>
          </w:p>
        </w:tc>
        <w:tc>
          <w:tcPr>
            <w:tcW w:w="2724" w:type="dxa"/>
            <w:gridSpan w:val="3"/>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w:t>
            </w:r>
          </w:p>
        </w:tc>
        <w:tc>
          <w:tcPr>
            <w:tcW w:w="2724" w:type="dxa"/>
            <w:gridSpan w:val="3"/>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w:t>
            </w:r>
          </w:p>
        </w:tc>
      </w:tr>
      <w:tr>
        <w:tblPrEx>
          <w:tblCellMar>
            <w:top w:w="0" w:type="dxa"/>
            <w:left w:w="108" w:type="dxa"/>
            <w:bottom w:w="0" w:type="dxa"/>
            <w:right w:w="108" w:type="dxa"/>
          </w:tblCellMar>
        </w:tblPrEx>
        <w:trPr>
          <w:trHeight w:val="450" w:hRule="atLeast"/>
          <w:jc w:val="center"/>
        </w:trPr>
        <w:tc>
          <w:tcPr>
            <w:tcW w:w="815" w:type="dxa"/>
            <w:gridSpan w:val="2"/>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1</w:t>
            </w:r>
          </w:p>
        </w:tc>
        <w:tc>
          <w:tcPr>
            <w:tcW w:w="1579"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3487" w:type="dxa"/>
            <w:gridSpan w:val="3"/>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合计</w:t>
            </w:r>
          </w:p>
        </w:tc>
        <w:tc>
          <w:tcPr>
            <w:tcW w:w="1117"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815"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57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724"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724"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r>
      <w:tr>
        <w:tblPrEx>
          <w:tblCellMar>
            <w:top w:w="0" w:type="dxa"/>
            <w:left w:w="108" w:type="dxa"/>
            <w:bottom w:w="0" w:type="dxa"/>
            <w:right w:w="108" w:type="dxa"/>
          </w:tblCellMar>
        </w:tblPrEx>
        <w:trPr>
          <w:trHeight w:val="450" w:hRule="atLeast"/>
          <w:jc w:val="center"/>
        </w:trPr>
        <w:tc>
          <w:tcPr>
            <w:tcW w:w="815" w:type="dxa"/>
            <w:gridSpan w:val="2"/>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2</w:t>
            </w:r>
          </w:p>
        </w:tc>
        <w:tc>
          <w:tcPr>
            <w:tcW w:w="1579"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208</w:t>
            </w:r>
          </w:p>
        </w:tc>
        <w:tc>
          <w:tcPr>
            <w:tcW w:w="3487"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社会保障和就业支出</w:t>
            </w:r>
          </w:p>
        </w:tc>
        <w:tc>
          <w:tcPr>
            <w:tcW w:w="1117"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815"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57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724"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724"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r>
      <w:tr>
        <w:tblPrEx>
          <w:tblCellMar>
            <w:top w:w="0" w:type="dxa"/>
            <w:left w:w="108" w:type="dxa"/>
            <w:bottom w:w="0" w:type="dxa"/>
            <w:right w:w="108" w:type="dxa"/>
          </w:tblCellMar>
        </w:tblPrEx>
        <w:trPr>
          <w:trHeight w:val="450" w:hRule="atLeast"/>
          <w:jc w:val="center"/>
        </w:trPr>
        <w:tc>
          <w:tcPr>
            <w:tcW w:w="815" w:type="dxa"/>
            <w:gridSpan w:val="2"/>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3</w:t>
            </w:r>
          </w:p>
        </w:tc>
        <w:tc>
          <w:tcPr>
            <w:tcW w:w="1579"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20810</w:t>
            </w:r>
          </w:p>
        </w:tc>
        <w:tc>
          <w:tcPr>
            <w:tcW w:w="3487"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社会福利</w:t>
            </w:r>
          </w:p>
        </w:tc>
        <w:tc>
          <w:tcPr>
            <w:tcW w:w="1117"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815"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57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724"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724"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r>
      <w:tr>
        <w:tblPrEx>
          <w:tblCellMar>
            <w:top w:w="0" w:type="dxa"/>
            <w:left w:w="108" w:type="dxa"/>
            <w:bottom w:w="0" w:type="dxa"/>
            <w:right w:w="108" w:type="dxa"/>
          </w:tblCellMar>
        </w:tblPrEx>
        <w:trPr>
          <w:trHeight w:val="450" w:hRule="atLeast"/>
          <w:jc w:val="center"/>
        </w:trPr>
        <w:tc>
          <w:tcPr>
            <w:tcW w:w="815" w:type="dxa"/>
            <w:gridSpan w:val="2"/>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4</w:t>
            </w:r>
          </w:p>
        </w:tc>
        <w:tc>
          <w:tcPr>
            <w:tcW w:w="1579" w:type="dxa"/>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2081004</w:t>
            </w:r>
          </w:p>
        </w:tc>
        <w:tc>
          <w:tcPr>
            <w:tcW w:w="3487"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Calibri" w:hAnsi="Calibri" w:eastAsia="宋体" w:cs="宋体"/>
                <w:color w:val="000000"/>
                <w:kern w:val="0"/>
                <w:sz w:val="22"/>
              </w:rPr>
            </w:pPr>
            <w:r>
              <w:rPr>
                <w:rFonts w:ascii="Calibri" w:hAnsi="Calibri" w:eastAsia="宋体" w:cs="宋体"/>
                <w:color w:val="000000"/>
                <w:kern w:val="0"/>
                <w:sz w:val="22"/>
              </w:rPr>
              <w:t>殡葬</w:t>
            </w:r>
          </w:p>
        </w:tc>
        <w:tc>
          <w:tcPr>
            <w:tcW w:w="1117"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c>
          <w:tcPr>
            <w:tcW w:w="815" w:type="dxa"/>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1579" w:type="dxa"/>
            <w:gridSpan w:val="2"/>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724"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2724" w:type="dxa"/>
            <w:gridSpan w:val="3"/>
            <w:tcBorders>
              <w:top w:val="nil"/>
              <w:left w:val="nil"/>
              <w:bottom w:val="single" w:color="auto" w:sz="4" w:space="0"/>
              <w:right w:val="single" w:color="auto" w:sz="4" w:space="0"/>
            </w:tcBorders>
            <w:shd w:val="clear" w:color="auto" w:fill="auto"/>
            <w:noWrap/>
            <w:vAlign w:val="center"/>
          </w:tcPr>
          <w:p>
            <w:pPr>
              <w:widowControl/>
              <w:jc w:val="right"/>
              <w:rPr>
                <w:rFonts w:ascii="Calibri" w:hAnsi="Calibri" w:eastAsia="宋体" w:cs="宋体"/>
                <w:color w:val="000000"/>
                <w:kern w:val="0"/>
                <w:sz w:val="22"/>
              </w:rPr>
            </w:pPr>
            <w:r>
              <w:rPr>
                <w:rFonts w:hint="eastAsia" w:ascii="Calibri" w:hAnsi="Calibri" w:eastAsia="宋体" w:cs="宋体"/>
                <w:color w:val="000000"/>
                <w:kern w:val="0"/>
                <w:sz w:val="22"/>
              </w:rPr>
              <w:t>236.82</w:t>
            </w:r>
          </w:p>
        </w:tc>
      </w:tr>
    </w:tbl>
    <w:p/>
    <w:p/>
    <w:p/>
    <w:p/>
    <w:p/>
    <w:p/>
    <w:p/>
    <w:p/>
    <w:p/>
    <w:p/>
    <w:p/>
    <w:p/>
    <w:tbl>
      <w:tblPr>
        <w:tblStyle w:val="8"/>
        <w:tblW w:w="14160" w:type="dxa"/>
        <w:jc w:val="center"/>
        <w:tblLayout w:type="fixed"/>
        <w:tblCellMar>
          <w:top w:w="0" w:type="dxa"/>
          <w:left w:w="108" w:type="dxa"/>
          <w:bottom w:w="0" w:type="dxa"/>
          <w:right w:w="108" w:type="dxa"/>
        </w:tblCellMar>
      </w:tblPr>
      <w:tblGrid>
        <w:gridCol w:w="1128"/>
        <w:gridCol w:w="2184"/>
        <w:gridCol w:w="2184"/>
        <w:gridCol w:w="1128"/>
        <w:gridCol w:w="3768"/>
        <w:gridCol w:w="3768"/>
      </w:tblGrid>
      <w:tr>
        <w:tblPrEx>
          <w:tblCellMar>
            <w:top w:w="0" w:type="dxa"/>
            <w:left w:w="108" w:type="dxa"/>
            <w:bottom w:w="0" w:type="dxa"/>
            <w:right w:w="108" w:type="dxa"/>
          </w:tblCellMar>
        </w:tblPrEx>
        <w:trPr>
          <w:trHeight w:val="660" w:hRule="atLeast"/>
          <w:jc w:val="center"/>
        </w:trPr>
        <w:tc>
          <w:tcPr>
            <w:tcW w:w="14160" w:type="dxa"/>
            <w:gridSpan w:val="6"/>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单位预算一般公共预算财政拨款基本支出表</w:t>
            </w:r>
          </w:p>
        </w:tc>
      </w:tr>
      <w:tr>
        <w:tblPrEx>
          <w:tblCellMar>
            <w:top w:w="0" w:type="dxa"/>
            <w:left w:w="108" w:type="dxa"/>
            <w:bottom w:w="0" w:type="dxa"/>
            <w:right w:w="108" w:type="dxa"/>
          </w:tblCellMar>
        </w:tblPrEx>
        <w:trPr>
          <w:trHeight w:val="360" w:hRule="atLeast"/>
          <w:jc w:val="center"/>
        </w:trPr>
        <w:tc>
          <w:tcPr>
            <w:tcW w:w="6624" w:type="dxa"/>
            <w:gridSpan w:val="4"/>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预算单位编码及名称：[314005]宁晋县殡葬管理所</w:t>
            </w:r>
          </w:p>
        </w:tc>
        <w:tc>
          <w:tcPr>
            <w:tcW w:w="3768"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预算年度：2021</w:t>
            </w:r>
          </w:p>
        </w:tc>
        <w:tc>
          <w:tcPr>
            <w:tcW w:w="3768"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金额单位：万元</w:t>
            </w:r>
          </w:p>
        </w:tc>
      </w:tr>
      <w:tr>
        <w:tblPrEx>
          <w:tblCellMar>
            <w:top w:w="0" w:type="dxa"/>
            <w:left w:w="108" w:type="dxa"/>
            <w:bottom w:w="0" w:type="dxa"/>
            <w:right w:w="108" w:type="dxa"/>
          </w:tblCellMar>
        </w:tblPrEx>
        <w:trPr>
          <w:trHeight w:val="360" w:hRule="atLeast"/>
          <w:jc w:val="center"/>
        </w:trPr>
        <w:tc>
          <w:tcPr>
            <w:tcW w:w="1128"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序号</w:t>
            </w:r>
          </w:p>
        </w:tc>
        <w:tc>
          <w:tcPr>
            <w:tcW w:w="4368"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支出部门经济分类科目</w:t>
            </w:r>
          </w:p>
        </w:tc>
        <w:tc>
          <w:tcPr>
            <w:tcW w:w="8664"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一般公共预算基本支出</w:t>
            </w:r>
          </w:p>
        </w:tc>
      </w:tr>
      <w:tr>
        <w:tblPrEx>
          <w:tblCellMar>
            <w:top w:w="0" w:type="dxa"/>
            <w:left w:w="108" w:type="dxa"/>
            <w:bottom w:w="0" w:type="dxa"/>
            <w:right w:w="108" w:type="dxa"/>
          </w:tblCellMar>
        </w:tblPrEx>
        <w:trPr>
          <w:trHeight w:val="360" w:hRule="atLeast"/>
          <w:jc w:val="center"/>
        </w:trPr>
        <w:tc>
          <w:tcPr>
            <w:tcW w:w="112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18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科目编码</w:t>
            </w:r>
          </w:p>
        </w:tc>
        <w:tc>
          <w:tcPr>
            <w:tcW w:w="218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科目名称</w:t>
            </w:r>
          </w:p>
        </w:tc>
        <w:tc>
          <w:tcPr>
            <w:tcW w:w="112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合计</w:t>
            </w:r>
          </w:p>
        </w:tc>
        <w:tc>
          <w:tcPr>
            <w:tcW w:w="376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人员经费</w:t>
            </w:r>
          </w:p>
        </w:tc>
        <w:tc>
          <w:tcPr>
            <w:tcW w:w="376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公用经费</w:t>
            </w:r>
          </w:p>
        </w:tc>
      </w:tr>
      <w:tr>
        <w:tblPrEx>
          <w:tblCellMar>
            <w:top w:w="0" w:type="dxa"/>
            <w:left w:w="108" w:type="dxa"/>
            <w:bottom w:w="0" w:type="dxa"/>
            <w:right w:w="108" w:type="dxa"/>
          </w:tblCellMar>
        </w:tblPrEx>
        <w:trPr>
          <w:trHeight w:val="360" w:hRule="atLeast"/>
          <w:jc w:val="center"/>
        </w:trPr>
        <w:tc>
          <w:tcPr>
            <w:tcW w:w="1128"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栏次</w:t>
            </w:r>
          </w:p>
        </w:tc>
        <w:tc>
          <w:tcPr>
            <w:tcW w:w="218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2184"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112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376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376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w:t>
            </w:r>
          </w:p>
        </w:tc>
      </w:tr>
      <w:tr>
        <w:tblPrEx>
          <w:tblCellMar>
            <w:top w:w="0" w:type="dxa"/>
            <w:left w:w="108" w:type="dxa"/>
            <w:bottom w:w="0" w:type="dxa"/>
            <w:right w:w="108" w:type="dxa"/>
          </w:tblCellMar>
        </w:tblPrEx>
        <w:trPr>
          <w:trHeight w:val="300" w:hRule="atLeast"/>
          <w:jc w:val="center"/>
        </w:trPr>
        <w:tc>
          <w:tcPr>
            <w:tcW w:w="1128"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　</w:t>
            </w:r>
          </w:p>
        </w:tc>
        <w:tc>
          <w:tcPr>
            <w:tcW w:w="2184"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2184"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128"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3768"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3768"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00" w:hRule="atLeast"/>
          <w:jc w:val="center"/>
        </w:trPr>
        <w:tc>
          <w:tcPr>
            <w:tcW w:w="1128" w:type="dxa"/>
            <w:tcBorders>
              <w:top w:val="nil"/>
              <w:left w:val="single" w:color="auto" w:sz="4" w:space="0"/>
              <w:bottom w:val="single" w:color="auto" w:sz="4" w:space="0"/>
              <w:right w:val="single" w:color="auto" w:sz="4" w:space="0"/>
            </w:tcBorders>
            <w:shd w:val="clear" w:color="auto" w:fill="auto"/>
            <w:noWrap/>
          </w:tcPr>
          <w:p>
            <w:pPr>
              <w:widowControl/>
              <w:jc w:val="center"/>
              <w:rPr>
                <w:rFonts w:ascii="Calibri" w:hAnsi="Calibri" w:eastAsia="宋体" w:cs="宋体"/>
                <w:color w:val="000000"/>
                <w:kern w:val="0"/>
                <w:sz w:val="22"/>
              </w:rPr>
            </w:pPr>
            <w:r>
              <w:rPr>
                <w:rFonts w:ascii="Calibri" w:hAnsi="Calibri" w:eastAsia="宋体" w:cs="宋体"/>
                <w:color w:val="000000"/>
                <w:kern w:val="0"/>
                <w:sz w:val="22"/>
              </w:rPr>
              <w:t>　</w:t>
            </w:r>
          </w:p>
        </w:tc>
        <w:tc>
          <w:tcPr>
            <w:tcW w:w="2184"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2184" w:type="dxa"/>
            <w:tcBorders>
              <w:top w:val="nil"/>
              <w:left w:val="nil"/>
              <w:bottom w:val="single" w:color="auto" w:sz="4" w:space="0"/>
              <w:right w:val="single" w:color="auto" w:sz="4" w:space="0"/>
            </w:tcBorders>
            <w:shd w:val="clear" w:color="auto" w:fill="auto"/>
            <w:noWrap/>
          </w:tcPr>
          <w:p>
            <w:pPr>
              <w:widowControl/>
              <w:jc w:val="left"/>
              <w:rPr>
                <w:rFonts w:ascii="Calibri" w:hAnsi="Calibri" w:eastAsia="宋体" w:cs="宋体"/>
                <w:color w:val="000000"/>
                <w:kern w:val="0"/>
                <w:sz w:val="22"/>
              </w:rPr>
            </w:pPr>
            <w:r>
              <w:rPr>
                <w:rFonts w:ascii="Calibri" w:hAnsi="Calibri" w:eastAsia="宋体" w:cs="宋体"/>
                <w:color w:val="000000"/>
                <w:kern w:val="0"/>
                <w:sz w:val="22"/>
              </w:rPr>
              <w:t>　</w:t>
            </w:r>
          </w:p>
        </w:tc>
        <w:tc>
          <w:tcPr>
            <w:tcW w:w="1128"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3768"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c>
          <w:tcPr>
            <w:tcW w:w="3768" w:type="dxa"/>
            <w:tcBorders>
              <w:top w:val="nil"/>
              <w:left w:val="nil"/>
              <w:bottom w:val="single" w:color="auto" w:sz="4" w:space="0"/>
              <w:right w:val="single" w:color="auto" w:sz="4" w:space="0"/>
            </w:tcBorders>
            <w:shd w:val="clear" w:color="auto" w:fill="auto"/>
            <w:noWrap/>
          </w:tcPr>
          <w:p>
            <w:pPr>
              <w:widowControl/>
              <w:jc w:val="right"/>
              <w:rPr>
                <w:rFonts w:ascii="Calibri" w:hAnsi="Calibri" w:eastAsia="宋体" w:cs="宋体"/>
                <w:color w:val="000000"/>
                <w:kern w:val="0"/>
                <w:sz w:val="22"/>
              </w:rPr>
            </w:pPr>
            <w:r>
              <w:rPr>
                <w:rFonts w:ascii="Calibri" w:hAnsi="Calibri" w:eastAsia="宋体" w:cs="宋体"/>
                <w:color w:val="000000"/>
                <w:kern w:val="0"/>
                <w:sz w:val="22"/>
              </w:rPr>
              <w:t>　</w:t>
            </w:r>
          </w:p>
        </w:tc>
      </w:tr>
      <w:tr>
        <w:tblPrEx>
          <w:tblCellMar>
            <w:top w:w="0" w:type="dxa"/>
            <w:left w:w="108" w:type="dxa"/>
            <w:bottom w:w="0" w:type="dxa"/>
            <w:right w:w="108" w:type="dxa"/>
          </w:tblCellMar>
        </w:tblPrEx>
        <w:trPr>
          <w:trHeight w:val="300" w:hRule="atLeast"/>
          <w:jc w:val="center"/>
        </w:trPr>
        <w:tc>
          <w:tcPr>
            <w:tcW w:w="14160" w:type="dxa"/>
            <w:gridSpan w:val="6"/>
            <w:tcBorders>
              <w:top w:val="single" w:color="auto" w:sz="4" w:space="0"/>
              <w:left w:val="nil"/>
              <w:bottom w:val="nil"/>
              <w:right w:val="nil"/>
            </w:tcBorders>
            <w:shd w:val="clear" w:color="auto" w:fill="auto"/>
            <w:noWrap/>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注：本单位无基本支出，空表列示。</w:t>
            </w:r>
          </w:p>
        </w:tc>
      </w:tr>
    </w:tbl>
    <w:p/>
    <w:p/>
    <w:p/>
    <w:p/>
    <w:p/>
    <w:p/>
    <w:p/>
    <w:p/>
    <w:p/>
    <w:p/>
    <w:p/>
    <w:p/>
    <w:p/>
    <w:p/>
    <w:p/>
    <w:p/>
    <w:tbl>
      <w:tblPr>
        <w:tblStyle w:val="8"/>
        <w:tblW w:w="14200" w:type="dxa"/>
        <w:jc w:val="center"/>
        <w:tblLayout w:type="fixed"/>
        <w:tblCellMar>
          <w:top w:w="0" w:type="dxa"/>
          <w:left w:w="108" w:type="dxa"/>
          <w:bottom w:w="0" w:type="dxa"/>
          <w:right w:w="108" w:type="dxa"/>
        </w:tblCellMar>
      </w:tblPr>
      <w:tblGrid>
        <w:gridCol w:w="1131"/>
        <w:gridCol w:w="2190"/>
        <w:gridCol w:w="2190"/>
        <w:gridCol w:w="1131"/>
        <w:gridCol w:w="3779"/>
        <w:gridCol w:w="3779"/>
      </w:tblGrid>
      <w:tr>
        <w:tblPrEx>
          <w:tblCellMar>
            <w:top w:w="0" w:type="dxa"/>
            <w:left w:w="108" w:type="dxa"/>
            <w:bottom w:w="0" w:type="dxa"/>
            <w:right w:w="108" w:type="dxa"/>
          </w:tblCellMar>
        </w:tblPrEx>
        <w:trPr>
          <w:trHeight w:val="720" w:hRule="atLeast"/>
          <w:jc w:val="center"/>
        </w:trPr>
        <w:tc>
          <w:tcPr>
            <w:tcW w:w="14200" w:type="dxa"/>
            <w:gridSpan w:val="6"/>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单位预算政府基金预算财政拨款支出表</w:t>
            </w:r>
          </w:p>
        </w:tc>
      </w:tr>
      <w:tr>
        <w:tblPrEx>
          <w:tblCellMar>
            <w:top w:w="0" w:type="dxa"/>
            <w:left w:w="108" w:type="dxa"/>
            <w:bottom w:w="0" w:type="dxa"/>
            <w:right w:w="108" w:type="dxa"/>
          </w:tblCellMar>
        </w:tblPrEx>
        <w:trPr>
          <w:trHeight w:val="360" w:hRule="atLeast"/>
          <w:jc w:val="center"/>
        </w:trPr>
        <w:tc>
          <w:tcPr>
            <w:tcW w:w="6642" w:type="dxa"/>
            <w:gridSpan w:val="4"/>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预算单位编码及名称：[314005]宁晋县殡葬管理所</w:t>
            </w:r>
          </w:p>
        </w:tc>
        <w:tc>
          <w:tcPr>
            <w:tcW w:w="3779"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4"/>
                <w:szCs w:val="24"/>
              </w:rPr>
            </w:pPr>
            <w:r>
              <w:rPr>
                <w:rFonts w:hint="eastAsia" w:ascii="宋体" w:hAnsi="宋体" w:eastAsia="宋体" w:cs="宋体"/>
                <w:color w:val="000000"/>
                <w:kern w:val="0"/>
                <w:sz w:val="22"/>
              </w:rPr>
              <w:t>预算年度：2021</w:t>
            </w:r>
          </w:p>
        </w:tc>
        <w:tc>
          <w:tcPr>
            <w:tcW w:w="3779"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金额单位：万元</w:t>
            </w:r>
          </w:p>
        </w:tc>
      </w:tr>
      <w:tr>
        <w:tblPrEx>
          <w:tblCellMar>
            <w:top w:w="0" w:type="dxa"/>
            <w:left w:w="108" w:type="dxa"/>
            <w:bottom w:w="0" w:type="dxa"/>
            <w:right w:w="108" w:type="dxa"/>
          </w:tblCellMar>
        </w:tblPrEx>
        <w:trPr>
          <w:trHeight w:val="360" w:hRule="atLeast"/>
          <w:jc w:val="center"/>
        </w:trPr>
        <w:tc>
          <w:tcPr>
            <w:tcW w:w="1131"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序号</w:t>
            </w:r>
          </w:p>
        </w:tc>
        <w:tc>
          <w:tcPr>
            <w:tcW w:w="438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支出功能分类科目</w:t>
            </w:r>
          </w:p>
        </w:tc>
        <w:tc>
          <w:tcPr>
            <w:tcW w:w="1131"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合计</w:t>
            </w:r>
          </w:p>
        </w:tc>
        <w:tc>
          <w:tcPr>
            <w:tcW w:w="3779"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基本支出</w:t>
            </w:r>
          </w:p>
        </w:tc>
        <w:tc>
          <w:tcPr>
            <w:tcW w:w="3779"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项目支出</w:t>
            </w:r>
          </w:p>
        </w:tc>
      </w:tr>
      <w:tr>
        <w:tblPrEx>
          <w:tblCellMar>
            <w:top w:w="0" w:type="dxa"/>
            <w:left w:w="108" w:type="dxa"/>
            <w:bottom w:w="0" w:type="dxa"/>
            <w:right w:w="108" w:type="dxa"/>
          </w:tblCellMar>
        </w:tblPrEx>
        <w:trPr>
          <w:trHeight w:val="360" w:hRule="atLeast"/>
          <w:jc w:val="center"/>
        </w:trPr>
        <w:tc>
          <w:tcPr>
            <w:tcW w:w="113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19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科目编码</w:t>
            </w:r>
          </w:p>
        </w:tc>
        <w:tc>
          <w:tcPr>
            <w:tcW w:w="219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科目名称</w:t>
            </w:r>
          </w:p>
        </w:tc>
        <w:tc>
          <w:tcPr>
            <w:tcW w:w="113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377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377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360" w:hRule="atLeast"/>
          <w:jc w:val="center"/>
        </w:trPr>
        <w:tc>
          <w:tcPr>
            <w:tcW w:w="113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栏次</w:t>
            </w:r>
          </w:p>
        </w:tc>
        <w:tc>
          <w:tcPr>
            <w:tcW w:w="219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219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113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3779"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3779"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w:t>
            </w:r>
          </w:p>
        </w:tc>
      </w:tr>
      <w:tr>
        <w:tblPrEx>
          <w:tblCellMar>
            <w:top w:w="0" w:type="dxa"/>
            <w:left w:w="108" w:type="dxa"/>
            <w:bottom w:w="0" w:type="dxa"/>
            <w:right w:w="108" w:type="dxa"/>
          </w:tblCellMar>
        </w:tblPrEx>
        <w:trPr>
          <w:trHeight w:val="300" w:hRule="atLeast"/>
          <w:jc w:val="center"/>
        </w:trPr>
        <w:tc>
          <w:tcPr>
            <w:tcW w:w="14200" w:type="dxa"/>
            <w:gridSpan w:val="6"/>
            <w:tcBorders>
              <w:top w:val="single" w:color="auto" w:sz="4" w:space="0"/>
              <w:left w:val="nil"/>
              <w:bottom w:val="nil"/>
              <w:right w:val="nil"/>
            </w:tcBorders>
            <w:shd w:val="clear" w:color="auto" w:fill="auto"/>
            <w:noWrap/>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注：本单位无政府基金预算，空表列示。</w:t>
            </w:r>
          </w:p>
        </w:tc>
      </w:tr>
    </w:tbl>
    <w:p/>
    <w:p/>
    <w:p/>
    <w:p/>
    <w:p/>
    <w:p/>
    <w:p/>
    <w:p/>
    <w:p/>
    <w:p/>
    <w:p/>
    <w:p/>
    <w:p/>
    <w:p/>
    <w:p/>
    <w:p/>
    <w:tbl>
      <w:tblPr>
        <w:tblStyle w:val="8"/>
        <w:tblW w:w="14100" w:type="dxa"/>
        <w:jc w:val="center"/>
        <w:tblLayout w:type="fixed"/>
        <w:tblCellMar>
          <w:top w:w="0" w:type="dxa"/>
          <w:left w:w="108" w:type="dxa"/>
          <w:bottom w:w="0" w:type="dxa"/>
          <w:right w:w="108" w:type="dxa"/>
        </w:tblCellMar>
      </w:tblPr>
      <w:tblGrid>
        <w:gridCol w:w="1123"/>
        <w:gridCol w:w="2175"/>
        <w:gridCol w:w="2175"/>
        <w:gridCol w:w="1123"/>
        <w:gridCol w:w="3752"/>
        <w:gridCol w:w="3752"/>
      </w:tblGrid>
      <w:tr>
        <w:tblPrEx>
          <w:tblCellMar>
            <w:top w:w="0" w:type="dxa"/>
            <w:left w:w="108" w:type="dxa"/>
            <w:bottom w:w="0" w:type="dxa"/>
            <w:right w:w="108" w:type="dxa"/>
          </w:tblCellMar>
        </w:tblPrEx>
        <w:trPr>
          <w:trHeight w:val="705" w:hRule="atLeast"/>
          <w:jc w:val="center"/>
        </w:trPr>
        <w:tc>
          <w:tcPr>
            <w:tcW w:w="14100" w:type="dxa"/>
            <w:gridSpan w:val="6"/>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单位预算国有资本经营预算财政拨款支出表</w:t>
            </w:r>
          </w:p>
        </w:tc>
      </w:tr>
      <w:tr>
        <w:tblPrEx>
          <w:tblCellMar>
            <w:top w:w="0" w:type="dxa"/>
            <w:left w:w="108" w:type="dxa"/>
            <w:bottom w:w="0" w:type="dxa"/>
            <w:right w:w="108" w:type="dxa"/>
          </w:tblCellMar>
        </w:tblPrEx>
        <w:trPr>
          <w:trHeight w:val="360" w:hRule="atLeast"/>
          <w:jc w:val="center"/>
        </w:trPr>
        <w:tc>
          <w:tcPr>
            <w:tcW w:w="6596" w:type="dxa"/>
            <w:gridSpan w:val="4"/>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预算单位编码及名称：[314005]宁晋县殡葬管理所</w:t>
            </w:r>
          </w:p>
        </w:tc>
        <w:tc>
          <w:tcPr>
            <w:tcW w:w="3752"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预算年度：2021</w:t>
            </w:r>
          </w:p>
        </w:tc>
        <w:tc>
          <w:tcPr>
            <w:tcW w:w="3752"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金额单位：万元</w:t>
            </w:r>
          </w:p>
        </w:tc>
      </w:tr>
      <w:tr>
        <w:tblPrEx>
          <w:tblCellMar>
            <w:top w:w="0" w:type="dxa"/>
            <w:left w:w="108" w:type="dxa"/>
            <w:bottom w:w="0" w:type="dxa"/>
            <w:right w:w="108" w:type="dxa"/>
          </w:tblCellMar>
        </w:tblPrEx>
        <w:trPr>
          <w:trHeight w:val="360" w:hRule="atLeast"/>
          <w:jc w:val="center"/>
        </w:trPr>
        <w:tc>
          <w:tcPr>
            <w:tcW w:w="1123"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序号</w:t>
            </w:r>
          </w:p>
        </w:tc>
        <w:tc>
          <w:tcPr>
            <w:tcW w:w="435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支出功能分类科目</w:t>
            </w:r>
          </w:p>
        </w:tc>
        <w:tc>
          <w:tcPr>
            <w:tcW w:w="1123"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合计</w:t>
            </w:r>
          </w:p>
        </w:tc>
        <w:tc>
          <w:tcPr>
            <w:tcW w:w="3752"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基本支出</w:t>
            </w:r>
          </w:p>
        </w:tc>
        <w:tc>
          <w:tcPr>
            <w:tcW w:w="3752"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项目支出</w:t>
            </w:r>
          </w:p>
        </w:tc>
      </w:tr>
      <w:tr>
        <w:tblPrEx>
          <w:tblCellMar>
            <w:top w:w="0" w:type="dxa"/>
            <w:left w:w="108" w:type="dxa"/>
            <w:bottom w:w="0" w:type="dxa"/>
            <w:right w:w="108" w:type="dxa"/>
          </w:tblCellMar>
        </w:tblPrEx>
        <w:trPr>
          <w:trHeight w:val="360" w:hRule="atLeast"/>
          <w:jc w:val="center"/>
        </w:trPr>
        <w:tc>
          <w:tcPr>
            <w:tcW w:w="112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217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科目编码</w:t>
            </w:r>
          </w:p>
        </w:tc>
        <w:tc>
          <w:tcPr>
            <w:tcW w:w="217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科目名称</w:t>
            </w:r>
          </w:p>
        </w:tc>
        <w:tc>
          <w:tcPr>
            <w:tcW w:w="112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375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375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360" w:hRule="atLeast"/>
          <w:jc w:val="center"/>
        </w:trPr>
        <w:tc>
          <w:tcPr>
            <w:tcW w:w="112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栏次</w:t>
            </w:r>
          </w:p>
        </w:tc>
        <w:tc>
          <w:tcPr>
            <w:tcW w:w="217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217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1123"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375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375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w:t>
            </w:r>
          </w:p>
        </w:tc>
      </w:tr>
      <w:tr>
        <w:tblPrEx>
          <w:tblCellMar>
            <w:top w:w="0" w:type="dxa"/>
            <w:left w:w="108" w:type="dxa"/>
            <w:bottom w:w="0" w:type="dxa"/>
            <w:right w:w="108" w:type="dxa"/>
          </w:tblCellMar>
        </w:tblPrEx>
        <w:trPr>
          <w:trHeight w:val="300" w:hRule="atLeast"/>
          <w:jc w:val="center"/>
        </w:trPr>
        <w:tc>
          <w:tcPr>
            <w:tcW w:w="14100" w:type="dxa"/>
            <w:gridSpan w:val="6"/>
            <w:tcBorders>
              <w:top w:val="single" w:color="auto" w:sz="4" w:space="0"/>
              <w:left w:val="nil"/>
              <w:bottom w:val="nil"/>
              <w:right w:val="nil"/>
            </w:tcBorders>
            <w:shd w:val="clear" w:color="auto" w:fill="auto"/>
            <w:noWrap/>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注：本单位无国有资本经营预算，空表列示。</w:t>
            </w:r>
          </w:p>
        </w:tc>
      </w:tr>
    </w:tbl>
    <w:p/>
    <w:p/>
    <w:p/>
    <w:p/>
    <w:p/>
    <w:p/>
    <w:p/>
    <w:p/>
    <w:p/>
    <w:p/>
    <w:p/>
    <w:p/>
    <w:p/>
    <w:p/>
    <w:p/>
    <w:p/>
    <w:tbl>
      <w:tblPr>
        <w:tblStyle w:val="8"/>
        <w:tblW w:w="14840" w:type="dxa"/>
        <w:jc w:val="center"/>
        <w:tblLayout w:type="fixed"/>
        <w:tblCellMar>
          <w:top w:w="0" w:type="dxa"/>
          <w:left w:w="108" w:type="dxa"/>
          <w:bottom w:w="0" w:type="dxa"/>
          <w:right w:w="108" w:type="dxa"/>
        </w:tblCellMar>
      </w:tblPr>
      <w:tblGrid>
        <w:gridCol w:w="839"/>
        <w:gridCol w:w="838"/>
        <w:gridCol w:w="838"/>
        <w:gridCol w:w="3978"/>
        <w:gridCol w:w="3585"/>
        <w:gridCol w:w="4762"/>
      </w:tblGrid>
      <w:tr>
        <w:tblPrEx>
          <w:tblCellMar>
            <w:top w:w="0" w:type="dxa"/>
            <w:left w:w="108" w:type="dxa"/>
            <w:bottom w:w="0" w:type="dxa"/>
            <w:right w:w="108" w:type="dxa"/>
          </w:tblCellMar>
        </w:tblPrEx>
        <w:trPr>
          <w:trHeight w:val="795" w:hRule="atLeast"/>
          <w:jc w:val="center"/>
        </w:trPr>
        <w:tc>
          <w:tcPr>
            <w:tcW w:w="14840" w:type="dxa"/>
            <w:gridSpan w:val="6"/>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p>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单位预算财政拨款“三公”经费支出表</w:t>
            </w:r>
          </w:p>
        </w:tc>
      </w:tr>
      <w:tr>
        <w:tblPrEx>
          <w:tblCellMar>
            <w:top w:w="0" w:type="dxa"/>
            <w:left w:w="108" w:type="dxa"/>
            <w:bottom w:w="0" w:type="dxa"/>
            <w:right w:w="108" w:type="dxa"/>
          </w:tblCellMar>
        </w:tblPrEx>
        <w:trPr>
          <w:trHeight w:val="405" w:hRule="atLeast"/>
          <w:jc w:val="center"/>
        </w:trPr>
        <w:tc>
          <w:tcPr>
            <w:tcW w:w="6493" w:type="dxa"/>
            <w:gridSpan w:val="4"/>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预算单位编码及名称：[314005]宁晋县殡葬管理所</w:t>
            </w:r>
          </w:p>
        </w:tc>
        <w:tc>
          <w:tcPr>
            <w:tcW w:w="3585"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预算年度：2021</w:t>
            </w:r>
          </w:p>
        </w:tc>
        <w:tc>
          <w:tcPr>
            <w:tcW w:w="4762" w:type="dxa"/>
            <w:tcBorders>
              <w:top w:val="nil"/>
              <w:left w:val="nil"/>
              <w:bottom w:val="nil"/>
              <w:right w:val="nil"/>
            </w:tcBorders>
            <w:shd w:val="clear" w:color="auto" w:fill="auto"/>
            <w:noWrap/>
            <w:vAlign w:val="center"/>
          </w:tcPr>
          <w:p>
            <w:pPr>
              <w:widowControl/>
              <w:jc w:val="right"/>
              <w:rPr>
                <w:rFonts w:ascii="宋体" w:hAnsi="宋体" w:eastAsia="宋体" w:cs="宋体"/>
                <w:color w:val="000000"/>
                <w:kern w:val="0"/>
                <w:sz w:val="22"/>
              </w:rPr>
            </w:pPr>
            <w:r>
              <w:rPr>
                <w:rFonts w:hint="eastAsia" w:ascii="宋体" w:hAnsi="宋体" w:eastAsia="宋体" w:cs="宋体"/>
                <w:color w:val="000000"/>
                <w:kern w:val="0"/>
                <w:sz w:val="22"/>
              </w:rPr>
              <w:t>金额单位：万元</w:t>
            </w:r>
          </w:p>
        </w:tc>
      </w:tr>
      <w:tr>
        <w:tblPrEx>
          <w:tblCellMar>
            <w:top w:w="0" w:type="dxa"/>
            <w:left w:w="108" w:type="dxa"/>
            <w:bottom w:w="0" w:type="dxa"/>
            <w:right w:w="108" w:type="dxa"/>
          </w:tblCellMar>
        </w:tblPrEx>
        <w:trPr>
          <w:trHeight w:val="405" w:hRule="atLeast"/>
          <w:jc w:val="center"/>
        </w:trPr>
        <w:tc>
          <w:tcPr>
            <w:tcW w:w="839"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序号</w:t>
            </w:r>
          </w:p>
        </w:tc>
        <w:tc>
          <w:tcPr>
            <w:tcW w:w="838"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项目</w:t>
            </w:r>
          </w:p>
        </w:tc>
        <w:tc>
          <w:tcPr>
            <w:tcW w:w="13163" w:type="dxa"/>
            <w:gridSpan w:val="4"/>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资金性质</w:t>
            </w:r>
          </w:p>
        </w:tc>
      </w:tr>
      <w:tr>
        <w:tblPrEx>
          <w:tblCellMar>
            <w:top w:w="0" w:type="dxa"/>
            <w:left w:w="108" w:type="dxa"/>
            <w:bottom w:w="0" w:type="dxa"/>
            <w:right w:w="108" w:type="dxa"/>
          </w:tblCellMar>
        </w:tblPrEx>
        <w:trPr>
          <w:trHeight w:val="405" w:hRule="atLeast"/>
          <w:jc w:val="center"/>
        </w:trPr>
        <w:tc>
          <w:tcPr>
            <w:tcW w:w="83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83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color w:val="000000"/>
                <w:kern w:val="0"/>
                <w:sz w:val="22"/>
              </w:rPr>
            </w:pPr>
          </w:p>
        </w:tc>
        <w:tc>
          <w:tcPr>
            <w:tcW w:w="83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合计</w:t>
            </w:r>
          </w:p>
        </w:tc>
        <w:tc>
          <w:tcPr>
            <w:tcW w:w="397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一般公共预算财政拨款</w:t>
            </w:r>
          </w:p>
        </w:tc>
        <w:tc>
          <w:tcPr>
            <w:tcW w:w="358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政府性基金财政拨款</w:t>
            </w:r>
          </w:p>
        </w:tc>
        <w:tc>
          <w:tcPr>
            <w:tcW w:w="476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国有资本经营预算财政拨款</w:t>
            </w:r>
          </w:p>
        </w:tc>
      </w:tr>
      <w:tr>
        <w:tblPrEx>
          <w:tblCellMar>
            <w:top w:w="0" w:type="dxa"/>
            <w:left w:w="108" w:type="dxa"/>
            <w:bottom w:w="0" w:type="dxa"/>
            <w:right w:w="108" w:type="dxa"/>
          </w:tblCellMar>
        </w:tblPrEx>
        <w:trPr>
          <w:trHeight w:val="405" w:hRule="atLeast"/>
          <w:jc w:val="center"/>
        </w:trPr>
        <w:tc>
          <w:tcPr>
            <w:tcW w:w="839"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栏次</w:t>
            </w:r>
          </w:p>
        </w:tc>
        <w:tc>
          <w:tcPr>
            <w:tcW w:w="83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83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3978"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358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476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w:t>
            </w:r>
          </w:p>
        </w:tc>
      </w:tr>
      <w:tr>
        <w:tblPrEx>
          <w:tblCellMar>
            <w:top w:w="0" w:type="dxa"/>
            <w:left w:w="108" w:type="dxa"/>
            <w:bottom w:w="0" w:type="dxa"/>
            <w:right w:w="108" w:type="dxa"/>
          </w:tblCellMar>
        </w:tblPrEx>
        <w:trPr>
          <w:trHeight w:val="300" w:hRule="atLeast"/>
          <w:jc w:val="center"/>
        </w:trPr>
        <w:tc>
          <w:tcPr>
            <w:tcW w:w="14840" w:type="dxa"/>
            <w:gridSpan w:val="6"/>
            <w:tcBorders>
              <w:top w:val="single" w:color="auto" w:sz="4" w:space="0"/>
              <w:left w:val="nil"/>
              <w:bottom w:val="nil"/>
              <w:right w:val="nil"/>
            </w:tcBorders>
            <w:shd w:val="clear" w:color="auto" w:fill="auto"/>
            <w:noWrap/>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注：本单位无“三公”经费预算，空表列示。</w:t>
            </w:r>
          </w:p>
        </w:tc>
      </w:tr>
    </w:tbl>
    <w:p/>
    <w:p/>
    <w:p/>
    <w:p/>
    <w:p/>
    <w:p/>
    <w:p/>
    <w:p/>
    <w:p/>
    <w:p/>
    <w:p/>
    <w:p/>
    <w:p/>
    <w:p/>
    <w:p/>
    <w:p/>
    <w:p/>
    <w:p>
      <w:pPr>
        <w:spacing w:line="560" w:lineRule="exact"/>
        <w:jc w:val="center"/>
        <w:rPr>
          <w:rFonts w:ascii="黑体" w:hAnsi="宋体" w:eastAsia="黑体"/>
          <w:b/>
          <w:sz w:val="44"/>
          <w:szCs w:val="44"/>
        </w:rPr>
      </w:pPr>
    </w:p>
    <w:p>
      <w:pPr>
        <w:spacing w:line="560" w:lineRule="exact"/>
        <w:jc w:val="center"/>
        <w:rPr>
          <w:rFonts w:ascii="黑体" w:hAnsi="宋体" w:eastAsia="黑体"/>
          <w:b/>
          <w:sz w:val="44"/>
          <w:szCs w:val="44"/>
        </w:rPr>
      </w:pPr>
    </w:p>
    <w:p>
      <w:pPr>
        <w:spacing w:line="560" w:lineRule="exact"/>
        <w:jc w:val="center"/>
        <w:rPr>
          <w:rFonts w:ascii="黑体" w:hAnsi="宋体" w:eastAsia="黑体"/>
          <w:b/>
          <w:sz w:val="44"/>
          <w:szCs w:val="44"/>
        </w:rPr>
      </w:pPr>
    </w:p>
    <w:p>
      <w:pPr>
        <w:spacing w:line="560" w:lineRule="exact"/>
        <w:jc w:val="center"/>
        <w:rPr>
          <w:rFonts w:ascii="黑体" w:hAnsi="宋体" w:eastAsia="黑体"/>
          <w:b/>
          <w:sz w:val="44"/>
          <w:szCs w:val="44"/>
        </w:rPr>
      </w:pPr>
      <w:r>
        <w:rPr>
          <w:rFonts w:hint="eastAsia" w:ascii="黑体" w:hAnsi="宋体" w:eastAsia="黑体"/>
          <w:b/>
          <w:sz w:val="44"/>
          <w:szCs w:val="44"/>
        </w:rPr>
        <w:t>宁晋县殡葬管理所2021年单位预算信息公开情况说明</w:t>
      </w:r>
    </w:p>
    <w:p>
      <w:pPr>
        <w:spacing w:line="560" w:lineRule="exact"/>
        <w:jc w:val="center"/>
        <w:rPr>
          <w:rFonts w:ascii="黑体" w:hAnsi="宋体" w:eastAsia="黑体"/>
          <w:b/>
          <w:sz w:val="36"/>
          <w:szCs w:val="36"/>
        </w:rPr>
      </w:pPr>
    </w:p>
    <w:p>
      <w:pPr>
        <w:widowControl/>
        <w:spacing w:line="600" w:lineRule="atLeast"/>
        <w:ind w:firstLine="640"/>
        <w:jc w:val="left"/>
        <w:rPr>
          <w:rFonts w:ascii="宋体" w:hAnsi="宋体" w:cs="宋体"/>
          <w:sz w:val="32"/>
          <w:szCs w:val="32"/>
        </w:rPr>
      </w:pPr>
      <w:r>
        <w:rPr>
          <w:rFonts w:hint="eastAsia" w:ascii="宋体" w:hAnsi="宋体" w:cs="宋体"/>
          <w:color w:val="000000"/>
          <w:kern w:val="0"/>
          <w:sz w:val="32"/>
          <w:szCs w:val="32"/>
        </w:rPr>
        <w:t>按照</w:t>
      </w:r>
      <w:r>
        <w:rPr>
          <w:rFonts w:hint="eastAsia" w:ascii="宋体" w:hAnsi="宋体" w:cs="宋体"/>
          <w:color w:val="000000"/>
          <w:kern w:val="0"/>
          <w:sz w:val="32"/>
          <w:szCs w:val="32"/>
          <w:lang w:eastAsia="zh-CN"/>
        </w:rPr>
        <w:t>《中华人民共和国预算法》</w:t>
      </w:r>
      <w:r>
        <w:rPr>
          <w:rFonts w:hint="eastAsia" w:ascii="宋体" w:hAnsi="宋体" w:cs="宋体"/>
          <w:color w:val="000000"/>
          <w:kern w:val="0"/>
          <w:sz w:val="32"/>
          <w:szCs w:val="32"/>
        </w:rPr>
        <w:t>、《地方预决算公开操作规程》和《河北省省级预算公开办法》规定，现将宁晋县民政局2021年单位预算公开如下：</w:t>
      </w:r>
    </w:p>
    <w:p>
      <w:pPr>
        <w:widowControl/>
        <w:ind w:firstLine="640"/>
        <w:jc w:val="left"/>
        <w:rPr>
          <w:rFonts w:ascii="宋体" w:hAnsi="宋体" w:cs="宋体"/>
          <w:b/>
          <w:kern w:val="0"/>
          <w:sz w:val="32"/>
          <w:szCs w:val="32"/>
        </w:rPr>
      </w:pPr>
      <w:r>
        <w:rPr>
          <w:rFonts w:hint="eastAsia" w:ascii="宋体" w:hAnsi="宋体" w:cs="宋体"/>
          <w:b/>
          <w:kern w:val="0"/>
          <w:sz w:val="32"/>
          <w:szCs w:val="32"/>
        </w:rPr>
        <w:t>一、单位职责、机构设置等基本情况</w:t>
      </w:r>
    </w:p>
    <w:p>
      <w:pPr>
        <w:widowControl/>
        <w:ind w:firstLine="640"/>
        <w:jc w:val="left"/>
        <w:rPr>
          <w:rFonts w:ascii="宋体" w:hAnsi="宋体"/>
          <w:color w:val="000000"/>
          <w:sz w:val="32"/>
          <w:szCs w:val="32"/>
        </w:rPr>
      </w:pPr>
      <w:r>
        <w:rPr>
          <w:rFonts w:hint="eastAsia" w:ascii="宋体" w:hAnsi="宋体"/>
          <w:color w:val="000000"/>
          <w:sz w:val="32"/>
          <w:szCs w:val="32"/>
        </w:rPr>
        <w:t>部门职责</w:t>
      </w:r>
    </w:p>
    <w:p>
      <w:pPr>
        <w:spacing w:line="560" w:lineRule="exact"/>
        <w:ind w:firstLine="640" w:firstLineChars="200"/>
        <w:rPr>
          <w:rFonts w:ascii="宋体" w:hAnsi="宋体"/>
          <w:color w:val="000000"/>
          <w:sz w:val="32"/>
          <w:szCs w:val="32"/>
        </w:rPr>
      </w:pPr>
      <w:r>
        <w:rPr>
          <w:rFonts w:hint="eastAsia" w:ascii="宋体" w:hAnsi="宋体"/>
          <w:color w:val="000000"/>
          <w:sz w:val="32"/>
          <w:szCs w:val="32"/>
        </w:rPr>
        <w:t>1．主要职能</w:t>
      </w:r>
    </w:p>
    <w:p>
      <w:pPr>
        <w:spacing w:line="560" w:lineRule="exact"/>
        <w:ind w:firstLine="640" w:firstLineChars="200"/>
        <w:rPr>
          <w:rFonts w:ascii="宋体" w:hAnsi="宋体"/>
          <w:color w:val="000000"/>
          <w:sz w:val="32"/>
          <w:szCs w:val="32"/>
        </w:rPr>
      </w:pPr>
      <w:r>
        <w:rPr>
          <w:rFonts w:hint="eastAsia" w:ascii="宋体" w:hAnsi="宋体"/>
          <w:color w:val="000000"/>
          <w:sz w:val="32"/>
          <w:szCs w:val="32"/>
        </w:rPr>
        <w:t>管理殡葬事宜，推进殡葬改革，提供殡仪服务。殡葬改革与殡改法规宣传，殡葬执法检查，殡葬处进服务，遗体火化，骨灰安放服务，遗体安葬，丧葬用品服务。</w:t>
      </w:r>
    </w:p>
    <w:p>
      <w:pPr>
        <w:spacing w:line="560" w:lineRule="exact"/>
        <w:ind w:firstLine="1285" w:firstLineChars="400"/>
        <w:rPr>
          <w:rFonts w:ascii="宋体" w:hAnsi="宋体" w:cs="宋体"/>
          <w:b/>
          <w:sz w:val="32"/>
          <w:szCs w:val="32"/>
        </w:rPr>
      </w:pPr>
      <w:r>
        <w:rPr>
          <w:rFonts w:hint="eastAsia" w:ascii="宋体" w:hAnsi="宋体" w:cs="宋体"/>
          <w:b/>
          <w:sz w:val="32"/>
          <w:szCs w:val="32"/>
        </w:rPr>
        <w:t>机构设置</w:t>
      </w:r>
    </w:p>
    <w:p>
      <w:pPr>
        <w:spacing w:line="560" w:lineRule="exact"/>
        <w:ind w:firstLine="1280" w:firstLineChars="400"/>
        <w:rPr>
          <w:rFonts w:ascii="宋体" w:hAnsi="宋体" w:cs="宋体"/>
          <w:sz w:val="32"/>
          <w:szCs w:val="32"/>
        </w:rPr>
      </w:pPr>
      <w:r>
        <w:rPr>
          <w:rFonts w:hint="eastAsia" w:ascii="宋体" w:hAnsi="宋体" w:cs="宋体"/>
          <w:sz w:val="32"/>
          <w:szCs w:val="32"/>
        </w:rPr>
        <w:t>纳入宁晋殡葬管理所2021年度单位预算编制范围的单位共1个，详细情况见下表：</w:t>
      </w:r>
    </w:p>
    <w:p>
      <w:pPr>
        <w:jc w:val="center"/>
        <w:outlineLvl w:val="0"/>
        <w:rPr>
          <w:rFonts w:eastAsia="方正小标宋_GBK"/>
          <w:sz w:val="32"/>
        </w:rPr>
      </w:pPr>
      <w:r>
        <w:rPr>
          <w:rFonts w:eastAsia="方正小标宋_GBK"/>
          <w:sz w:val="32"/>
        </w:rPr>
        <w:t>部门</w:t>
      </w:r>
      <w:r>
        <w:rPr>
          <w:rFonts w:hint="eastAsia" w:eastAsia="方正小标宋_GBK"/>
          <w:sz w:val="32"/>
        </w:rPr>
        <w:t>机构设置情况</w:t>
      </w:r>
    </w:p>
    <w:tbl>
      <w:tblPr>
        <w:tblStyle w:val="8"/>
        <w:tblW w:w="116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92"/>
        <w:gridCol w:w="1359"/>
        <w:gridCol w:w="1528"/>
        <w:gridCol w:w="34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0" w:hRule="atLeast"/>
          <w:tblHeader/>
          <w:jc w:val="center"/>
        </w:trPr>
        <w:tc>
          <w:tcPr>
            <w:tcW w:w="5292" w:type="dxa"/>
            <w:vMerge w:val="restart"/>
            <w:vAlign w:val="center"/>
          </w:tcPr>
          <w:p>
            <w:pPr>
              <w:spacing w:line="300" w:lineRule="exact"/>
              <w:jc w:val="center"/>
              <w:rPr>
                <w:rFonts w:eastAsia="方正书宋_GBK"/>
                <w:b/>
              </w:rPr>
            </w:pPr>
            <w:r>
              <w:rPr>
                <w:rFonts w:eastAsia="方正书宋_GBK"/>
                <w:b/>
              </w:rPr>
              <w:t>单位名称</w:t>
            </w:r>
          </w:p>
        </w:tc>
        <w:tc>
          <w:tcPr>
            <w:tcW w:w="1359" w:type="dxa"/>
            <w:vMerge w:val="restart"/>
            <w:vAlign w:val="center"/>
          </w:tcPr>
          <w:p>
            <w:pPr>
              <w:spacing w:line="300" w:lineRule="exact"/>
              <w:jc w:val="center"/>
              <w:rPr>
                <w:rFonts w:eastAsia="方正书宋_GBK"/>
                <w:b/>
              </w:rPr>
            </w:pPr>
            <w:r>
              <w:rPr>
                <w:rFonts w:eastAsia="方正书宋_GBK"/>
                <w:b/>
              </w:rPr>
              <w:t>单位性质</w:t>
            </w:r>
          </w:p>
        </w:tc>
        <w:tc>
          <w:tcPr>
            <w:tcW w:w="1528" w:type="dxa"/>
            <w:vMerge w:val="restart"/>
            <w:vAlign w:val="center"/>
          </w:tcPr>
          <w:p>
            <w:pPr>
              <w:spacing w:line="300" w:lineRule="exact"/>
              <w:jc w:val="center"/>
              <w:rPr>
                <w:rFonts w:eastAsia="方正书宋_GBK"/>
                <w:b/>
              </w:rPr>
            </w:pPr>
            <w:r>
              <w:rPr>
                <w:rFonts w:eastAsia="方正书宋_GBK"/>
                <w:b/>
              </w:rPr>
              <w:t>单位规格</w:t>
            </w:r>
          </w:p>
        </w:tc>
        <w:tc>
          <w:tcPr>
            <w:tcW w:w="3478" w:type="dxa"/>
            <w:vMerge w:val="restart"/>
            <w:vAlign w:val="center"/>
          </w:tcPr>
          <w:p>
            <w:pPr>
              <w:spacing w:line="300" w:lineRule="exact"/>
              <w:jc w:val="center"/>
              <w:rPr>
                <w:rFonts w:eastAsia="方正书宋_GBK"/>
                <w:b/>
              </w:rPr>
            </w:pPr>
            <w:r>
              <w:rPr>
                <w:rFonts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0" w:hRule="atLeast"/>
          <w:tblHeader/>
          <w:jc w:val="center"/>
        </w:trPr>
        <w:tc>
          <w:tcPr>
            <w:tcW w:w="5292" w:type="dxa"/>
            <w:vMerge w:val="continue"/>
            <w:vAlign w:val="center"/>
          </w:tcPr>
          <w:p>
            <w:pPr>
              <w:spacing w:line="300" w:lineRule="exact"/>
              <w:jc w:val="left"/>
              <w:outlineLvl w:val="0"/>
            </w:pPr>
          </w:p>
        </w:tc>
        <w:tc>
          <w:tcPr>
            <w:tcW w:w="1359" w:type="dxa"/>
            <w:vMerge w:val="continue"/>
            <w:vAlign w:val="center"/>
          </w:tcPr>
          <w:p>
            <w:pPr>
              <w:spacing w:line="300" w:lineRule="exact"/>
              <w:jc w:val="left"/>
              <w:outlineLvl w:val="0"/>
            </w:pPr>
          </w:p>
        </w:tc>
        <w:tc>
          <w:tcPr>
            <w:tcW w:w="1528" w:type="dxa"/>
            <w:vMerge w:val="continue"/>
            <w:vAlign w:val="center"/>
          </w:tcPr>
          <w:p>
            <w:pPr>
              <w:spacing w:line="300" w:lineRule="exact"/>
              <w:jc w:val="left"/>
              <w:outlineLvl w:val="0"/>
            </w:pPr>
          </w:p>
        </w:tc>
        <w:tc>
          <w:tcPr>
            <w:tcW w:w="3478"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2" w:hRule="atLeast"/>
          <w:jc w:val="center"/>
        </w:trPr>
        <w:tc>
          <w:tcPr>
            <w:tcW w:w="5292" w:type="dxa"/>
            <w:vAlign w:val="center"/>
          </w:tcPr>
          <w:p>
            <w:pPr>
              <w:spacing w:line="300" w:lineRule="exact"/>
              <w:jc w:val="left"/>
              <w:rPr>
                <w:rFonts w:eastAsia="方正书宋_GBK"/>
              </w:rPr>
            </w:pPr>
            <w:r>
              <w:rPr>
                <w:rFonts w:hint="eastAsia" w:eastAsia="方正书宋_GBK"/>
              </w:rPr>
              <w:t>宁晋县殡葬管理所</w:t>
            </w:r>
          </w:p>
        </w:tc>
        <w:tc>
          <w:tcPr>
            <w:tcW w:w="1359" w:type="dxa"/>
            <w:vAlign w:val="center"/>
          </w:tcPr>
          <w:p>
            <w:pPr>
              <w:spacing w:line="300" w:lineRule="exact"/>
              <w:jc w:val="center"/>
              <w:rPr>
                <w:rFonts w:eastAsia="方正书宋_GBK"/>
              </w:rPr>
            </w:pPr>
            <w:r>
              <w:rPr>
                <w:rFonts w:hint="eastAsia" w:ascii="方正书宋_GBK" w:eastAsia="方正书宋_GBK"/>
              </w:rPr>
              <w:t>事业</w:t>
            </w:r>
          </w:p>
        </w:tc>
        <w:tc>
          <w:tcPr>
            <w:tcW w:w="1528" w:type="dxa"/>
            <w:vAlign w:val="center"/>
          </w:tcPr>
          <w:p>
            <w:pPr>
              <w:spacing w:line="300" w:lineRule="exact"/>
              <w:jc w:val="center"/>
              <w:rPr>
                <w:rFonts w:eastAsia="方正书宋_GBK"/>
              </w:rPr>
            </w:pPr>
            <w:r>
              <w:rPr>
                <w:rFonts w:hint="eastAsia" w:ascii="方正书宋_GBK" w:eastAsia="方正书宋_GBK"/>
              </w:rPr>
              <w:t>股级</w:t>
            </w:r>
          </w:p>
        </w:tc>
        <w:tc>
          <w:tcPr>
            <w:tcW w:w="3478" w:type="dxa"/>
            <w:vAlign w:val="center"/>
          </w:tcPr>
          <w:p>
            <w:pPr>
              <w:spacing w:line="300" w:lineRule="exact"/>
              <w:jc w:val="center"/>
              <w:rPr>
                <w:rFonts w:eastAsia="方正书宋_GBK"/>
              </w:rPr>
            </w:pPr>
            <w:r>
              <w:rPr>
                <w:rFonts w:hint="eastAsia" w:ascii="方正书宋_GBK" w:eastAsia="方正书宋_GBK"/>
              </w:rPr>
              <w:t>财政拨款</w:t>
            </w:r>
          </w:p>
        </w:tc>
      </w:tr>
    </w:tbl>
    <w:p>
      <w:pPr>
        <w:widowControl/>
        <w:jc w:val="left"/>
        <w:rPr>
          <w:rFonts w:ascii="宋体" w:hAnsi="宋体"/>
          <w:b/>
          <w:sz w:val="32"/>
          <w:szCs w:val="32"/>
        </w:rPr>
      </w:pPr>
    </w:p>
    <w:p>
      <w:pPr>
        <w:widowControl/>
        <w:ind w:firstLine="643"/>
        <w:jc w:val="left"/>
        <w:rPr>
          <w:rFonts w:ascii="宋体" w:hAnsi="宋体"/>
        </w:rPr>
      </w:pPr>
      <w:r>
        <w:rPr>
          <w:rFonts w:hint="eastAsia" w:ascii="宋体" w:hAnsi="宋体"/>
          <w:b/>
          <w:sz w:val="32"/>
          <w:szCs w:val="32"/>
        </w:rPr>
        <w:t>二、</w:t>
      </w:r>
      <w:r>
        <w:rPr>
          <w:rFonts w:hint="eastAsia" w:ascii="宋体" w:hAnsi="宋体" w:cs="宋体"/>
          <w:b/>
          <w:kern w:val="0"/>
          <w:sz w:val="32"/>
          <w:szCs w:val="32"/>
        </w:rPr>
        <w:t>单位</w:t>
      </w:r>
      <w:r>
        <w:rPr>
          <w:rFonts w:ascii="宋体" w:hAnsi="宋体" w:cs="宋体"/>
          <w:b/>
          <w:kern w:val="0"/>
          <w:sz w:val="32"/>
          <w:szCs w:val="32"/>
        </w:rPr>
        <w:t>预算安排总体情况</w:t>
      </w:r>
    </w:p>
    <w:p>
      <w:pPr>
        <w:widowControl/>
        <w:spacing w:line="580" w:lineRule="atLeast"/>
        <w:ind w:firstLine="627"/>
        <w:jc w:val="left"/>
        <w:rPr>
          <w:rFonts w:ascii="宋体" w:hAnsi="宋体" w:cs="宋体"/>
          <w:kern w:val="0"/>
          <w:sz w:val="32"/>
          <w:szCs w:val="32"/>
        </w:rPr>
      </w:pPr>
      <w:r>
        <w:rPr>
          <w:rFonts w:hint="eastAsia" w:ascii="宋体" w:hAnsi="宋体" w:cs="宋体"/>
          <w:kern w:val="0"/>
          <w:sz w:val="32"/>
          <w:szCs w:val="32"/>
        </w:rPr>
        <w:t>1.收入说明</w:t>
      </w:r>
    </w:p>
    <w:p>
      <w:pPr>
        <w:widowControl/>
        <w:spacing w:line="580" w:lineRule="atLeast"/>
        <w:ind w:firstLine="627"/>
        <w:jc w:val="left"/>
        <w:rPr>
          <w:rFonts w:ascii="宋体" w:hAnsi="宋体" w:cs="宋体"/>
          <w:color w:val="000000"/>
          <w:kern w:val="0"/>
          <w:sz w:val="32"/>
          <w:szCs w:val="32"/>
        </w:rPr>
      </w:pPr>
      <w:r>
        <w:rPr>
          <w:rFonts w:hint="eastAsia" w:ascii="宋体" w:hAnsi="宋体" w:cs="宋体"/>
          <w:color w:val="000000"/>
          <w:kern w:val="0"/>
          <w:sz w:val="32"/>
          <w:szCs w:val="32"/>
        </w:rPr>
        <w:t>我单位2021年预算总收入</w:t>
      </w:r>
      <w:r>
        <w:rPr>
          <w:rFonts w:hint="eastAsia" w:ascii="宋体" w:hAnsi="宋体" w:cs="FZFSK--GBK1-0"/>
          <w:kern w:val="0"/>
          <w:sz w:val="32"/>
          <w:szCs w:val="32"/>
        </w:rPr>
        <w:t>236.82</w:t>
      </w:r>
      <w:r>
        <w:rPr>
          <w:rFonts w:hint="eastAsia" w:ascii="宋体" w:hAnsi="宋体" w:cs="宋体"/>
          <w:color w:val="000000"/>
          <w:kern w:val="0"/>
          <w:sz w:val="32"/>
          <w:szCs w:val="32"/>
        </w:rPr>
        <w:t>万元。</w:t>
      </w:r>
    </w:p>
    <w:p>
      <w:pPr>
        <w:widowControl/>
        <w:spacing w:line="580" w:lineRule="atLeast"/>
        <w:ind w:firstLine="627"/>
        <w:jc w:val="left"/>
        <w:rPr>
          <w:rFonts w:ascii="宋体" w:hAnsi="宋体" w:cs="宋体"/>
          <w:kern w:val="0"/>
          <w:sz w:val="32"/>
          <w:szCs w:val="32"/>
        </w:rPr>
      </w:pPr>
      <w:r>
        <w:rPr>
          <w:rFonts w:hint="eastAsia" w:ascii="宋体" w:hAnsi="宋体" w:cs="宋体"/>
          <w:kern w:val="0"/>
          <w:sz w:val="32"/>
          <w:szCs w:val="32"/>
        </w:rPr>
        <w:t>2.支出说明</w:t>
      </w:r>
    </w:p>
    <w:p>
      <w:pPr>
        <w:widowControl/>
        <w:spacing w:line="580" w:lineRule="atLeast"/>
        <w:ind w:firstLine="627"/>
        <w:jc w:val="left"/>
        <w:rPr>
          <w:rFonts w:ascii="宋体" w:hAnsi="宋体" w:cs="宋体"/>
          <w:kern w:val="0"/>
          <w:sz w:val="32"/>
          <w:szCs w:val="32"/>
        </w:rPr>
      </w:pPr>
      <w:r>
        <w:rPr>
          <w:rFonts w:hint="eastAsia" w:ascii="宋体" w:hAnsi="宋体" w:cs="宋体"/>
          <w:kern w:val="0"/>
          <w:sz w:val="32"/>
          <w:szCs w:val="32"/>
        </w:rPr>
        <w:t>收支预算总表支出栏、基本支出表、项目支出表按经济分类和支出功能分类科目编制，反映宁晋县民政局年度部门预算中支出预算的总体情况。2021年支出预算236.82万元，其中基本支出0万元，项目支出236.82万元，主要为殡葬管理所经费，自收自支人员工资、保险、火化炉维修等。</w:t>
      </w:r>
    </w:p>
    <w:p>
      <w:pPr>
        <w:widowControl/>
        <w:spacing w:line="580" w:lineRule="atLeast"/>
        <w:ind w:firstLine="627"/>
        <w:jc w:val="left"/>
        <w:rPr>
          <w:rFonts w:ascii="宋体" w:hAnsi="宋体" w:cs="宋体"/>
          <w:kern w:val="0"/>
          <w:sz w:val="32"/>
          <w:szCs w:val="32"/>
        </w:rPr>
      </w:pPr>
      <w:r>
        <w:rPr>
          <w:rFonts w:hint="eastAsia" w:ascii="宋体" w:hAnsi="宋体" w:cs="宋体"/>
          <w:kern w:val="0"/>
          <w:sz w:val="32"/>
          <w:szCs w:val="32"/>
        </w:rPr>
        <w:t>3.比上年增减情况</w:t>
      </w:r>
    </w:p>
    <w:p>
      <w:pPr>
        <w:widowControl/>
        <w:spacing w:line="580" w:lineRule="atLeast"/>
        <w:ind w:firstLine="627"/>
        <w:jc w:val="left"/>
        <w:rPr>
          <w:rFonts w:ascii="宋体" w:hAnsi="宋体" w:cs="宋体"/>
          <w:kern w:val="0"/>
          <w:sz w:val="32"/>
          <w:szCs w:val="32"/>
        </w:rPr>
      </w:pPr>
      <w:r>
        <w:rPr>
          <w:rFonts w:hint="eastAsia" w:ascii="宋体" w:hAnsi="宋体" w:cs="宋体"/>
          <w:color w:val="000000"/>
          <w:kern w:val="0"/>
          <w:sz w:val="32"/>
          <w:szCs w:val="32"/>
        </w:rPr>
        <w:t>2021年预算总收入236.82万元</w:t>
      </w:r>
      <w:r>
        <w:rPr>
          <w:rFonts w:hint="eastAsia" w:ascii="宋体" w:hAnsi="宋体" w:cs="宋体"/>
          <w:kern w:val="0"/>
          <w:sz w:val="32"/>
          <w:szCs w:val="32"/>
        </w:rPr>
        <w:t>较2020年预算总收入（106.9万元）增加129.92万元，增加121.53%，增加的原因是因为火化率上升火化所需费用也增加。</w:t>
      </w:r>
    </w:p>
    <w:p>
      <w:pPr>
        <w:widowControl/>
        <w:ind w:firstLine="640"/>
        <w:jc w:val="left"/>
        <w:rPr>
          <w:rFonts w:ascii="宋体" w:hAnsi="宋体"/>
          <w:b/>
        </w:rPr>
      </w:pPr>
      <w:r>
        <w:rPr>
          <w:rFonts w:ascii="宋体" w:hAnsi="宋体" w:cs="宋体"/>
          <w:b/>
          <w:kern w:val="0"/>
          <w:sz w:val="32"/>
          <w:szCs w:val="32"/>
        </w:rPr>
        <w:t>三、机关运行经费预算安排情况</w:t>
      </w:r>
    </w:p>
    <w:p>
      <w:pPr>
        <w:widowControl/>
        <w:spacing w:line="580" w:lineRule="atLeast"/>
        <w:ind w:firstLine="640" w:firstLineChars="200"/>
        <w:jc w:val="left"/>
        <w:rPr>
          <w:rFonts w:ascii="宋体" w:hAnsi="宋体" w:cs="宋体"/>
          <w:color w:val="000000"/>
          <w:sz w:val="32"/>
          <w:szCs w:val="32"/>
        </w:rPr>
      </w:pPr>
      <w:r>
        <w:rPr>
          <w:rFonts w:hint="eastAsia" w:ascii="宋体" w:hAnsi="宋体" w:cs="FZFSK--GBK1-0"/>
          <w:kern w:val="0"/>
          <w:sz w:val="32"/>
          <w:szCs w:val="32"/>
        </w:rPr>
        <w:t>2021年本单位无机关运行费。</w:t>
      </w:r>
    </w:p>
    <w:p>
      <w:pPr>
        <w:widowControl/>
        <w:ind w:firstLine="640"/>
        <w:jc w:val="left"/>
        <w:rPr>
          <w:rFonts w:ascii="宋体" w:hAnsi="宋体"/>
          <w:b/>
        </w:rPr>
      </w:pPr>
      <w:r>
        <w:rPr>
          <w:rFonts w:ascii="宋体" w:hAnsi="宋体" w:cs="宋体"/>
          <w:b/>
          <w:kern w:val="0"/>
          <w:sz w:val="32"/>
          <w:szCs w:val="32"/>
        </w:rPr>
        <w:t>四、财政拨款“三公”经费预算安排情况</w:t>
      </w:r>
    </w:p>
    <w:p>
      <w:pPr>
        <w:spacing w:line="560" w:lineRule="exact"/>
        <w:ind w:firstLine="645"/>
        <w:rPr>
          <w:rFonts w:ascii="宋体" w:hAnsi="宋体" w:cs="FZFSK--GBK1-0"/>
          <w:kern w:val="0"/>
          <w:sz w:val="32"/>
          <w:szCs w:val="32"/>
        </w:rPr>
      </w:pPr>
      <w:r>
        <w:rPr>
          <w:rFonts w:hint="eastAsia" w:ascii="宋体" w:hAnsi="宋体" w:cs="FZFSK--GBK1-0"/>
          <w:kern w:val="0"/>
          <w:sz w:val="32"/>
          <w:szCs w:val="32"/>
        </w:rPr>
        <w:t>2021年本单位无“三公”经费。</w:t>
      </w:r>
    </w:p>
    <w:p>
      <w:pPr>
        <w:pStyle w:val="15"/>
        <w:ind w:left="720" w:firstLine="0" w:firstLineChars="0"/>
        <w:rPr>
          <w:rFonts w:ascii="宋体" w:hAnsi="宋体" w:cs="FZFSK--GBK1-0"/>
          <w:b/>
          <w:kern w:val="0"/>
          <w:sz w:val="32"/>
          <w:szCs w:val="32"/>
        </w:rPr>
      </w:pPr>
      <w:r>
        <w:rPr>
          <w:rFonts w:hint="eastAsia" w:ascii="宋体" w:hAnsi="宋体" w:cs="FZFSK--GBK1-0"/>
          <w:b/>
          <w:kern w:val="0"/>
          <w:sz w:val="32"/>
          <w:szCs w:val="32"/>
        </w:rPr>
        <w:t>五、绩效预算信息情况</w:t>
      </w:r>
    </w:p>
    <w:p>
      <w:pPr>
        <w:pStyle w:val="15"/>
        <w:ind w:left="720" w:firstLine="0" w:firstLineChars="0"/>
        <w:rPr>
          <w:rFonts w:ascii="宋体" w:hAnsi="宋体"/>
          <w:b/>
          <w:sz w:val="32"/>
          <w:szCs w:val="32"/>
        </w:rPr>
      </w:pPr>
      <w:r>
        <w:rPr>
          <w:rFonts w:hint="eastAsia" w:ascii="宋体" w:hAnsi="宋体"/>
          <w:b/>
          <w:sz w:val="32"/>
          <w:szCs w:val="32"/>
        </w:rPr>
        <w:t>第一部分部门整体绩效目标</w:t>
      </w:r>
    </w:p>
    <w:p>
      <w:pPr>
        <w:spacing w:line="560" w:lineRule="exact"/>
        <w:ind w:firstLine="640" w:firstLineChars="200"/>
        <w:rPr>
          <w:rFonts w:ascii="宋体" w:hAnsi="宋体"/>
          <w:color w:val="000000"/>
          <w:sz w:val="32"/>
          <w:szCs w:val="32"/>
        </w:rPr>
      </w:pPr>
      <w:r>
        <w:rPr>
          <w:rFonts w:hint="eastAsia" w:ascii="宋体" w:hAnsi="宋体"/>
          <w:color w:val="000000"/>
          <w:sz w:val="32"/>
          <w:szCs w:val="32"/>
        </w:rPr>
        <w:t>确保火化设备设施正常运转，保障人员工资。确保火化工作达到100%目标。</w:t>
      </w:r>
    </w:p>
    <w:p>
      <w:pPr>
        <w:spacing w:line="560" w:lineRule="exact"/>
        <w:ind w:firstLine="640" w:firstLineChars="200"/>
        <w:rPr>
          <w:rFonts w:ascii="宋体" w:hAnsi="宋体"/>
          <w:color w:val="000000"/>
          <w:sz w:val="32"/>
          <w:szCs w:val="32"/>
        </w:rPr>
      </w:pPr>
    </w:p>
    <w:p>
      <w:pPr>
        <w:spacing w:line="560" w:lineRule="exact"/>
        <w:ind w:firstLine="643" w:firstLineChars="200"/>
        <w:rPr>
          <w:rFonts w:ascii="宋体" w:hAnsi="宋体" w:cs="FZFSK--GBK1-0"/>
          <w:kern w:val="0"/>
          <w:sz w:val="32"/>
          <w:szCs w:val="32"/>
        </w:rPr>
      </w:pPr>
      <w:r>
        <w:rPr>
          <w:rFonts w:hint="eastAsia" w:ascii="宋体" w:hAnsi="宋体" w:cs="宋体"/>
          <w:b/>
          <w:kern w:val="0"/>
          <w:sz w:val="32"/>
          <w:szCs w:val="32"/>
        </w:rPr>
        <w:t>第二部分 预算项目绩效目标</w:t>
      </w:r>
    </w:p>
    <w:p/>
    <w:p/>
    <w:p>
      <w:pPr>
        <w:ind w:firstLine="560"/>
        <w:outlineLvl w:val="3"/>
      </w:pPr>
      <w:bookmarkStart w:id="40" w:name="_Toc_4_4_0000000030"/>
      <w:r>
        <w:rPr>
          <w:rFonts w:hint="eastAsia" w:ascii="方正仿宋_GBK" w:hAnsi="方正仿宋_GBK" w:eastAsia="方正仿宋_GBK" w:cs="方正仿宋_GBK"/>
          <w:color w:val="000000"/>
          <w:sz w:val="28"/>
        </w:rPr>
        <w:t>1</w:t>
      </w:r>
      <w:r>
        <w:rPr>
          <w:rFonts w:ascii="方正仿宋_GBK" w:hAnsi="方正仿宋_GBK" w:eastAsia="方正仿宋_GBK" w:cs="方正仿宋_GBK"/>
          <w:color w:val="000000"/>
          <w:sz w:val="28"/>
        </w:rPr>
        <w:t>.202</w:t>
      </w:r>
      <w:r>
        <w:rPr>
          <w:rFonts w:hint="eastAsia" w:ascii="方正仿宋_GBK" w:hAnsi="方正仿宋_GBK" w:eastAsia="方正仿宋_GBK" w:cs="方正仿宋_GBK"/>
          <w:color w:val="000000"/>
          <w:sz w:val="28"/>
        </w:rPr>
        <w:t>1</w:t>
      </w:r>
      <w:r>
        <w:rPr>
          <w:rFonts w:ascii="方正仿宋_GBK" w:hAnsi="方正仿宋_GBK" w:eastAsia="方正仿宋_GBK" w:cs="方正仿宋_GBK"/>
          <w:color w:val="000000"/>
          <w:sz w:val="28"/>
        </w:rPr>
        <w:t>年殡</w:t>
      </w:r>
      <w:r>
        <w:rPr>
          <w:rFonts w:hint="eastAsia" w:ascii="方正仿宋_GBK" w:hAnsi="方正仿宋_GBK" w:eastAsia="方正仿宋_GBK" w:cs="方正仿宋_GBK"/>
          <w:color w:val="000000"/>
          <w:sz w:val="28"/>
        </w:rPr>
        <w:t>葬管理所经费</w:t>
      </w:r>
      <w:r>
        <w:rPr>
          <w:rFonts w:ascii="方正仿宋_GBK" w:hAnsi="方正仿宋_GBK" w:eastAsia="方正仿宋_GBK" w:cs="方正仿宋_GBK"/>
          <w:color w:val="000000"/>
          <w:sz w:val="28"/>
        </w:rPr>
        <w:t>绩效目标表</w:t>
      </w:r>
      <w:bookmarkEnd w:id="40"/>
    </w:p>
    <w:tbl>
      <w:tblPr>
        <w:tblStyle w:val="8"/>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20"/>
            </w:pPr>
            <w:r>
              <w:t>314005宁晋县殡葬管理所</w:t>
            </w:r>
          </w:p>
        </w:tc>
        <w:tc>
          <w:tcPr>
            <w:tcW w:w="1843" w:type="dxa"/>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2608" w:type="dxa"/>
            <w:gridSpan w:val="2"/>
            <w:vAlign w:val="center"/>
          </w:tcPr>
          <w:p>
            <w:pPr>
              <w:pStyle w:val="18"/>
            </w:pPr>
            <w:r>
              <w:t>13052822P00HD5G10003P</w:t>
            </w:r>
          </w:p>
        </w:tc>
        <w:tc>
          <w:tcPr>
            <w:tcW w:w="1587" w:type="dxa"/>
            <w:vAlign w:val="center"/>
          </w:tcPr>
          <w:p>
            <w:pPr>
              <w:pStyle w:val="17"/>
            </w:pPr>
            <w:r>
              <w:t>项目名称</w:t>
            </w:r>
          </w:p>
        </w:tc>
        <w:tc>
          <w:tcPr>
            <w:tcW w:w="4423" w:type="dxa"/>
            <w:gridSpan w:val="3"/>
            <w:vAlign w:val="center"/>
          </w:tcPr>
          <w:p>
            <w:pPr>
              <w:pStyle w:val="18"/>
              <w:rPr>
                <w:lang w:eastAsia="zh-CN"/>
              </w:rPr>
            </w:pPr>
            <w:r>
              <w:t>202</w:t>
            </w:r>
            <w:r>
              <w:rPr>
                <w:rFonts w:hint="eastAsia"/>
                <w:lang w:eastAsia="zh-CN"/>
              </w:rPr>
              <w:t>1</w:t>
            </w:r>
            <w:r>
              <w:t>年殡</w:t>
            </w:r>
            <w:r>
              <w:rPr>
                <w:rFonts w:hint="eastAsia"/>
                <w:lang w:eastAsia="zh-CN"/>
              </w:rPr>
              <w:t>葬管理所经费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1276" w:type="dxa"/>
            <w:vAlign w:val="center"/>
          </w:tcPr>
          <w:p>
            <w:pPr>
              <w:pStyle w:val="17"/>
            </w:pPr>
            <w:r>
              <w:t>预算数</w:t>
            </w:r>
          </w:p>
        </w:tc>
        <w:tc>
          <w:tcPr>
            <w:tcW w:w="1332" w:type="dxa"/>
            <w:vAlign w:val="center"/>
          </w:tcPr>
          <w:p>
            <w:pPr>
              <w:pStyle w:val="18"/>
            </w:pPr>
            <w:r>
              <w:rPr>
                <w:rFonts w:hint="eastAsia"/>
                <w:lang w:eastAsia="zh-CN"/>
              </w:rPr>
              <w:t>154.27</w:t>
            </w:r>
          </w:p>
        </w:tc>
        <w:tc>
          <w:tcPr>
            <w:tcW w:w="1587" w:type="dxa"/>
            <w:vAlign w:val="center"/>
          </w:tcPr>
          <w:p>
            <w:pPr>
              <w:pStyle w:val="17"/>
            </w:pPr>
            <w:r>
              <w:t>其中：财政    资金</w:t>
            </w:r>
          </w:p>
        </w:tc>
        <w:tc>
          <w:tcPr>
            <w:tcW w:w="1304" w:type="dxa"/>
            <w:vAlign w:val="center"/>
          </w:tcPr>
          <w:p>
            <w:pPr>
              <w:pStyle w:val="18"/>
              <w:rPr>
                <w:lang w:eastAsia="zh-CN"/>
              </w:rPr>
            </w:pPr>
            <w:r>
              <w:rPr>
                <w:rFonts w:hint="eastAsia"/>
                <w:lang w:eastAsia="zh-CN"/>
              </w:rPr>
              <w:t>154.27</w:t>
            </w:r>
          </w:p>
        </w:tc>
        <w:tc>
          <w:tcPr>
            <w:tcW w:w="1276" w:type="dxa"/>
            <w:vAlign w:val="center"/>
          </w:tcPr>
          <w:p>
            <w:pPr>
              <w:pStyle w:val="17"/>
            </w:pPr>
            <w:r>
              <w:t>其他资金</w:t>
            </w:r>
          </w:p>
        </w:tc>
        <w:tc>
          <w:tcPr>
            <w:tcW w:w="1843" w:type="dxa"/>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8"/>
              <w:rPr>
                <w:lang w:eastAsia="zh-CN"/>
              </w:rPr>
            </w:pPr>
            <w:r>
              <w:t>用于殡管所</w:t>
            </w:r>
            <w:r>
              <w:rPr>
                <w:rFonts w:hint="eastAsia"/>
                <w:lang w:eastAsia="zh-CN"/>
              </w:rPr>
              <w:t>日常运行维护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2608" w:type="dxa"/>
            <w:gridSpan w:val="2"/>
            <w:vAlign w:val="center"/>
          </w:tcPr>
          <w:p>
            <w:pPr>
              <w:pStyle w:val="17"/>
            </w:pPr>
            <w:r>
              <w:t>3月底</w:t>
            </w:r>
          </w:p>
        </w:tc>
        <w:tc>
          <w:tcPr>
            <w:tcW w:w="1587" w:type="dxa"/>
            <w:vAlign w:val="center"/>
          </w:tcPr>
          <w:p>
            <w:pPr>
              <w:pStyle w:val="17"/>
            </w:pPr>
            <w:r>
              <w:t>6月底</w:t>
            </w:r>
          </w:p>
        </w:tc>
        <w:tc>
          <w:tcPr>
            <w:tcW w:w="1304" w:type="dxa"/>
            <w:vAlign w:val="center"/>
          </w:tcPr>
          <w:p>
            <w:pPr>
              <w:pStyle w:val="17"/>
            </w:pPr>
            <w:r>
              <w:t>10月底</w:t>
            </w:r>
          </w:p>
        </w:tc>
        <w:tc>
          <w:tcPr>
            <w:tcW w:w="3119" w:type="dxa"/>
            <w:gridSpan w:val="2"/>
            <w:vAlign w:val="center"/>
          </w:tcPr>
          <w:p>
            <w:pPr>
              <w:pStyle w:val="1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9"/>
            </w:pPr>
            <w:r>
              <w:t xml:space="preserve">25% </w:t>
            </w:r>
          </w:p>
        </w:tc>
        <w:tc>
          <w:tcPr>
            <w:tcW w:w="1587" w:type="dxa"/>
            <w:vAlign w:val="center"/>
          </w:tcPr>
          <w:p>
            <w:pPr>
              <w:pStyle w:val="19"/>
            </w:pPr>
            <w:bookmarkStart w:id="41" w:name="OLE_LINK1"/>
            <w:r>
              <w:rPr>
                <w:rFonts w:hint="eastAsia"/>
                <w:lang w:eastAsia="zh-CN"/>
              </w:rPr>
              <w:t>50</w:t>
            </w:r>
            <w:r>
              <w:t>%</w:t>
            </w:r>
            <w:bookmarkEnd w:id="41"/>
          </w:p>
        </w:tc>
        <w:tc>
          <w:tcPr>
            <w:tcW w:w="1304" w:type="dxa"/>
            <w:vAlign w:val="center"/>
          </w:tcPr>
          <w:p>
            <w:pPr>
              <w:pStyle w:val="19"/>
            </w:pPr>
            <w:r>
              <w:rPr>
                <w:rFonts w:hint="eastAsia"/>
                <w:lang w:eastAsia="zh-CN"/>
              </w:rPr>
              <w:t>75</w:t>
            </w:r>
            <w:r>
              <w:t>%</w:t>
            </w:r>
          </w:p>
        </w:tc>
        <w:tc>
          <w:tcPr>
            <w:tcW w:w="3119" w:type="dxa"/>
            <w:gridSpan w:val="2"/>
            <w:vAlign w:val="center"/>
          </w:tcPr>
          <w:p>
            <w:pPr>
              <w:pStyle w:val="1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8618" w:type="dxa"/>
            <w:gridSpan w:val="6"/>
            <w:vAlign w:val="center"/>
          </w:tcPr>
          <w:p>
            <w:pPr>
              <w:pStyle w:val="18"/>
            </w:pPr>
            <w:r>
              <w:t>1.目标内容1</w:t>
            </w:r>
          </w:p>
        </w:tc>
      </w:tr>
    </w:tbl>
    <w:p>
      <w:pPr>
        <w:spacing w:line="2" w:lineRule="exact"/>
        <w:jc w:val="center"/>
      </w:pPr>
      <w:r>
        <w:rPr>
          <w:rFonts w:ascii="方正书宋_GBK" w:hAnsi="方正书宋_GBK" w:eastAsia="方正书宋_GBK" w:cs="方正书宋_GBK"/>
          <w:color w:val="000000"/>
        </w:rPr>
        <w:t xml:space="preserve"> </w:t>
      </w:r>
    </w:p>
    <w:tbl>
      <w:tblPr>
        <w:tblStyle w:val="8"/>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1276" w:type="dxa"/>
            <w:vAlign w:val="center"/>
          </w:tcPr>
          <w:p>
            <w:pPr>
              <w:pStyle w:val="17"/>
            </w:pPr>
            <w:r>
              <w:t>二级指标</w:t>
            </w:r>
          </w:p>
        </w:tc>
        <w:tc>
          <w:tcPr>
            <w:tcW w:w="1332" w:type="dxa"/>
            <w:vAlign w:val="center"/>
          </w:tcPr>
          <w:p>
            <w:pPr>
              <w:pStyle w:val="17"/>
            </w:pPr>
            <w:r>
              <w:t>三级指标</w:t>
            </w:r>
          </w:p>
        </w:tc>
        <w:tc>
          <w:tcPr>
            <w:tcW w:w="2891" w:type="dxa"/>
            <w:vAlign w:val="center"/>
          </w:tcPr>
          <w:p>
            <w:pPr>
              <w:pStyle w:val="17"/>
            </w:pPr>
            <w:r>
              <w:t>绩效指标描述</w:t>
            </w:r>
          </w:p>
        </w:tc>
        <w:tc>
          <w:tcPr>
            <w:tcW w:w="1276" w:type="dxa"/>
            <w:vAlign w:val="center"/>
          </w:tcPr>
          <w:p>
            <w:pPr>
              <w:pStyle w:val="17"/>
            </w:pPr>
            <w:r>
              <w:t>指标值</w:t>
            </w:r>
          </w:p>
        </w:tc>
        <w:tc>
          <w:tcPr>
            <w:tcW w:w="1843"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9"/>
            </w:pPr>
            <w:r>
              <w:t>产出指标</w:t>
            </w:r>
          </w:p>
        </w:tc>
        <w:tc>
          <w:tcPr>
            <w:tcW w:w="1276" w:type="dxa"/>
            <w:vAlign w:val="center"/>
          </w:tcPr>
          <w:p>
            <w:pPr>
              <w:pStyle w:val="18"/>
            </w:pPr>
            <w:r>
              <w:t>数量指标</w:t>
            </w:r>
          </w:p>
        </w:tc>
        <w:tc>
          <w:tcPr>
            <w:tcW w:w="1332" w:type="dxa"/>
          </w:tcPr>
          <w:p>
            <w:pPr>
              <w:widowControl/>
              <w:jc w:val="left"/>
              <w:textAlignment w:val="top"/>
            </w:pPr>
            <w:r>
              <w:rPr>
                <w:rFonts w:hint="eastAsia" w:ascii="宋体" w:hAnsi="宋体" w:eastAsia="宋体" w:cs="宋体"/>
                <w:color w:val="000000"/>
                <w:kern w:val="0"/>
                <w:sz w:val="18"/>
                <w:szCs w:val="18"/>
              </w:rPr>
              <w:t>保障单位各项工作正常开展</w:t>
            </w:r>
          </w:p>
        </w:tc>
        <w:tc>
          <w:tcPr>
            <w:tcW w:w="2891" w:type="dxa"/>
          </w:tcPr>
          <w:p>
            <w:pPr>
              <w:widowControl/>
              <w:jc w:val="left"/>
              <w:textAlignment w:val="top"/>
              <w:rPr>
                <w:rFonts w:ascii="宋体" w:hAnsi="宋体" w:eastAsia="宋体" w:cs="宋体"/>
                <w:color w:val="000000"/>
                <w:sz w:val="18"/>
                <w:szCs w:val="18"/>
              </w:rPr>
            </w:pPr>
            <w:r>
              <w:rPr>
                <w:rFonts w:hint="eastAsia" w:ascii="宋体" w:hAnsi="宋体" w:eastAsia="宋体" w:cs="宋体"/>
                <w:color w:val="000000"/>
                <w:kern w:val="0"/>
                <w:sz w:val="18"/>
                <w:szCs w:val="18"/>
              </w:rPr>
              <w:t>保障单位各项工作正常开展</w:t>
            </w:r>
          </w:p>
        </w:tc>
        <w:tc>
          <w:tcPr>
            <w:tcW w:w="1276" w:type="dxa"/>
            <w:vAlign w:val="center"/>
          </w:tcPr>
          <w:p>
            <w:pPr>
              <w:pStyle w:val="18"/>
              <w:rPr>
                <w:lang w:eastAsia="zh-CN"/>
              </w:rPr>
            </w:pPr>
            <w:r>
              <w:rPr>
                <w:rFonts w:hint="eastAsia"/>
                <w:lang w:eastAsia="zh-CN"/>
              </w:rPr>
              <w:t>100%</w:t>
            </w:r>
          </w:p>
        </w:tc>
        <w:tc>
          <w:tcPr>
            <w:tcW w:w="1843" w:type="dxa"/>
            <w:vAlign w:val="center"/>
          </w:tcPr>
          <w:p>
            <w:pPr>
              <w:pStyle w:val="18"/>
            </w:pPr>
            <w:r>
              <w:t>年初计划安排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质量指标</w:t>
            </w:r>
          </w:p>
        </w:tc>
        <w:tc>
          <w:tcPr>
            <w:tcW w:w="1332" w:type="dxa"/>
            <w:vAlign w:val="center"/>
          </w:tcPr>
          <w:p>
            <w:pPr>
              <w:pStyle w:val="18"/>
            </w:pPr>
            <w:r>
              <w:rPr>
                <w:rFonts w:hint="eastAsia"/>
              </w:rPr>
              <w:t>保障设备正常运转</w:t>
            </w:r>
          </w:p>
        </w:tc>
        <w:tc>
          <w:tcPr>
            <w:tcW w:w="2891" w:type="dxa"/>
            <w:vAlign w:val="center"/>
          </w:tcPr>
          <w:p>
            <w:pPr>
              <w:pStyle w:val="18"/>
            </w:pPr>
            <w:r>
              <w:t>设备</w:t>
            </w:r>
            <w:r>
              <w:rPr>
                <w:rFonts w:hint="eastAsia"/>
                <w:lang w:eastAsia="zh-CN"/>
              </w:rPr>
              <w:t>运转</w:t>
            </w:r>
            <w:r>
              <w:t>达标率</w:t>
            </w:r>
          </w:p>
        </w:tc>
        <w:tc>
          <w:tcPr>
            <w:tcW w:w="1276" w:type="dxa"/>
            <w:vAlign w:val="center"/>
          </w:tcPr>
          <w:p>
            <w:pPr>
              <w:pStyle w:val="18"/>
            </w:pPr>
            <w:r>
              <w:t>≥95%</w:t>
            </w:r>
          </w:p>
        </w:tc>
        <w:tc>
          <w:tcPr>
            <w:tcW w:w="1843" w:type="dxa"/>
            <w:vAlign w:val="center"/>
          </w:tcPr>
          <w:p>
            <w:pPr>
              <w:pStyle w:val="18"/>
            </w:pPr>
            <w:r>
              <w:t>设备</w:t>
            </w:r>
            <w:r>
              <w:rPr>
                <w:rFonts w:hint="eastAsia"/>
                <w:lang w:eastAsia="zh-CN"/>
              </w:rPr>
              <w:t>运转</w:t>
            </w:r>
            <w:r>
              <w:t>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时效指标</w:t>
            </w:r>
          </w:p>
        </w:tc>
        <w:tc>
          <w:tcPr>
            <w:tcW w:w="1332" w:type="dxa"/>
          </w:tcPr>
          <w:p>
            <w:pPr>
              <w:widowControl/>
              <w:jc w:val="left"/>
              <w:textAlignment w:val="top"/>
            </w:pPr>
            <w:r>
              <w:rPr>
                <w:rFonts w:hint="eastAsia" w:ascii="宋体" w:hAnsi="宋体" w:eastAsia="宋体" w:cs="宋体"/>
                <w:color w:val="000000"/>
                <w:kern w:val="0"/>
                <w:sz w:val="18"/>
                <w:szCs w:val="18"/>
              </w:rPr>
              <w:t>2021年完在火化任务5091具</w:t>
            </w:r>
          </w:p>
        </w:tc>
        <w:tc>
          <w:tcPr>
            <w:tcW w:w="2891" w:type="dxa"/>
            <w:vAlign w:val="center"/>
          </w:tcPr>
          <w:p>
            <w:pPr>
              <w:pStyle w:val="18"/>
              <w:rPr>
                <w:lang w:eastAsia="zh-CN"/>
              </w:rPr>
            </w:pPr>
            <w:r>
              <w:rPr>
                <w:rFonts w:hint="eastAsia"/>
                <w:lang w:eastAsia="zh-CN"/>
              </w:rPr>
              <w:t>完成2021年目标任务</w:t>
            </w:r>
          </w:p>
        </w:tc>
        <w:tc>
          <w:tcPr>
            <w:tcW w:w="1276" w:type="dxa"/>
            <w:vAlign w:val="center"/>
          </w:tcPr>
          <w:p>
            <w:pPr>
              <w:pStyle w:val="18"/>
            </w:pPr>
            <w:r>
              <w:t>≥90%</w:t>
            </w:r>
          </w:p>
        </w:tc>
        <w:tc>
          <w:tcPr>
            <w:tcW w:w="1843" w:type="dxa"/>
            <w:vAlign w:val="center"/>
          </w:tcPr>
          <w:p>
            <w:pPr>
              <w:pStyle w:val="18"/>
              <w:rPr>
                <w:lang w:eastAsia="zh-CN"/>
              </w:rPr>
            </w:pPr>
            <w:r>
              <w:rPr>
                <w:rFonts w:hint="eastAsia"/>
                <w:lang w:eastAsia="zh-CN"/>
              </w:rPr>
              <w:t>达到火化率100%目标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成本指标</w:t>
            </w:r>
          </w:p>
        </w:tc>
        <w:tc>
          <w:tcPr>
            <w:tcW w:w="1332" w:type="dxa"/>
            <w:vAlign w:val="center"/>
          </w:tcPr>
          <w:p>
            <w:pPr>
              <w:pStyle w:val="18"/>
            </w:pPr>
            <w:r>
              <w:rPr>
                <w:rFonts w:hint="eastAsia"/>
              </w:rPr>
              <w:t>油、电及设备维护等</w:t>
            </w:r>
          </w:p>
        </w:tc>
        <w:tc>
          <w:tcPr>
            <w:tcW w:w="2891" w:type="dxa"/>
            <w:vAlign w:val="center"/>
          </w:tcPr>
          <w:p>
            <w:pPr>
              <w:pStyle w:val="18"/>
              <w:rPr>
                <w:lang w:eastAsia="zh-CN"/>
              </w:rPr>
            </w:pPr>
            <w:r>
              <w:rPr>
                <w:rFonts w:hint="eastAsia"/>
                <w:lang w:eastAsia="zh-CN"/>
              </w:rPr>
              <w:t>设备设施运转维护</w:t>
            </w:r>
          </w:p>
        </w:tc>
        <w:tc>
          <w:tcPr>
            <w:tcW w:w="1276" w:type="dxa"/>
            <w:vAlign w:val="center"/>
          </w:tcPr>
          <w:p>
            <w:pPr>
              <w:pStyle w:val="18"/>
              <w:rPr>
                <w:lang w:eastAsia="zh-CN"/>
              </w:rPr>
            </w:pPr>
            <w:r>
              <w:rPr>
                <w:rFonts w:hint="eastAsia"/>
                <w:lang w:eastAsia="zh-CN"/>
              </w:rPr>
              <w:t>100%</w:t>
            </w:r>
          </w:p>
        </w:tc>
        <w:tc>
          <w:tcPr>
            <w:tcW w:w="1843" w:type="dxa"/>
            <w:vAlign w:val="center"/>
          </w:tcPr>
          <w:p>
            <w:pPr>
              <w:pStyle w:val="18"/>
            </w:pPr>
            <w:r>
              <w:t>年初计划安排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9"/>
            </w:pPr>
            <w:r>
              <w:t>效益指标</w:t>
            </w:r>
          </w:p>
        </w:tc>
        <w:tc>
          <w:tcPr>
            <w:tcW w:w="1276" w:type="dxa"/>
            <w:vAlign w:val="center"/>
          </w:tcPr>
          <w:p>
            <w:pPr>
              <w:pStyle w:val="18"/>
            </w:pPr>
            <w:r>
              <w:t>经济效益指标</w:t>
            </w:r>
          </w:p>
        </w:tc>
        <w:tc>
          <w:tcPr>
            <w:tcW w:w="1332" w:type="dxa"/>
            <w:vAlign w:val="center"/>
          </w:tcPr>
          <w:p>
            <w:pPr>
              <w:pStyle w:val="18"/>
            </w:pPr>
            <w:r>
              <w:t>每年火化数</w:t>
            </w:r>
          </w:p>
        </w:tc>
        <w:tc>
          <w:tcPr>
            <w:tcW w:w="2891" w:type="dxa"/>
            <w:vAlign w:val="center"/>
          </w:tcPr>
          <w:p>
            <w:pPr>
              <w:pStyle w:val="18"/>
            </w:pPr>
            <w:r>
              <w:t>每年火化数</w:t>
            </w:r>
          </w:p>
        </w:tc>
        <w:tc>
          <w:tcPr>
            <w:tcW w:w="1276" w:type="dxa"/>
            <w:vAlign w:val="center"/>
          </w:tcPr>
          <w:p>
            <w:pPr>
              <w:pStyle w:val="18"/>
            </w:pPr>
            <w:r>
              <w:t>≥5000具</w:t>
            </w:r>
          </w:p>
        </w:tc>
        <w:tc>
          <w:tcPr>
            <w:tcW w:w="1843" w:type="dxa"/>
            <w:vAlign w:val="center"/>
          </w:tcPr>
          <w:p>
            <w:pPr>
              <w:pStyle w:val="18"/>
            </w:pPr>
            <w:r>
              <w:t>死亡率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社会效益指标</w:t>
            </w:r>
          </w:p>
        </w:tc>
        <w:tc>
          <w:tcPr>
            <w:tcW w:w="1332" w:type="dxa"/>
            <w:vAlign w:val="center"/>
          </w:tcPr>
          <w:p>
            <w:pPr>
              <w:pStyle w:val="18"/>
            </w:pPr>
            <w:r>
              <w:t>提高我县火化率</w:t>
            </w:r>
          </w:p>
        </w:tc>
        <w:tc>
          <w:tcPr>
            <w:tcW w:w="2891" w:type="dxa"/>
            <w:vAlign w:val="center"/>
          </w:tcPr>
          <w:p>
            <w:pPr>
              <w:pStyle w:val="18"/>
            </w:pPr>
            <w:r>
              <w:t>提高我县火化率</w:t>
            </w:r>
          </w:p>
        </w:tc>
        <w:tc>
          <w:tcPr>
            <w:tcW w:w="1276" w:type="dxa"/>
            <w:vAlign w:val="center"/>
          </w:tcPr>
          <w:p>
            <w:pPr>
              <w:pStyle w:val="18"/>
            </w:pPr>
            <w:r>
              <w:t>≥100%</w:t>
            </w:r>
          </w:p>
        </w:tc>
        <w:tc>
          <w:tcPr>
            <w:tcW w:w="1843" w:type="dxa"/>
            <w:vAlign w:val="center"/>
          </w:tcPr>
          <w:p>
            <w:pPr>
              <w:pStyle w:val="18"/>
            </w:pPr>
            <w:r>
              <w:t>年初计划安排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生态效益指标</w:t>
            </w:r>
          </w:p>
        </w:tc>
        <w:tc>
          <w:tcPr>
            <w:tcW w:w="1332" w:type="dxa"/>
            <w:vAlign w:val="center"/>
          </w:tcPr>
          <w:p>
            <w:pPr>
              <w:pStyle w:val="18"/>
            </w:pPr>
            <w:r>
              <w:t>消烟除尘，改善环境</w:t>
            </w:r>
          </w:p>
        </w:tc>
        <w:tc>
          <w:tcPr>
            <w:tcW w:w="2891" w:type="dxa"/>
            <w:vAlign w:val="center"/>
          </w:tcPr>
          <w:p>
            <w:pPr>
              <w:pStyle w:val="18"/>
            </w:pPr>
            <w:r>
              <w:t>消烟除尘，改善环境</w:t>
            </w:r>
          </w:p>
        </w:tc>
        <w:tc>
          <w:tcPr>
            <w:tcW w:w="1276" w:type="dxa"/>
            <w:vAlign w:val="center"/>
          </w:tcPr>
          <w:p>
            <w:pPr>
              <w:pStyle w:val="18"/>
            </w:pPr>
            <w:r>
              <w:t>有效改善</w:t>
            </w:r>
          </w:p>
        </w:tc>
        <w:tc>
          <w:tcPr>
            <w:tcW w:w="1843" w:type="dxa"/>
            <w:vAlign w:val="center"/>
          </w:tcPr>
          <w:p>
            <w:pPr>
              <w:pStyle w:val="18"/>
            </w:pPr>
            <w:r>
              <w:t>年初计划安排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可持续影响指标</w:t>
            </w:r>
          </w:p>
        </w:tc>
        <w:tc>
          <w:tcPr>
            <w:tcW w:w="1332" w:type="dxa"/>
            <w:vAlign w:val="center"/>
          </w:tcPr>
          <w:p>
            <w:pPr>
              <w:pStyle w:val="18"/>
            </w:pPr>
            <w:r>
              <w:t>职工评价</w:t>
            </w:r>
          </w:p>
        </w:tc>
        <w:tc>
          <w:tcPr>
            <w:tcW w:w="2891" w:type="dxa"/>
            <w:vAlign w:val="center"/>
          </w:tcPr>
          <w:p>
            <w:pPr>
              <w:pStyle w:val="18"/>
            </w:pPr>
            <w:r>
              <w:t>职工的满意度</w:t>
            </w:r>
          </w:p>
        </w:tc>
        <w:tc>
          <w:tcPr>
            <w:tcW w:w="1276" w:type="dxa"/>
            <w:vAlign w:val="center"/>
          </w:tcPr>
          <w:p>
            <w:pPr>
              <w:pStyle w:val="18"/>
            </w:pPr>
            <w:r>
              <w:t>有效促进</w:t>
            </w:r>
          </w:p>
        </w:tc>
        <w:tc>
          <w:tcPr>
            <w:tcW w:w="1843" w:type="dxa"/>
            <w:vAlign w:val="center"/>
          </w:tcPr>
          <w:p>
            <w:pPr>
              <w:pStyle w:val="1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9"/>
            </w:pPr>
            <w:r>
              <w:t>满意度指标</w:t>
            </w:r>
          </w:p>
        </w:tc>
        <w:tc>
          <w:tcPr>
            <w:tcW w:w="1276" w:type="dxa"/>
            <w:vAlign w:val="center"/>
          </w:tcPr>
          <w:p>
            <w:pPr>
              <w:pStyle w:val="18"/>
            </w:pPr>
            <w:r>
              <w:t>服务对象满意度指标</w:t>
            </w:r>
          </w:p>
        </w:tc>
        <w:tc>
          <w:tcPr>
            <w:tcW w:w="1332" w:type="dxa"/>
            <w:vAlign w:val="center"/>
          </w:tcPr>
          <w:p>
            <w:pPr>
              <w:pStyle w:val="18"/>
            </w:pPr>
            <w:r>
              <w:t>群众满意度</w:t>
            </w:r>
          </w:p>
        </w:tc>
        <w:tc>
          <w:tcPr>
            <w:tcW w:w="2891" w:type="dxa"/>
            <w:vAlign w:val="center"/>
          </w:tcPr>
          <w:p>
            <w:pPr>
              <w:pStyle w:val="18"/>
            </w:pPr>
            <w:r>
              <w:t>群众满意度</w:t>
            </w:r>
          </w:p>
        </w:tc>
        <w:tc>
          <w:tcPr>
            <w:tcW w:w="1276" w:type="dxa"/>
            <w:vAlign w:val="center"/>
          </w:tcPr>
          <w:p>
            <w:pPr>
              <w:pStyle w:val="18"/>
            </w:pPr>
            <w:r>
              <w:t>≥90%</w:t>
            </w:r>
          </w:p>
        </w:tc>
        <w:tc>
          <w:tcPr>
            <w:tcW w:w="1843" w:type="dxa"/>
            <w:vAlign w:val="center"/>
          </w:tcPr>
          <w:p>
            <w:pPr>
              <w:pStyle w:val="18"/>
            </w:pPr>
            <w:r>
              <w:t>年初计划安排</w:t>
            </w:r>
          </w:p>
        </w:tc>
      </w:tr>
    </w:tbl>
    <w:p>
      <w:pPr>
        <w:sectPr>
          <w:pgSz w:w="16840" w:h="11900" w:orient="landscape"/>
          <w:pgMar w:top="1304" w:right="1134" w:bottom="1304" w:left="1984" w:header="720" w:footer="720" w:gutter="0"/>
          <w:pgNumType w:fmt="numberInDash"/>
          <w:cols w:space="720" w:num="1"/>
          <w:docGrid w:linePitch="286" w:charSpace="0"/>
        </w:sectPr>
      </w:pPr>
    </w:p>
    <w:p>
      <w:pPr>
        <w:jc w:val="center"/>
      </w:pPr>
      <w:r>
        <w:rPr>
          <w:rFonts w:ascii="方正仿宋_GBK" w:hAnsi="方正仿宋_GBK" w:eastAsia="方正仿宋_GBK" w:cs="方正仿宋_GBK"/>
          <w:color w:val="000000"/>
          <w:sz w:val="28"/>
        </w:rPr>
        <w:t xml:space="preserve"> </w:t>
      </w:r>
    </w:p>
    <w:p>
      <w:pPr>
        <w:jc w:val="center"/>
      </w:pPr>
      <w:r>
        <w:rPr>
          <w:rFonts w:ascii="方正仿宋_GBK" w:hAnsi="方正仿宋_GBK" w:eastAsia="方正仿宋_GBK" w:cs="方正仿宋_GBK"/>
          <w:color w:val="000000"/>
          <w:sz w:val="28"/>
        </w:rPr>
        <w:t xml:space="preserve"> </w:t>
      </w:r>
    </w:p>
    <w:p>
      <w:pPr>
        <w:ind w:firstLine="560"/>
        <w:outlineLvl w:val="3"/>
      </w:pPr>
      <w:bookmarkStart w:id="42" w:name="_Toc_4_4_0000000032"/>
      <w:r>
        <w:rPr>
          <w:rFonts w:hint="eastAsia" w:ascii="方正仿宋_GBK" w:hAnsi="方正仿宋_GBK" w:eastAsia="方正仿宋_GBK" w:cs="方正仿宋_GBK"/>
          <w:color w:val="000000"/>
          <w:sz w:val="28"/>
        </w:rPr>
        <w:t>2</w:t>
      </w:r>
      <w:r>
        <w:rPr>
          <w:rFonts w:ascii="方正仿宋_GBK" w:hAnsi="方正仿宋_GBK" w:eastAsia="方正仿宋_GBK" w:cs="方正仿宋_GBK"/>
          <w:color w:val="000000"/>
          <w:sz w:val="28"/>
        </w:rPr>
        <w:t>.202</w:t>
      </w:r>
      <w:r>
        <w:rPr>
          <w:rFonts w:hint="eastAsia" w:ascii="方正仿宋_GBK" w:hAnsi="方正仿宋_GBK" w:eastAsia="方正仿宋_GBK" w:cs="方正仿宋_GBK"/>
          <w:color w:val="000000"/>
          <w:sz w:val="28"/>
        </w:rPr>
        <w:t>1</w:t>
      </w:r>
      <w:r>
        <w:rPr>
          <w:rFonts w:ascii="方正仿宋_GBK" w:hAnsi="方正仿宋_GBK" w:eastAsia="方正仿宋_GBK" w:cs="方正仿宋_GBK"/>
          <w:color w:val="000000"/>
          <w:sz w:val="28"/>
        </w:rPr>
        <w:t>年殡葬管理所自收自支人员工资、保险绩效目标表</w:t>
      </w:r>
      <w:bookmarkEnd w:id="42"/>
    </w:p>
    <w:tbl>
      <w:tblPr>
        <w:tblStyle w:val="8"/>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20"/>
            </w:pPr>
            <w:r>
              <w:t>314005宁晋县殡葬管理所</w:t>
            </w:r>
          </w:p>
        </w:tc>
        <w:tc>
          <w:tcPr>
            <w:tcW w:w="1843" w:type="dxa"/>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2608" w:type="dxa"/>
            <w:gridSpan w:val="2"/>
            <w:vAlign w:val="center"/>
          </w:tcPr>
          <w:p>
            <w:pPr>
              <w:pStyle w:val="18"/>
            </w:pPr>
            <w:r>
              <w:t>13052822P00929310002D</w:t>
            </w:r>
          </w:p>
        </w:tc>
        <w:tc>
          <w:tcPr>
            <w:tcW w:w="1587" w:type="dxa"/>
            <w:vAlign w:val="center"/>
          </w:tcPr>
          <w:p>
            <w:pPr>
              <w:pStyle w:val="17"/>
            </w:pPr>
            <w:r>
              <w:t>项目名称</w:t>
            </w:r>
          </w:p>
        </w:tc>
        <w:tc>
          <w:tcPr>
            <w:tcW w:w="4423" w:type="dxa"/>
            <w:gridSpan w:val="3"/>
            <w:vAlign w:val="center"/>
          </w:tcPr>
          <w:p>
            <w:pPr>
              <w:pStyle w:val="18"/>
            </w:pPr>
            <w:r>
              <w:t>202</w:t>
            </w:r>
            <w:r>
              <w:rPr>
                <w:rFonts w:hint="eastAsia"/>
                <w:lang w:eastAsia="zh-CN"/>
              </w:rPr>
              <w:t>1</w:t>
            </w:r>
            <w:r>
              <w:t>年殡葬管理所自收自支人员工资、保险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1276" w:type="dxa"/>
            <w:vAlign w:val="center"/>
          </w:tcPr>
          <w:p>
            <w:pPr>
              <w:pStyle w:val="17"/>
            </w:pPr>
            <w:r>
              <w:t>预算数</w:t>
            </w:r>
          </w:p>
        </w:tc>
        <w:tc>
          <w:tcPr>
            <w:tcW w:w="1332" w:type="dxa"/>
            <w:vAlign w:val="center"/>
          </w:tcPr>
          <w:p>
            <w:pPr>
              <w:pStyle w:val="18"/>
              <w:rPr>
                <w:lang w:eastAsia="zh-CN"/>
              </w:rPr>
            </w:pPr>
            <w:r>
              <w:t>82.5</w:t>
            </w:r>
            <w:r>
              <w:rPr>
                <w:rFonts w:hint="eastAsia"/>
                <w:lang w:eastAsia="zh-CN"/>
              </w:rPr>
              <w:t>5</w:t>
            </w:r>
          </w:p>
        </w:tc>
        <w:tc>
          <w:tcPr>
            <w:tcW w:w="1587" w:type="dxa"/>
            <w:vAlign w:val="center"/>
          </w:tcPr>
          <w:p>
            <w:pPr>
              <w:pStyle w:val="17"/>
            </w:pPr>
            <w:r>
              <w:t>其中：财政    资金</w:t>
            </w:r>
          </w:p>
        </w:tc>
        <w:tc>
          <w:tcPr>
            <w:tcW w:w="1304" w:type="dxa"/>
            <w:vAlign w:val="center"/>
          </w:tcPr>
          <w:p>
            <w:pPr>
              <w:pStyle w:val="18"/>
              <w:rPr>
                <w:lang w:eastAsia="zh-CN"/>
              </w:rPr>
            </w:pPr>
            <w:r>
              <w:t>82.5</w:t>
            </w:r>
            <w:r>
              <w:rPr>
                <w:rFonts w:hint="eastAsia"/>
                <w:lang w:eastAsia="zh-CN"/>
              </w:rPr>
              <w:t>5</w:t>
            </w:r>
          </w:p>
        </w:tc>
        <w:tc>
          <w:tcPr>
            <w:tcW w:w="1276" w:type="dxa"/>
            <w:vAlign w:val="center"/>
          </w:tcPr>
          <w:p>
            <w:pPr>
              <w:pStyle w:val="17"/>
            </w:pPr>
            <w:r>
              <w:t>其他资金</w:t>
            </w:r>
          </w:p>
        </w:tc>
        <w:tc>
          <w:tcPr>
            <w:tcW w:w="1843" w:type="dxa"/>
            <w:vAlign w:val="center"/>
          </w:tcPr>
          <w:p>
            <w:pPr>
              <w:pStyle w:val="1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8"/>
            </w:pPr>
            <w:r>
              <w:t>用于殡管所自收自支人员工资、保险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2608" w:type="dxa"/>
            <w:gridSpan w:val="2"/>
            <w:vAlign w:val="center"/>
          </w:tcPr>
          <w:p>
            <w:pPr>
              <w:pStyle w:val="17"/>
            </w:pPr>
            <w:r>
              <w:t>3月底</w:t>
            </w:r>
          </w:p>
        </w:tc>
        <w:tc>
          <w:tcPr>
            <w:tcW w:w="1587" w:type="dxa"/>
            <w:vAlign w:val="center"/>
          </w:tcPr>
          <w:p>
            <w:pPr>
              <w:pStyle w:val="17"/>
            </w:pPr>
            <w:r>
              <w:t>6月底</w:t>
            </w:r>
          </w:p>
        </w:tc>
        <w:tc>
          <w:tcPr>
            <w:tcW w:w="1304" w:type="dxa"/>
            <w:vAlign w:val="center"/>
          </w:tcPr>
          <w:p>
            <w:pPr>
              <w:pStyle w:val="17"/>
            </w:pPr>
            <w:r>
              <w:t>10月底</w:t>
            </w:r>
          </w:p>
        </w:tc>
        <w:tc>
          <w:tcPr>
            <w:tcW w:w="3119" w:type="dxa"/>
            <w:gridSpan w:val="2"/>
            <w:vAlign w:val="center"/>
          </w:tcPr>
          <w:p>
            <w:pPr>
              <w:pStyle w:val="1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9"/>
            </w:pPr>
            <w:r>
              <w:t>25%</w:t>
            </w:r>
          </w:p>
        </w:tc>
        <w:tc>
          <w:tcPr>
            <w:tcW w:w="1587" w:type="dxa"/>
            <w:vAlign w:val="center"/>
          </w:tcPr>
          <w:p>
            <w:pPr>
              <w:pStyle w:val="19"/>
            </w:pPr>
            <w:r>
              <w:t>50%</w:t>
            </w:r>
          </w:p>
        </w:tc>
        <w:tc>
          <w:tcPr>
            <w:tcW w:w="1304" w:type="dxa"/>
            <w:vAlign w:val="center"/>
          </w:tcPr>
          <w:p>
            <w:pPr>
              <w:pStyle w:val="19"/>
            </w:pPr>
            <w:r>
              <w:t>75%</w:t>
            </w:r>
          </w:p>
        </w:tc>
        <w:tc>
          <w:tcPr>
            <w:tcW w:w="3119" w:type="dxa"/>
            <w:gridSpan w:val="2"/>
            <w:vAlign w:val="center"/>
          </w:tcPr>
          <w:p>
            <w:pPr>
              <w:pStyle w:val="1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8618" w:type="dxa"/>
            <w:gridSpan w:val="6"/>
            <w:vAlign w:val="center"/>
          </w:tcPr>
          <w:p>
            <w:pPr>
              <w:pStyle w:val="18"/>
            </w:pPr>
            <w:r>
              <w:t>1.目标内容1</w:t>
            </w:r>
          </w:p>
        </w:tc>
      </w:tr>
    </w:tbl>
    <w:p>
      <w:pPr>
        <w:spacing w:line="2" w:lineRule="exact"/>
        <w:jc w:val="center"/>
      </w:pPr>
      <w:r>
        <w:rPr>
          <w:rFonts w:ascii="方正书宋_GBK" w:hAnsi="方正书宋_GBK" w:eastAsia="方正书宋_GBK" w:cs="方正书宋_GBK"/>
          <w:color w:val="000000"/>
        </w:rPr>
        <w:t xml:space="preserve"> </w:t>
      </w:r>
    </w:p>
    <w:tbl>
      <w:tblPr>
        <w:tblStyle w:val="8"/>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1276" w:type="dxa"/>
            <w:vAlign w:val="center"/>
          </w:tcPr>
          <w:p>
            <w:pPr>
              <w:pStyle w:val="17"/>
            </w:pPr>
            <w:r>
              <w:t>二级指标</w:t>
            </w:r>
          </w:p>
        </w:tc>
        <w:tc>
          <w:tcPr>
            <w:tcW w:w="1332" w:type="dxa"/>
            <w:vAlign w:val="center"/>
          </w:tcPr>
          <w:p>
            <w:pPr>
              <w:pStyle w:val="17"/>
            </w:pPr>
            <w:r>
              <w:t>三级指标</w:t>
            </w:r>
          </w:p>
        </w:tc>
        <w:tc>
          <w:tcPr>
            <w:tcW w:w="2891" w:type="dxa"/>
            <w:vAlign w:val="center"/>
          </w:tcPr>
          <w:p>
            <w:pPr>
              <w:pStyle w:val="17"/>
            </w:pPr>
            <w:r>
              <w:t>绩效指标描述</w:t>
            </w:r>
          </w:p>
        </w:tc>
        <w:tc>
          <w:tcPr>
            <w:tcW w:w="1276" w:type="dxa"/>
            <w:vAlign w:val="center"/>
          </w:tcPr>
          <w:p>
            <w:pPr>
              <w:pStyle w:val="17"/>
            </w:pPr>
            <w:r>
              <w:t>指标值</w:t>
            </w:r>
          </w:p>
        </w:tc>
        <w:tc>
          <w:tcPr>
            <w:tcW w:w="1843"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9"/>
            </w:pPr>
            <w:r>
              <w:t>产出指标</w:t>
            </w:r>
          </w:p>
        </w:tc>
        <w:tc>
          <w:tcPr>
            <w:tcW w:w="1276" w:type="dxa"/>
            <w:vAlign w:val="center"/>
          </w:tcPr>
          <w:p>
            <w:pPr>
              <w:pStyle w:val="18"/>
            </w:pPr>
            <w:r>
              <w:t>数量指标</w:t>
            </w:r>
          </w:p>
        </w:tc>
        <w:tc>
          <w:tcPr>
            <w:tcW w:w="1332" w:type="dxa"/>
            <w:vAlign w:val="center"/>
          </w:tcPr>
          <w:p>
            <w:pPr>
              <w:pStyle w:val="18"/>
            </w:pPr>
            <w:r>
              <w:t>保障单位人员工资发放的数量</w:t>
            </w:r>
          </w:p>
        </w:tc>
        <w:tc>
          <w:tcPr>
            <w:tcW w:w="2891" w:type="dxa"/>
            <w:vAlign w:val="center"/>
          </w:tcPr>
          <w:p>
            <w:pPr>
              <w:pStyle w:val="18"/>
            </w:pPr>
            <w:r>
              <w:t>保障单位人员工资发放的数量</w:t>
            </w:r>
          </w:p>
        </w:tc>
        <w:tc>
          <w:tcPr>
            <w:tcW w:w="1276" w:type="dxa"/>
            <w:vAlign w:val="center"/>
          </w:tcPr>
          <w:p>
            <w:pPr>
              <w:pStyle w:val="18"/>
            </w:pPr>
            <w:r>
              <w:t>11人</w:t>
            </w:r>
          </w:p>
        </w:tc>
        <w:tc>
          <w:tcPr>
            <w:tcW w:w="1843" w:type="dxa"/>
            <w:vAlign w:val="center"/>
          </w:tcPr>
          <w:p>
            <w:pPr>
              <w:pStyle w:val="18"/>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质量指标</w:t>
            </w:r>
          </w:p>
        </w:tc>
        <w:tc>
          <w:tcPr>
            <w:tcW w:w="1332" w:type="dxa"/>
            <w:vAlign w:val="center"/>
          </w:tcPr>
          <w:p>
            <w:pPr>
              <w:pStyle w:val="18"/>
            </w:pPr>
            <w:r>
              <w:t>工资发放计算准确率</w:t>
            </w:r>
          </w:p>
        </w:tc>
        <w:tc>
          <w:tcPr>
            <w:tcW w:w="2891" w:type="dxa"/>
            <w:vAlign w:val="center"/>
          </w:tcPr>
          <w:p>
            <w:pPr>
              <w:pStyle w:val="18"/>
            </w:pPr>
            <w:r>
              <w:t>实际发放工资额/应发放工资额*100%</w:t>
            </w:r>
          </w:p>
        </w:tc>
        <w:tc>
          <w:tcPr>
            <w:tcW w:w="1276" w:type="dxa"/>
            <w:vAlign w:val="center"/>
          </w:tcPr>
          <w:p>
            <w:pPr>
              <w:pStyle w:val="18"/>
            </w:pPr>
            <w:r>
              <w:t>≥100%</w:t>
            </w:r>
          </w:p>
        </w:tc>
        <w:tc>
          <w:tcPr>
            <w:tcW w:w="1843" w:type="dxa"/>
            <w:vAlign w:val="center"/>
          </w:tcPr>
          <w:p>
            <w:pPr>
              <w:pStyle w:val="18"/>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时效指标</w:t>
            </w:r>
          </w:p>
        </w:tc>
        <w:tc>
          <w:tcPr>
            <w:tcW w:w="1332" w:type="dxa"/>
            <w:vAlign w:val="center"/>
          </w:tcPr>
          <w:p>
            <w:pPr>
              <w:pStyle w:val="18"/>
            </w:pPr>
            <w:r>
              <w:t>按政策按时发放到位</w:t>
            </w:r>
          </w:p>
        </w:tc>
        <w:tc>
          <w:tcPr>
            <w:tcW w:w="2891" w:type="dxa"/>
            <w:vAlign w:val="center"/>
          </w:tcPr>
          <w:p>
            <w:pPr>
              <w:pStyle w:val="18"/>
            </w:pPr>
            <w:r>
              <w:t>实际按规定发放时间次数/全部发放次数</w:t>
            </w:r>
          </w:p>
        </w:tc>
        <w:tc>
          <w:tcPr>
            <w:tcW w:w="1276" w:type="dxa"/>
            <w:vAlign w:val="center"/>
          </w:tcPr>
          <w:p>
            <w:pPr>
              <w:pStyle w:val="18"/>
            </w:pPr>
            <w:r>
              <w:t>≥90%</w:t>
            </w:r>
          </w:p>
        </w:tc>
        <w:tc>
          <w:tcPr>
            <w:tcW w:w="1843" w:type="dxa"/>
            <w:vAlign w:val="center"/>
          </w:tcPr>
          <w:p>
            <w:pPr>
              <w:pStyle w:val="18"/>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成本指标</w:t>
            </w:r>
          </w:p>
        </w:tc>
        <w:tc>
          <w:tcPr>
            <w:tcW w:w="1332" w:type="dxa"/>
            <w:vAlign w:val="center"/>
          </w:tcPr>
          <w:p>
            <w:pPr>
              <w:pStyle w:val="18"/>
            </w:pPr>
            <w:r>
              <w:t>工资成本</w:t>
            </w:r>
          </w:p>
        </w:tc>
        <w:tc>
          <w:tcPr>
            <w:tcW w:w="2891" w:type="dxa"/>
            <w:vAlign w:val="center"/>
          </w:tcPr>
          <w:p>
            <w:pPr>
              <w:pStyle w:val="18"/>
            </w:pPr>
            <w:r>
              <w:t>人均经费达到政策要求</w:t>
            </w:r>
          </w:p>
        </w:tc>
        <w:tc>
          <w:tcPr>
            <w:tcW w:w="1276" w:type="dxa"/>
            <w:vAlign w:val="center"/>
          </w:tcPr>
          <w:p>
            <w:pPr>
              <w:pStyle w:val="18"/>
            </w:pPr>
            <w:r>
              <w:t>3000元/人</w:t>
            </w:r>
          </w:p>
        </w:tc>
        <w:tc>
          <w:tcPr>
            <w:tcW w:w="1843" w:type="dxa"/>
            <w:vAlign w:val="center"/>
          </w:tcPr>
          <w:p>
            <w:pPr>
              <w:pStyle w:val="18"/>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9"/>
            </w:pPr>
            <w:r>
              <w:t>效益指标</w:t>
            </w:r>
          </w:p>
        </w:tc>
        <w:tc>
          <w:tcPr>
            <w:tcW w:w="1276" w:type="dxa"/>
            <w:vAlign w:val="center"/>
          </w:tcPr>
          <w:p>
            <w:pPr>
              <w:pStyle w:val="18"/>
            </w:pPr>
            <w:r>
              <w:t>可持续影响指标</w:t>
            </w:r>
          </w:p>
        </w:tc>
        <w:tc>
          <w:tcPr>
            <w:tcW w:w="1332" w:type="dxa"/>
            <w:vAlign w:val="center"/>
          </w:tcPr>
          <w:p>
            <w:pPr>
              <w:pStyle w:val="18"/>
            </w:pPr>
            <w:r>
              <w:t>职工评价</w:t>
            </w:r>
          </w:p>
        </w:tc>
        <w:tc>
          <w:tcPr>
            <w:tcW w:w="2891" w:type="dxa"/>
            <w:vAlign w:val="center"/>
          </w:tcPr>
          <w:p>
            <w:pPr>
              <w:pStyle w:val="18"/>
            </w:pPr>
            <w:r>
              <w:t>职工对工资发放工作的评价</w:t>
            </w:r>
          </w:p>
        </w:tc>
        <w:tc>
          <w:tcPr>
            <w:tcW w:w="1276" w:type="dxa"/>
            <w:vAlign w:val="center"/>
          </w:tcPr>
          <w:p>
            <w:pPr>
              <w:pStyle w:val="18"/>
            </w:pPr>
            <w:r>
              <w:t>≥90%</w:t>
            </w:r>
          </w:p>
        </w:tc>
        <w:tc>
          <w:tcPr>
            <w:tcW w:w="1843" w:type="dxa"/>
            <w:vAlign w:val="center"/>
          </w:tcPr>
          <w:p>
            <w:pPr>
              <w:pStyle w:val="1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经济效益指标</w:t>
            </w:r>
          </w:p>
        </w:tc>
        <w:tc>
          <w:tcPr>
            <w:tcW w:w="1332" w:type="dxa"/>
            <w:vAlign w:val="center"/>
          </w:tcPr>
          <w:p>
            <w:pPr>
              <w:pStyle w:val="18"/>
            </w:pPr>
            <w:r>
              <w:t>重点工作完成率</w:t>
            </w:r>
          </w:p>
        </w:tc>
        <w:tc>
          <w:tcPr>
            <w:tcW w:w="2891" w:type="dxa"/>
            <w:vAlign w:val="center"/>
          </w:tcPr>
          <w:p>
            <w:pPr>
              <w:pStyle w:val="18"/>
            </w:pPr>
            <w:r>
              <w:t>重点工作完成的占全部重点工作的比率</w:t>
            </w:r>
          </w:p>
        </w:tc>
        <w:tc>
          <w:tcPr>
            <w:tcW w:w="1276" w:type="dxa"/>
            <w:vAlign w:val="center"/>
          </w:tcPr>
          <w:p>
            <w:pPr>
              <w:pStyle w:val="18"/>
            </w:pPr>
            <w:r>
              <w:t>≥100%</w:t>
            </w:r>
          </w:p>
        </w:tc>
        <w:tc>
          <w:tcPr>
            <w:tcW w:w="1843" w:type="dxa"/>
            <w:vAlign w:val="center"/>
          </w:tcPr>
          <w:p>
            <w:pPr>
              <w:pStyle w:val="18"/>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社会效益指标</w:t>
            </w:r>
          </w:p>
        </w:tc>
        <w:tc>
          <w:tcPr>
            <w:tcW w:w="1332" w:type="dxa"/>
            <w:vAlign w:val="center"/>
          </w:tcPr>
          <w:p>
            <w:pPr>
              <w:pStyle w:val="18"/>
            </w:pPr>
            <w:r>
              <w:t>年终考核成绩</w:t>
            </w:r>
          </w:p>
        </w:tc>
        <w:tc>
          <w:tcPr>
            <w:tcW w:w="2891" w:type="dxa"/>
            <w:vAlign w:val="center"/>
          </w:tcPr>
          <w:p>
            <w:pPr>
              <w:pStyle w:val="18"/>
            </w:pPr>
            <w:r>
              <w:t>单位人员年终考核成绩</w:t>
            </w:r>
          </w:p>
        </w:tc>
        <w:tc>
          <w:tcPr>
            <w:tcW w:w="1276" w:type="dxa"/>
            <w:vAlign w:val="center"/>
          </w:tcPr>
          <w:p>
            <w:pPr>
              <w:pStyle w:val="18"/>
            </w:pPr>
            <w:r>
              <w:t>全部良以上</w:t>
            </w:r>
          </w:p>
        </w:tc>
        <w:tc>
          <w:tcPr>
            <w:tcW w:w="1843" w:type="dxa"/>
            <w:vAlign w:val="center"/>
          </w:tcPr>
          <w:p>
            <w:pPr>
              <w:pStyle w:val="18"/>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8"/>
            </w:pPr>
            <w:r>
              <w:t>生态效益指标</w:t>
            </w:r>
          </w:p>
        </w:tc>
        <w:tc>
          <w:tcPr>
            <w:tcW w:w="1332" w:type="dxa"/>
            <w:vAlign w:val="center"/>
          </w:tcPr>
          <w:p>
            <w:pPr>
              <w:pStyle w:val="18"/>
            </w:pPr>
            <w:r>
              <w:t>生态保护影响力</w:t>
            </w:r>
          </w:p>
        </w:tc>
        <w:tc>
          <w:tcPr>
            <w:tcW w:w="2891" w:type="dxa"/>
            <w:vAlign w:val="center"/>
          </w:tcPr>
          <w:p>
            <w:pPr>
              <w:pStyle w:val="18"/>
            </w:pPr>
            <w:r>
              <w:t>保进本单位持续、稳定发展</w:t>
            </w:r>
          </w:p>
        </w:tc>
        <w:tc>
          <w:tcPr>
            <w:tcW w:w="1276" w:type="dxa"/>
            <w:vAlign w:val="center"/>
          </w:tcPr>
          <w:p>
            <w:pPr>
              <w:pStyle w:val="18"/>
            </w:pPr>
            <w:r>
              <w:t>全部良以上</w:t>
            </w:r>
          </w:p>
        </w:tc>
        <w:tc>
          <w:tcPr>
            <w:tcW w:w="1843" w:type="dxa"/>
            <w:vAlign w:val="center"/>
          </w:tcPr>
          <w:p>
            <w:pPr>
              <w:pStyle w:val="18"/>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9"/>
            </w:pPr>
            <w:r>
              <w:t>满意度指标</w:t>
            </w:r>
          </w:p>
        </w:tc>
        <w:tc>
          <w:tcPr>
            <w:tcW w:w="1276" w:type="dxa"/>
            <w:vAlign w:val="center"/>
          </w:tcPr>
          <w:p>
            <w:pPr>
              <w:pStyle w:val="18"/>
            </w:pPr>
            <w:r>
              <w:t>服务对象满意度指标</w:t>
            </w:r>
          </w:p>
        </w:tc>
        <w:tc>
          <w:tcPr>
            <w:tcW w:w="1332" w:type="dxa"/>
            <w:vAlign w:val="center"/>
          </w:tcPr>
          <w:p>
            <w:pPr>
              <w:pStyle w:val="18"/>
            </w:pPr>
            <w:r>
              <w:t>社会评价</w:t>
            </w:r>
          </w:p>
        </w:tc>
        <w:tc>
          <w:tcPr>
            <w:tcW w:w="2891" w:type="dxa"/>
            <w:vAlign w:val="center"/>
          </w:tcPr>
          <w:p>
            <w:pPr>
              <w:pStyle w:val="18"/>
            </w:pPr>
            <w:r>
              <w:t>社会公众满意度</w:t>
            </w:r>
          </w:p>
        </w:tc>
        <w:tc>
          <w:tcPr>
            <w:tcW w:w="1276" w:type="dxa"/>
            <w:vAlign w:val="center"/>
          </w:tcPr>
          <w:p>
            <w:pPr>
              <w:pStyle w:val="18"/>
            </w:pPr>
            <w:r>
              <w:t>≥90%</w:t>
            </w:r>
          </w:p>
        </w:tc>
        <w:tc>
          <w:tcPr>
            <w:tcW w:w="1843" w:type="dxa"/>
            <w:vAlign w:val="center"/>
          </w:tcPr>
          <w:p>
            <w:pPr>
              <w:pStyle w:val="18"/>
            </w:pPr>
            <w:r>
              <w:t>调查问卷</w:t>
            </w:r>
          </w:p>
        </w:tc>
      </w:tr>
    </w:tbl>
    <w:p/>
    <w:p/>
    <w:p/>
    <w:p>
      <w:pPr>
        <w:spacing w:line="560" w:lineRule="exact"/>
        <w:ind w:firstLine="630" w:firstLineChars="196"/>
        <w:rPr>
          <w:rFonts w:ascii="宋体" w:hAnsi="宋体" w:cs="FZFSK--GBK1-0"/>
          <w:b/>
          <w:kern w:val="0"/>
          <w:sz w:val="32"/>
          <w:szCs w:val="32"/>
        </w:rPr>
      </w:pPr>
    </w:p>
    <w:p>
      <w:pPr>
        <w:spacing w:line="560" w:lineRule="exact"/>
        <w:ind w:firstLine="630" w:firstLineChars="196"/>
        <w:rPr>
          <w:rFonts w:ascii="宋体" w:hAnsi="宋体" w:cs="FZFSK--GBK1-0"/>
          <w:b/>
          <w:kern w:val="0"/>
          <w:sz w:val="32"/>
          <w:szCs w:val="32"/>
        </w:rPr>
      </w:pPr>
    </w:p>
    <w:p>
      <w:pPr>
        <w:spacing w:line="560" w:lineRule="exact"/>
        <w:ind w:firstLine="630" w:firstLineChars="196"/>
        <w:rPr>
          <w:rFonts w:ascii="宋体" w:hAnsi="宋体" w:cs="FZFSK--GBK1-0"/>
          <w:b/>
          <w:kern w:val="0"/>
          <w:sz w:val="32"/>
          <w:szCs w:val="32"/>
        </w:rPr>
      </w:pPr>
    </w:p>
    <w:p>
      <w:pPr>
        <w:spacing w:line="560" w:lineRule="exact"/>
        <w:ind w:firstLine="630" w:firstLineChars="196"/>
        <w:rPr>
          <w:rFonts w:ascii="宋体" w:hAnsi="宋体" w:cs="FZFSK--GBK1-0"/>
          <w:b/>
          <w:kern w:val="0"/>
          <w:sz w:val="32"/>
          <w:szCs w:val="32"/>
        </w:rPr>
      </w:pPr>
    </w:p>
    <w:p>
      <w:pPr>
        <w:spacing w:line="560" w:lineRule="exact"/>
        <w:ind w:firstLine="630" w:firstLineChars="196"/>
        <w:rPr>
          <w:rFonts w:ascii="宋体" w:hAnsi="宋体" w:cs="FZFSK--GBK1-0"/>
          <w:b/>
          <w:kern w:val="0"/>
          <w:sz w:val="32"/>
          <w:szCs w:val="32"/>
        </w:rPr>
      </w:pPr>
    </w:p>
    <w:p>
      <w:pPr>
        <w:spacing w:line="560" w:lineRule="exact"/>
        <w:ind w:firstLine="643" w:firstLineChars="200"/>
        <w:rPr>
          <w:rFonts w:ascii="宋体" w:hAnsi="宋体" w:cs="FZFSK--GBK1-0"/>
          <w:b/>
          <w:kern w:val="0"/>
          <w:sz w:val="32"/>
          <w:szCs w:val="32"/>
        </w:rPr>
      </w:pPr>
      <w:r>
        <w:rPr>
          <w:rFonts w:hint="eastAsia" w:ascii="宋体" w:hAnsi="宋体" w:cs="FZFSK--GBK1-0"/>
          <w:b/>
          <w:kern w:val="0"/>
          <w:sz w:val="32"/>
          <w:szCs w:val="32"/>
        </w:rPr>
        <w:t>六、政府采购预算情况</w:t>
      </w:r>
    </w:p>
    <w:p>
      <w:pPr>
        <w:spacing w:line="560" w:lineRule="exact"/>
        <w:ind w:firstLine="630" w:firstLineChars="196"/>
        <w:rPr>
          <w:rFonts w:ascii="宋体" w:hAnsi="宋体" w:cs="FZFSK--GBK1-0"/>
          <w:b/>
          <w:kern w:val="0"/>
          <w:sz w:val="32"/>
          <w:szCs w:val="32"/>
        </w:rPr>
      </w:pPr>
      <w:r>
        <w:rPr>
          <w:rFonts w:hint="eastAsia" w:ascii="宋体" w:hAnsi="宋体" w:cs="FZFSK--GBK1-0"/>
          <w:b/>
          <w:kern w:val="0"/>
          <w:sz w:val="32"/>
          <w:szCs w:val="32"/>
        </w:rPr>
        <w:t>2021年我单位无政府采购项目</w:t>
      </w:r>
    </w:p>
    <w:p>
      <w:pPr>
        <w:spacing w:line="560" w:lineRule="exact"/>
        <w:ind w:firstLine="630" w:firstLineChars="196"/>
        <w:rPr>
          <w:rFonts w:ascii="宋体" w:hAnsi="宋体" w:cs="FZFSK--GBK1-0"/>
          <w:b/>
          <w:kern w:val="0"/>
          <w:sz w:val="32"/>
          <w:szCs w:val="32"/>
        </w:rPr>
      </w:pPr>
      <w:r>
        <w:rPr>
          <w:rFonts w:hint="eastAsia" w:ascii="宋体" w:hAnsi="宋体" w:cs="FZFSK--GBK1-0"/>
          <w:b/>
          <w:kern w:val="0"/>
          <w:sz w:val="32"/>
          <w:szCs w:val="32"/>
        </w:rPr>
        <w:t>七、 国有资产信息</w:t>
      </w:r>
    </w:p>
    <w:p>
      <w:pPr>
        <w:spacing w:line="560" w:lineRule="exact"/>
        <w:rPr>
          <w:rFonts w:ascii="宋体" w:hAnsi="宋体" w:cs="FZFSK--GBK1-0"/>
          <w:b/>
          <w:kern w:val="0"/>
          <w:sz w:val="32"/>
          <w:szCs w:val="32"/>
        </w:rPr>
      </w:pPr>
      <w:r>
        <w:rPr>
          <w:rFonts w:hint="eastAsia" w:ascii="宋体" w:hAnsi="宋体" w:cs="宋体"/>
          <w:color w:val="000000"/>
          <w:kern w:val="0"/>
          <w:sz w:val="32"/>
          <w:szCs w:val="32"/>
        </w:rPr>
        <w:t>我单位2021年末固定资产金额为</w:t>
      </w:r>
      <w:r>
        <w:rPr>
          <w:rFonts w:hint="eastAsia" w:ascii="仿宋_GB2312"/>
          <w:color w:val="000000"/>
          <w:sz w:val="32"/>
          <w:szCs w:val="32"/>
        </w:rPr>
        <w:t>1117.31万元，详见下表。</w:t>
      </w:r>
    </w:p>
    <w:tbl>
      <w:tblPr>
        <w:tblStyle w:val="8"/>
        <w:tblW w:w="8216" w:type="dxa"/>
        <w:tblInd w:w="93" w:type="dxa"/>
        <w:tblLayout w:type="fixed"/>
        <w:tblCellMar>
          <w:top w:w="0" w:type="dxa"/>
          <w:left w:w="108" w:type="dxa"/>
          <w:bottom w:w="0" w:type="dxa"/>
          <w:right w:w="108" w:type="dxa"/>
        </w:tblCellMar>
      </w:tblPr>
      <w:tblGrid>
        <w:gridCol w:w="3054"/>
        <w:gridCol w:w="2108"/>
        <w:gridCol w:w="3054"/>
      </w:tblGrid>
      <w:tr>
        <w:tblPrEx>
          <w:tblCellMar>
            <w:top w:w="0" w:type="dxa"/>
            <w:left w:w="108" w:type="dxa"/>
            <w:bottom w:w="0" w:type="dxa"/>
            <w:right w:w="108" w:type="dxa"/>
          </w:tblCellMar>
        </w:tblPrEx>
        <w:trPr>
          <w:trHeight w:val="708" w:hRule="atLeast"/>
        </w:trPr>
        <w:tc>
          <w:tcPr>
            <w:tcW w:w="305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项目</w:t>
            </w:r>
          </w:p>
        </w:tc>
        <w:tc>
          <w:tcPr>
            <w:tcW w:w="2108"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数量</w:t>
            </w:r>
          </w:p>
        </w:tc>
        <w:tc>
          <w:tcPr>
            <w:tcW w:w="3054"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价值（金额单位：万元）</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固定资产总额</w:t>
            </w:r>
          </w:p>
        </w:tc>
        <w:tc>
          <w:tcPr>
            <w:tcW w:w="210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w:t>
            </w:r>
          </w:p>
        </w:tc>
        <w:tc>
          <w:tcPr>
            <w:tcW w:w="305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b/>
                <w:bCs/>
                <w:kern w:val="0"/>
                <w:sz w:val="20"/>
                <w:szCs w:val="20"/>
              </w:rPr>
            </w:pPr>
            <w:r>
              <w:rPr>
                <w:rFonts w:hint="eastAsia" w:ascii="宋体" w:hAnsi="宋体" w:cs="宋体"/>
                <w:b/>
                <w:bCs/>
                <w:kern w:val="0"/>
                <w:sz w:val="20"/>
                <w:szCs w:val="20"/>
              </w:rPr>
              <w:t>1117.31</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1.房屋（平方米）</w:t>
            </w:r>
          </w:p>
        </w:tc>
        <w:tc>
          <w:tcPr>
            <w:tcW w:w="210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3508</w:t>
            </w:r>
          </w:p>
        </w:tc>
        <w:tc>
          <w:tcPr>
            <w:tcW w:w="305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503.46</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ind w:firstLine="400" w:firstLineChars="200"/>
              <w:jc w:val="left"/>
              <w:rPr>
                <w:rFonts w:ascii="宋体" w:hAnsi="宋体" w:cs="宋体"/>
                <w:kern w:val="0"/>
                <w:sz w:val="20"/>
                <w:szCs w:val="20"/>
              </w:rPr>
            </w:pPr>
            <w:r>
              <w:rPr>
                <w:rFonts w:hint="eastAsia" w:ascii="宋体" w:hAnsi="宋体" w:cs="宋体"/>
                <w:kern w:val="0"/>
                <w:sz w:val="20"/>
                <w:szCs w:val="20"/>
              </w:rPr>
              <w:t>其中：办公用房</w:t>
            </w:r>
          </w:p>
        </w:tc>
        <w:tc>
          <w:tcPr>
            <w:tcW w:w="210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724</w:t>
            </w:r>
          </w:p>
        </w:tc>
        <w:tc>
          <w:tcPr>
            <w:tcW w:w="3054" w:type="dxa"/>
            <w:tcBorders>
              <w:top w:val="nil"/>
              <w:left w:val="nil"/>
              <w:bottom w:val="single" w:color="auto" w:sz="4" w:space="0"/>
              <w:right w:val="single" w:color="auto" w:sz="4" w:space="0"/>
            </w:tcBorders>
            <w:shd w:val="clear" w:color="auto" w:fill="auto"/>
            <w:vAlign w:val="bottom"/>
          </w:tcPr>
          <w:p>
            <w:pPr>
              <w:widowControl/>
              <w:jc w:val="right"/>
              <w:rPr>
                <w:rFonts w:cs="Calibri"/>
                <w:kern w:val="0"/>
                <w:szCs w:val="21"/>
              </w:rPr>
            </w:pPr>
            <w:r>
              <w:rPr>
                <w:rFonts w:hint="eastAsia" w:cs="Calibri"/>
                <w:kern w:val="0"/>
                <w:szCs w:val="21"/>
              </w:rPr>
              <w:t>38.26</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2.车辆（台、辆）</w:t>
            </w:r>
          </w:p>
        </w:tc>
        <w:tc>
          <w:tcPr>
            <w:tcW w:w="210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9</w:t>
            </w:r>
          </w:p>
        </w:tc>
        <w:tc>
          <w:tcPr>
            <w:tcW w:w="305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136.7</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3.通用设备</w:t>
            </w:r>
          </w:p>
        </w:tc>
        <w:tc>
          <w:tcPr>
            <w:tcW w:w="210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44</w:t>
            </w:r>
          </w:p>
        </w:tc>
        <w:tc>
          <w:tcPr>
            <w:tcW w:w="305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20.67</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4.专用设备</w:t>
            </w:r>
          </w:p>
        </w:tc>
        <w:tc>
          <w:tcPr>
            <w:tcW w:w="210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45</w:t>
            </w:r>
          </w:p>
        </w:tc>
        <w:tc>
          <w:tcPr>
            <w:tcW w:w="305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447.3</w:t>
            </w:r>
          </w:p>
        </w:tc>
      </w:tr>
      <w:tr>
        <w:tblPrEx>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5.家具用品</w:t>
            </w:r>
          </w:p>
        </w:tc>
        <w:tc>
          <w:tcPr>
            <w:tcW w:w="210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 xml:space="preserve">              218</w:t>
            </w:r>
          </w:p>
        </w:tc>
        <w:tc>
          <w:tcPr>
            <w:tcW w:w="305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9.18</w:t>
            </w:r>
          </w:p>
        </w:tc>
      </w:tr>
    </w:tbl>
    <w:p>
      <w:pPr>
        <w:spacing w:line="560" w:lineRule="exact"/>
        <w:ind w:firstLine="720"/>
        <w:rPr>
          <w:rFonts w:ascii="宋体" w:hAnsi="宋体" w:cs="FZFSK--GBK1-0"/>
          <w:b/>
          <w:kern w:val="0"/>
          <w:sz w:val="32"/>
          <w:szCs w:val="32"/>
        </w:rPr>
      </w:pPr>
    </w:p>
    <w:p>
      <w:pPr>
        <w:spacing w:line="560" w:lineRule="exact"/>
        <w:ind w:firstLine="803" w:firstLineChars="250"/>
        <w:rPr>
          <w:rFonts w:ascii="宋体" w:hAnsi="宋体" w:cs="FZFSK--GBK1-0"/>
          <w:b/>
          <w:kern w:val="0"/>
          <w:sz w:val="32"/>
          <w:szCs w:val="32"/>
        </w:rPr>
      </w:pPr>
      <w:r>
        <w:rPr>
          <w:rFonts w:hint="eastAsia" w:ascii="宋体" w:hAnsi="宋体" w:cs="FZFSK--GBK1-0"/>
          <w:b/>
          <w:kern w:val="0"/>
          <w:sz w:val="32"/>
          <w:szCs w:val="32"/>
        </w:rPr>
        <w:t>八、名词解释</w:t>
      </w:r>
    </w:p>
    <w:p>
      <w:pPr>
        <w:spacing w:line="500" w:lineRule="exact"/>
        <w:ind w:firstLine="560"/>
        <w:rPr>
          <w:rFonts w:ascii="宋体" w:hAnsi="宋体"/>
          <w:sz w:val="30"/>
          <w:szCs w:val="30"/>
        </w:rPr>
      </w:pPr>
      <w:r>
        <w:rPr>
          <w:rFonts w:hint="eastAsia" w:ascii="宋体" w:hAnsi="宋体"/>
          <w:color w:val="000000"/>
          <w:sz w:val="30"/>
          <w:szCs w:val="30"/>
        </w:rPr>
        <w:t>1、</w:t>
      </w:r>
      <w:r>
        <w:rPr>
          <w:rFonts w:hint="eastAsia" w:ascii="宋体" w:hAnsi="宋体"/>
          <w:b/>
          <w:color w:val="000000"/>
          <w:sz w:val="30"/>
          <w:szCs w:val="30"/>
        </w:rPr>
        <w:t>一般公共预算拨款收入：</w:t>
      </w:r>
      <w:r>
        <w:rPr>
          <w:rFonts w:hint="eastAsia" w:ascii="宋体" w:hAnsi="宋体"/>
          <w:color w:val="000000"/>
          <w:sz w:val="30"/>
          <w:szCs w:val="30"/>
        </w:rPr>
        <w:t>指省级财政当年拨付的资金。</w:t>
      </w:r>
    </w:p>
    <w:p>
      <w:pPr>
        <w:spacing w:line="500" w:lineRule="exact"/>
        <w:ind w:firstLine="560"/>
        <w:rPr>
          <w:rFonts w:ascii="宋体" w:hAnsi="宋体"/>
          <w:sz w:val="30"/>
          <w:szCs w:val="30"/>
        </w:rPr>
      </w:pPr>
      <w:r>
        <w:rPr>
          <w:rFonts w:hint="eastAsia" w:ascii="宋体" w:hAnsi="宋体"/>
          <w:color w:val="000000"/>
          <w:sz w:val="30"/>
          <w:szCs w:val="30"/>
        </w:rPr>
        <w:t>2、</w:t>
      </w:r>
      <w:r>
        <w:rPr>
          <w:rFonts w:hint="eastAsia" w:ascii="宋体" w:hAnsi="宋体"/>
          <w:b/>
          <w:color w:val="000000"/>
          <w:sz w:val="30"/>
          <w:szCs w:val="30"/>
        </w:rPr>
        <w:t>事业收入：</w:t>
      </w:r>
      <w:r>
        <w:rPr>
          <w:rFonts w:hint="eastAsia" w:ascii="宋体" w:hAnsi="宋体"/>
          <w:color w:val="000000"/>
          <w:sz w:val="30"/>
          <w:szCs w:val="30"/>
        </w:rPr>
        <w:t>指事业单位开展专业业务活动及辅助活动所取得的收入。</w:t>
      </w:r>
    </w:p>
    <w:p>
      <w:pPr>
        <w:spacing w:line="500" w:lineRule="exact"/>
        <w:ind w:firstLine="560"/>
        <w:rPr>
          <w:rFonts w:ascii="宋体" w:hAnsi="宋体"/>
          <w:sz w:val="30"/>
          <w:szCs w:val="30"/>
        </w:rPr>
      </w:pPr>
      <w:r>
        <w:rPr>
          <w:rFonts w:hint="eastAsia" w:ascii="宋体" w:hAnsi="宋体"/>
          <w:color w:val="000000"/>
          <w:sz w:val="30"/>
          <w:szCs w:val="30"/>
        </w:rPr>
        <w:t>3、</w:t>
      </w:r>
      <w:r>
        <w:rPr>
          <w:rFonts w:hint="eastAsia" w:ascii="宋体" w:hAnsi="宋体"/>
          <w:b/>
          <w:color w:val="000000"/>
          <w:sz w:val="30"/>
          <w:szCs w:val="30"/>
        </w:rPr>
        <w:t>其他收入：</w:t>
      </w:r>
      <w:r>
        <w:rPr>
          <w:rFonts w:hint="eastAsia" w:ascii="宋体" w:hAnsi="宋体"/>
          <w:color w:val="000000"/>
          <w:sz w:val="30"/>
          <w:szCs w:val="30"/>
        </w:rPr>
        <w:t>指除“一般公共预算拨款收入”、“事业收入”等以外的收入。主要是按规定动用的租房收入、存款利息收入等。</w:t>
      </w:r>
    </w:p>
    <w:p>
      <w:pPr>
        <w:spacing w:line="500" w:lineRule="exact"/>
        <w:ind w:firstLine="560"/>
        <w:rPr>
          <w:rFonts w:ascii="宋体" w:hAnsi="宋体"/>
          <w:sz w:val="30"/>
          <w:szCs w:val="30"/>
        </w:rPr>
      </w:pPr>
      <w:r>
        <w:rPr>
          <w:rFonts w:hint="eastAsia" w:ascii="宋体" w:hAnsi="宋体"/>
          <w:color w:val="000000"/>
          <w:sz w:val="30"/>
          <w:szCs w:val="30"/>
        </w:rPr>
        <w:t>4、</w:t>
      </w:r>
      <w:r>
        <w:rPr>
          <w:rFonts w:hint="eastAsia" w:ascii="宋体" w:hAnsi="宋体"/>
          <w:b/>
          <w:color w:val="000000"/>
          <w:sz w:val="30"/>
          <w:szCs w:val="30"/>
        </w:rPr>
        <w:t>基本支出：</w:t>
      </w:r>
      <w:r>
        <w:rPr>
          <w:rFonts w:hint="eastAsia" w:ascii="宋体" w:hAnsi="宋体"/>
          <w:color w:val="000000"/>
          <w:sz w:val="30"/>
          <w:szCs w:val="30"/>
        </w:rPr>
        <w:t>指为保障机构正常运转、完成日常工作任务而发生的人员支出和公用支出。</w:t>
      </w:r>
    </w:p>
    <w:p>
      <w:pPr>
        <w:spacing w:line="500" w:lineRule="exact"/>
        <w:ind w:firstLine="560"/>
        <w:rPr>
          <w:rFonts w:ascii="宋体" w:hAnsi="宋体"/>
          <w:sz w:val="30"/>
          <w:szCs w:val="30"/>
        </w:rPr>
      </w:pPr>
      <w:r>
        <w:rPr>
          <w:rFonts w:hint="eastAsia" w:ascii="宋体" w:hAnsi="宋体"/>
          <w:color w:val="000000"/>
          <w:sz w:val="30"/>
          <w:szCs w:val="30"/>
        </w:rPr>
        <w:t>5、</w:t>
      </w:r>
      <w:r>
        <w:rPr>
          <w:rFonts w:hint="eastAsia" w:ascii="宋体" w:hAnsi="宋体"/>
          <w:b/>
          <w:color w:val="000000"/>
          <w:sz w:val="30"/>
          <w:szCs w:val="30"/>
        </w:rPr>
        <w:t>项目支出：</w:t>
      </w:r>
      <w:r>
        <w:rPr>
          <w:rFonts w:hint="eastAsia" w:ascii="宋体" w:hAnsi="宋体"/>
          <w:color w:val="000000"/>
          <w:sz w:val="30"/>
          <w:szCs w:val="30"/>
        </w:rPr>
        <w:t>指在基本支出之外为完成特定行政任务和事业发展目标所发生的支出。</w:t>
      </w:r>
    </w:p>
    <w:p>
      <w:pPr>
        <w:spacing w:line="500" w:lineRule="exact"/>
        <w:ind w:firstLine="560"/>
        <w:rPr>
          <w:rFonts w:ascii="宋体" w:hAnsi="宋体"/>
          <w:sz w:val="30"/>
          <w:szCs w:val="30"/>
        </w:rPr>
      </w:pPr>
      <w:r>
        <w:rPr>
          <w:rFonts w:hint="eastAsia" w:ascii="宋体" w:hAnsi="宋体"/>
          <w:color w:val="000000"/>
          <w:sz w:val="30"/>
          <w:szCs w:val="30"/>
        </w:rPr>
        <w:t>6、</w:t>
      </w:r>
      <w:r>
        <w:rPr>
          <w:rFonts w:hint="eastAsia" w:ascii="宋体" w:hAnsi="宋体"/>
          <w:b/>
          <w:color w:val="000000"/>
          <w:sz w:val="30"/>
          <w:szCs w:val="30"/>
        </w:rPr>
        <w:t>上缴上级支出：</w:t>
      </w:r>
      <w:r>
        <w:rPr>
          <w:rFonts w:hint="eastAsia" w:ascii="宋体" w:hAnsi="宋体"/>
          <w:color w:val="000000"/>
          <w:sz w:val="30"/>
          <w:szCs w:val="30"/>
        </w:rPr>
        <w:t>指下级单位上缴上级的支出。</w:t>
      </w:r>
    </w:p>
    <w:p>
      <w:pPr>
        <w:spacing w:line="500" w:lineRule="exact"/>
        <w:ind w:firstLine="560"/>
        <w:rPr>
          <w:rFonts w:ascii="宋体" w:hAnsi="宋体"/>
          <w:sz w:val="30"/>
          <w:szCs w:val="30"/>
        </w:rPr>
      </w:pPr>
      <w:r>
        <w:rPr>
          <w:rFonts w:hint="eastAsia" w:ascii="宋体" w:hAnsi="宋体"/>
          <w:color w:val="000000"/>
          <w:sz w:val="30"/>
          <w:szCs w:val="30"/>
        </w:rPr>
        <w:t>7、</w:t>
      </w:r>
      <w:r>
        <w:rPr>
          <w:rFonts w:hint="eastAsia" w:ascii="宋体" w:hAnsi="宋体"/>
          <w:b/>
          <w:color w:val="000000"/>
          <w:sz w:val="30"/>
          <w:szCs w:val="30"/>
        </w:rPr>
        <w:t>“三公”经费：</w:t>
      </w:r>
      <w:r>
        <w:rPr>
          <w:rFonts w:hint="eastAsia" w:ascii="宋体" w:hAnsi="宋体"/>
          <w:color w:val="000000"/>
          <w:sz w:val="30"/>
          <w:szCs w:val="30"/>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ascii="宋体" w:hAnsi="宋体"/>
          <w:sz w:val="30"/>
          <w:szCs w:val="30"/>
        </w:rPr>
      </w:pPr>
      <w:r>
        <w:rPr>
          <w:rFonts w:hint="eastAsia" w:ascii="宋体" w:hAnsi="宋体"/>
          <w:color w:val="000000"/>
          <w:sz w:val="30"/>
          <w:szCs w:val="30"/>
        </w:rPr>
        <w:t>8、</w:t>
      </w:r>
      <w:r>
        <w:rPr>
          <w:rFonts w:hint="eastAsia" w:ascii="宋体" w:hAnsi="宋体"/>
          <w:b/>
          <w:color w:val="000000"/>
          <w:sz w:val="30"/>
          <w:szCs w:val="30"/>
        </w:rPr>
        <w:t>机关运行费：</w:t>
      </w:r>
      <w:r>
        <w:rPr>
          <w:rFonts w:hint="eastAsia" w:ascii="宋体" w:hAnsi="宋体"/>
          <w:color w:val="000000"/>
          <w:sz w:val="30"/>
          <w:szCs w:val="30"/>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ascii="宋体" w:hAnsi="宋体"/>
          <w:sz w:val="30"/>
          <w:szCs w:val="30"/>
        </w:rPr>
      </w:pPr>
      <w:r>
        <w:rPr>
          <w:rFonts w:hint="eastAsia" w:ascii="宋体" w:hAnsi="宋体"/>
          <w:color w:val="000000"/>
          <w:sz w:val="30"/>
          <w:szCs w:val="30"/>
        </w:rPr>
        <w:t>9、</w:t>
      </w:r>
      <w:r>
        <w:rPr>
          <w:rFonts w:hint="eastAsia" w:ascii="宋体" w:hAnsi="宋体"/>
          <w:b/>
          <w:color w:val="000000"/>
          <w:sz w:val="30"/>
          <w:szCs w:val="30"/>
        </w:rPr>
        <w:t>上年结转：</w:t>
      </w:r>
      <w:r>
        <w:rPr>
          <w:rFonts w:hint="eastAsia" w:ascii="宋体" w:hAnsi="宋体"/>
          <w:color w:val="000000"/>
          <w:sz w:val="30"/>
          <w:szCs w:val="30"/>
        </w:rPr>
        <w:t>指以前年度尚未完成、结转到本年仍按原规定用途继续使用的资金。</w:t>
      </w:r>
    </w:p>
    <w:p>
      <w:pPr>
        <w:spacing w:line="500" w:lineRule="exact"/>
        <w:ind w:firstLine="560"/>
        <w:rPr>
          <w:rFonts w:ascii="宋体" w:hAnsi="宋体"/>
          <w:sz w:val="30"/>
          <w:szCs w:val="30"/>
        </w:rPr>
      </w:pPr>
      <w:r>
        <w:rPr>
          <w:rFonts w:hint="eastAsia" w:ascii="宋体" w:hAnsi="宋体"/>
          <w:color w:val="000000"/>
          <w:sz w:val="30"/>
          <w:szCs w:val="30"/>
        </w:rPr>
        <w:t>10、</w:t>
      </w:r>
      <w:r>
        <w:rPr>
          <w:rFonts w:hint="eastAsia" w:ascii="宋体" w:hAnsi="宋体"/>
          <w:b/>
          <w:color w:val="000000"/>
          <w:sz w:val="30"/>
          <w:szCs w:val="30"/>
        </w:rPr>
        <w:t>事业单位经营支出：</w:t>
      </w:r>
      <w:r>
        <w:rPr>
          <w:rFonts w:hint="eastAsia" w:ascii="宋体" w:hAnsi="宋体"/>
          <w:color w:val="000000"/>
          <w:sz w:val="30"/>
          <w:szCs w:val="30"/>
        </w:rPr>
        <w:t>指事业单位在专业业务活动及其辅助活动之外开展非独立核算经营活动发生的支出。</w:t>
      </w:r>
    </w:p>
    <w:p>
      <w:pPr>
        <w:spacing w:before="10" w:after="10"/>
        <w:ind w:firstLine="640"/>
        <w:outlineLvl w:val="5"/>
        <w:rPr>
          <w:rFonts w:ascii="宋体" w:hAnsi="宋体"/>
          <w:b/>
          <w:sz w:val="30"/>
          <w:szCs w:val="30"/>
        </w:rPr>
      </w:pPr>
      <w:r>
        <w:rPr>
          <w:rFonts w:hint="eastAsia" w:ascii="宋体" w:hAnsi="宋体" w:cs="黑体"/>
          <w:b/>
          <w:color w:val="000000"/>
          <w:sz w:val="30"/>
          <w:szCs w:val="30"/>
        </w:rPr>
        <w:t>九、其他需要说明的事项</w:t>
      </w:r>
    </w:p>
    <w:p>
      <w:pPr>
        <w:ind w:firstLine="600" w:firstLineChars="200"/>
        <w:rPr>
          <w:rFonts w:ascii="宋体" w:hAnsi="宋体"/>
          <w:sz w:val="30"/>
          <w:szCs w:val="30"/>
        </w:rPr>
      </w:pPr>
      <w:r>
        <w:rPr>
          <w:rFonts w:hint="eastAsia" w:ascii="宋体" w:hAnsi="宋体"/>
          <w:color w:val="000000"/>
          <w:sz w:val="30"/>
          <w:szCs w:val="30"/>
        </w:rPr>
        <w:t>我单位无其他需要说明的事项。</w:t>
      </w:r>
    </w:p>
    <w:p/>
    <w:p>
      <w:pPr>
        <w:ind w:firstLine="630" w:firstLineChars="196"/>
        <w:rPr>
          <w:rFonts w:hint="eastAsia" w:asciiTheme="minorEastAsia" w:hAnsiTheme="minorEastAsia"/>
          <w:b/>
          <w:sz w:val="32"/>
          <w:szCs w:val="32"/>
        </w:rPr>
      </w:pPr>
    </w:p>
    <w:sectPr>
      <w:pgSz w:w="16838" w:h="11906" w:orient="landscape"/>
      <w:pgMar w:top="1800" w:right="1440" w:bottom="1800" w:left="144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宋体-方正超大字符集">
    <w:altName w:val="宋体"/>
    <w:panose1 w:val="00000000000000000000"/>
    <w:charset w:val="86"/>
    <w:family w:val="auto"/>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FZFSK--GBK1-0">
    <w:altName w:val="黑体"/>
    <w:panose1 w:val="00000000000000000000"/>
    <w:charset w:val="86"/>
    <w:family w:val="auto"/>
    <w:pitch w:val="default"/>
    <w:sig w:usb0="00000000" w:usb1="00000000" w:usb2="0000001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TU1OWJkZGEzOTk4ZGE3ZDhhYzAxY2Y1NjAyODY3YTAifQ=="/>
  </w:docVars>
  <w:rsids>
    <w:rsidRoot w:val="7F936F8B"/>
    <w:rsid w:val="00353D5B"/>
    <w:rsid w:val="003717E4"/>
    <w:rsid w:val="00384FC3"/>
    <w:rsid w:val="00395A5A"/>
    <w:rsid w:val="00402617"/>
    <w:rsid w:val="00411B65"/>
    <w:rsid w:val="0047461B"/>
    <w:rsid w:val="00496427"/>
    <w:rsid w:val="004D4AD9"/>
    <w:rsid w:val="006173B8"/>
    <w:rsid w:val="0066357D"/>
    <w:rsid w:val="007C05C1"/>
    <w:rsid w:val="008103FE"/>
    <w:rsid w:val="008846C8"/>
    <w:rsid w:val="008D13C6"/>
    <w:rsid w:val="00A64698"/>
    <w:rsid w:val="00A83D7E"/>
    <w:rsid w:val="00A87023"/>
    <w:rsid w:val="00AB2D8B"/>
    <w:rsid w:val="00C256BB"/>
    <w:rsid w:val="00C7781A"/>
    <w:rsid w:val="00C9229A"/>
    <w:rsid w:val="00D11CB7"/>
    <w:rsid w:val="00D81927"/>
    <w:rsid w:val="00DB1D59"/>
    <w:rsid w:val="00DE057B"/>
    <w:rsid w:val="00DF0494"/>
    <w:rsid w:val="02FC55FF"/>
    <w:rsid w:val="0F851031"/>
    <w:rsid w:val="158329A7"/>
    <w:rsid w:val="1AD055C7"/>
    <w:rsid w:val="22FD17B2"/>
    <w:rsid w:val="25E6460C"/>
    <w:rsid w:val="385D37E7"/>
    <w:rsid w:val="46CF625C"/>
    <w:rsid w:val="47533BB2"/>
    <w:rsid w:val="76043BB9"/>
    <w:rsid w:val="7DF77DB7"/>
    <w:rsid w:val="7F936F8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12"/>
    <w:autoRedefine/>
    <w:qFormat/>
    <w:uiPriority w:val="0"/>
    <w:rPr>
      <w:sz w:val="18"/>
      <w:szCs w:val="18"/>
    </w:rPr>
  </w:style>
  <w:style w:type="paragraph" w:styleId="3">
    <w:name w:val="footer"/>
    <w:basedOn w:val="1"/>
    <w:link w:val="14"/>
    <w:qFormat/>
    <w:uiPriority w:val="0"/>
    <w:pPr>
      <w:tabs>
        <w:tab w:val="center" w:pos="4153"/>
        <w:tab w:val="right" w:pos="8306"/>
      </w:tabs>
      <w:snapToGrid w:val="0"/>
      <w:jc w:val="left"/>
    </w:pPr>
    <w:rPr>
      <w:sz w:val="18"/>
      <w:szCs w:val="18"/>
    </w:rPr>
  </w:style>
  <w:style w:type="paragraph" w:styleId="4">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5">
    <w:name w:val="toc 4"/>
    <w:basedOn w:val="1"/>
    <w:next w:val="1"/>
    <w:qFormat/>
    <w:uiPriority w:val="0"/>
    <w:pPr>
      <w:ind w:left="1260" w:leftChars="600"/>
    </w:pPr>
    <w:rPr>
      <w:rFonts w:ascii="Times New Roman" w:hAnsi="Times New Roman" w:eastAsia="宋体" w:cs="Times New Roman"/>
    </w:rPr>
  </w:style>
  <w:style w:type="paragraph" w:styleId="6">
    <w:name w:val="toc 2"/>
    <w:basedOn w:val="1"/>
    <w:next w:val="1"/>
    <w:qFormat/>
    <w:uiPriority w:val="0"/>
    <w:pPr>
      <w:ind w:left="420" w:leftChars="200"/>
    </w:pPr>
    <w:rPr>
      <w:rFonts w:ascii="Times New Roman" w:hAnsi="Times New Roman" w:eastAsia="宋体" w:cs="Times New Roman"/>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rPr>
  </w:style>
  <w:style w:type="character" w:styleId="10">
    <w:name w:val="page number"/>
    <w:basedOn w:val="9"/>
    <w:qFormat/>
    <w:uiPriority w:val="0"/>
  </w:style>
  <w:style w:type="character" w:styleId="11">
    <w:name w:val="Hyperlink"/>
    <w:basedOn w:val="9"/>
    <w:qFormat/>
    <w:uiPriority w:val="0"/>
    <w:rPr>
      <w:color w:val="0000FF"/>
      <w:u w:val="single"/>
    </w:rPr>
  </w:style>
  <w:style w:type="character" w:customStyle="1" w:styleId="12">
    <w:name w:val="批注框文本 Char"/>
    <w:basedOn w:val="9"/>
    <w:link w:val="2"/>
    <w:qFormat/>
    <w:uiPriority w:val="0"/>
    <w:rPr>
      <w:rFonts w:asciiTheme="minorHAnsi" w:hAnsiTheme="minorHAnsi" w:eastAsiaTheme="minorEastAsia" w:cstheme="minorBidi"/>
      <w:kern w:val="2"/>
      <w:sz w:val="18"/>
      <w:szCs w:val="18"/>
    </w:rPr>
  </w:style>
  <w:style w:type="character" w:customStyle="1" w:styleId="13">
    <w:name w:val="页眉 Char"/>
    <w:basedOn w:val="9"/>
    <w:link w:val="4"/>
    <w:qFormat/>
    <w:uiPriority w:val="0"/>
    <w:rPr>
      <w:rFonts w:asciiTheme="minorHAnsi" w:hAnsiTheme="minorHAnsi" w:eastAsiaTheme="minorEastAsia" w:cstheme="minorBidi"/>
      <w:kern w:val="2"/>
      <w:sz w:val="18"/>
      <w:szCs w:val="18"/>
    </w:rPr>
  </w:style>
  <w:style w:type="character" w:customStyle="1" w:styleId="14">
    <w:name w:val="页脚 Char"/>
    <w:basedOn w:val="9"/>
    <w:link w:val="3"/>
    <w:qFormat/>
    <w:uiPriority w:val="0"/>
    <w:rPr>
      <w:rFonts w:asciiTheme="minorHAnsi" w:hAnsiTheme="minorHAnsi" w:eastAsiaTheme="minorEastAsia" w:cstheme="minorBidi"/>
      <w:kern w:val="2"/>
      <w:sz w:val="18"/>
      <w:szCs w:val="18"/>
    </w:rPr>
  </w:style>
  <w:style w:type="paragraph" w:customStyle="1" w:styleId="15">
    <w:name w:val="列出段落1"/>
    <w:basedOn w:val="1"/>
    <w:qFormat/>
    <w:uiPriority w:val="34"/>
    <w:pPr>
      <w:ind w:firstLine="420" w:firstLineChars="200"/>
    </w:pPr>
    <w:rPr>
      <w:rFonts w:ascii="Calibri" w:hAnsi="Calibri" w:eastAsia="宋体" w:cs="Times New Roman"/>
      <w:szCs w:val="22"/>
    </w:rPr>
  </w:style>
  <w:style w:type="paragraph" w:customStyle="1" w:styleId="16">
    <w:name w:val="插入文本样式-插入单位职责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17">
    <w:name w:val="单元格样式1"/>
    <w:basedOn w:val="1"/>
    <w:qFormat/>
    <w:uiPriority w:val="0"/>
    <w:pPr>
      <w:widowControl/>
      <w:jc w:val="center"/>
    </w:pPr>
    <w:rPr>
      <w:rFonts w:ascii="方正书宋_GBK" w:hAnsi="方正书宋_GBK" w:eastAsia="方正书宋_GBK" w:cs="方正书宋_GBK"/>
      <w:b/>
      <w:kern w:val="0"/>
      <w:szCs w:val="24"/>
      <w:lang w:eastAsia="uk-UA"/>
    </w:rPr>
  </w:style>
  <w:style w:type="paragraph" w:customStyle="1" w:styleId="18">
    <w:name w:val="单元格样式2"/>
    <w:basedOn w:val="1"/>
    <w:qFormat/>
    <w:uiPriority w:val="0"/>
    <w:pPr>
      <w:widowControl/>
      <w:jc w:val="left"/>
    </w:pPr>
    <w:rPr>
      <w:rFonts w:ascii="方正书宋_GBK" w:hAnsi="方正书宋_GBK" w:eastAsia="方正书宋_GBK" w:cs="方正书宋_GBK"/>
      <w:kern w:val="0"/>
      <w:szCs w:val="24"/>
      <w:lang w:eastAsia="uk-UA"/>
    </w:rPr>
  </w:style>
  <w:style w:type="paragraph" w:customStyle="1" w:styleId="19">
    <w:name w:val="单元格样式3"/>
    <w:basedOn w:val="1"/>
    <w:qFormat/>
    <w:uiPriority w:val="0"/>
    <w:pPr>
      <w:widowControl/>
      <w:jc w:val="center"/>
    </w:pPr>
    <w:rPr>
      <w:rFonts w:ascii="方正书宋_GBK" w:hAnsi="方正书宋_GBK" w:eastAsia="方正书宋_GBK" w:cs="方正书宋_GBK"/>
      <w:kern w:val="0"/>
      <w:szCs w:val="24"/>
      <w:lang w:eastAsia="uk-UA"/>
    </w:rPr>
  </w:style>
  <w:style w:type="paragraph" w:customStyle="1" w:styleId="20">
    <w:name w:val="单元格样式5"/>
    <w:basedOn w:val="1"/>
    <w:qFormat/>
    <w:uiPriority w:val="0"/>
    <w:pPr>
      <w:widowControl/>
      <w:jc w:val="left"/>
    </w:pPr>
    <w:rPr>
      <w:rFonts w:ascii="方正书宋_GBK" w:hAnsi="方正书宋_GBK" w:eastAsia="方正书宋_GBK" w:cs="方正书宋_GBK"/>
      <w:b/>
      <w:kern w:val="0"/>
      <w:szCs w:val="24"/>
      <w:lang w:eastAsia="uk-UA"/>
    </w:rPr>
  </w:style>
  <w:style w:type="paragraph" w:customStyle="1" w:styleId="21">
    <w:name w:val="单元格样式4"/>
    <w:basedOn w:val="1"/>
    <w:qFormat/>
    <w:uiPriority w:val="0"/>
    <w:pPr>
      <w:widowControl/>
      <w:jc w:val="right"/>
    </w:pPr>
    <w:rPr>
      <w:rFonts w:ascii="方正书宋_GBK" w:hAnsi="方正书宋_GBK" w:eastAsia="方正书宋_GBK" w:cs="方正书宋_GBK"/>
      <w:kern w:val="0"/>
      <w:szCs w:val="24"/>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3073"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123</Pages>
  <Words>29916</Words>
  <Characters>36666</Characters>
  <Lines>245</Lines>
  <Paragraphs>69</Paragraphs>
  <TotalTime>2</TotalTime>
  <ScaleCrop>false</ScaleCrop>
  <LinksUpToDate>false</LinksUpToDate>
  <CharactersWithSpaces>38466</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2020-02-24T08:32:00Z</dcterms:created>
  <dc:creator>Administrator</dc:creator>
  <cp:lastModifiedBy>elsa112233</cp:lastModifiedBy>
  <dcterms:modified xsi:type="dcterms:W3CDTF">2024-02-01T07:20:33Z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BDA1762849324FB69CDD5E4E63C16A9B</vt:lpwstr>
  </property>
</Properties>
</file>