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2"/>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2"/>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2"/>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一、宁晋县总工会收支预算</w:t>
      </w:r>
      <w:r>
        <w:tab/>
      </w:r>
      <w:r>
        <w:fldChar w:fldCharType="begin"/>
      </w:r>
      <w:r>
        <w:instrText xml:space="preserve">PAGEREF _Toc_4_4_0000000019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711宁晋县总工会</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355.35</w:t>
            </w:r>
          </w:p>
        </w:tc>
        <w:tc>
          <w:tcPr>
            <w:tcW w:w="4535" w:type="dxa"/>
            <w:vAlign w:val="center"/>
          </w:tcPr>
          <w:p>
            <w:pPr>
              <w:pStyle w:val="12"/>
            </w:pPr>
            <w:r>
              <w:t>一、一般公共服务支出</w:t>
            </w:r>
          </w:p>
        </w:tc>
        <w:tc>
          <w:tcPr>
            <w:tcW w:w="2126" w:type="dxa"/>
            <w:vAlign w:val="center"/>
          </w:tcPr>
          <w:p>
            <w:pPr>
              <w:pStyle w:val="11"/>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本年收入合计</w:t>
            </w:r>
          </w:p>
        </w:tc>
        <w:tc>
          <w:tcPr>
            <w:tcW w:w="2126" w:type="dxa"/>
            <w:vAlign w:val="center"/>
          </w:tcPr>
          <w:p>
            <w:pPr>
              <w:pStyle w:val="15"/>
            </w:pPr>
            <w:r>
              <w:t>355.35</w:t>
            </w:r>
          </w:p>
        </w:tc>
        <w:tc>
          <w:tcPr>
            <w:tcW w:w="4535" w:type="dxa"/>
            <w:vAlign w:val="center"/>
          </w:tcPr>
          <w:p>
            <w:pPr>
              <w:pStyle w:val="14"/>
            </w:pPr>
            <w:r>
              <w:t>本年支出合计</w:t>
            </w:r>
          </w:p>
        </w:tc>
        <w:tc>
          <w:tcPr>
            <w:tcW w:w="2126" w:type="dxa"/>
            <w:vAlign w:val="center"/>
          </w:tcPr>
          <w:p>
            <w:pPr>
              <w:pStyle w:val="15"/>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4"/>
            </w:pPr>
            <w:r>
              <w:t>收入总计</w:t>
            </w:r>
          </w:p>
        </w:tc>
        <w:tc>
          <w:tcPr>
            <w:tcW w:w="2126" w:type="dxa"/>
            <w:vAlign w:val="center"/>
          </w:tcPr>
          <w:p>
            <w:pPr>
              <w:pStyle w:val="15"/>
            </w:pPr>
            <w:r>
              <w:t>355.35</w:t>
            </w:r>
          </w:p>
        </w:tc>
        <w:tc>
          <w:tcPr>
            <w:tcW w:w="4535" w:type="dxa"/>
            <w:vAlign w:val="center"/>
          </w:tcPr>
          <w:p>
            <w:pPr>
              <w:pStyle w:val="14"/>
            </w:pPr>
            <w:r>
              <w:t>支出总计</w:t>
            </w:r>
          </w:p>
        </w:tc>
        <w:tc>
          <w:tcPr>
            <w:tcW w:w="2126" w:type="dxa"/>
            <w:vAlign w:val="center"/>
          </w:tcPr>
          <w:p>
            <w:pPr>
              <w:pStyle w:val="15"/>
            </w:pPr>
            <w:r>
              <w:t>355.35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711宁晋县总工会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355.35</w:t>
            </w:r>
          </w:p>
        </w:tc>
        <w:tc>
          <w:tcPr>
            <w:tcW w:w="1134" w:type="dxa"/>
            <w:vAlign w:val="center"/>
          </w:tcPr>
          <w:p>
            <w:pPr>
              <w:pStyle w:val="15"/>
            </w:pPr>
            <w:r>
              <w:t>355.35</w:t>
            </w:r>
          </w:p>
        </w:tc>
        <w:tc>
          <w:tcPr>
            <w:tcW w:w="1134" w:type="dxa"/>
            <w:vAlign w:val="center"/>
          </w:tcPr>
          <w:p>
            <w:pPr>
              <w:pStyle w:val="15"/>
            </w:pPr>
            <w:r>
              <w:t>355.35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r>
              <w:t>355.35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2012906</w:t>
            </w:r>
          </w:p>
        </w:tc>
        <w:tc>
          <w:tcPr>
            <w:tcW w:w="1559" w:type="dxa"/>
            <w:vAlign w:val="center"/>
          </w:tcPr>
          <w:p>
            <w:pPr>
              <w:pStyle w:val="12"/>
            </w:pPr>
            <w:r>
              <w:t>工会事务</w:t>
            </w:r>
          </w:p>
        </w:tc>
        <w:tc>
          <w:tcPr>
            <w:tcW w:w="1134" w:type="dxa"/>
            <w:vAlign w:val="center"/>
          </w:tcPr>
          <w:p>
            <w:pPr>
              <w:pStyle w:val="11"/>
            </w:pPr>
            <w:r>
              <w:t>314.48</w:t>
            </w:r>
          </w:p>
        </w:tc>
        <w:tc>
          <w:tcPr>
            <w:tcW w:w="1134" w:type="dxa"/>
            <w:vAlign w:val="center"/>
          </w:tcPr>
          <w:p>
            <w:pPr>
              <w:pStyle w:val="11"/>
            </w:pPr>
            <w:r>
              <w:t>314.48</w:t>
            </w:r>
          </w:p>
        </w:tc>
        <w:tc>
          <w:tcPr>
            <w:tcW w:w="1134" w:type="dxa"/>
            <w:vAlign w:val="center"/>
          </w:tcPr>
          <w:p>
            <w:pPr>
              <w:pStyle w:val="11"/>
            </w:pPr>
            <w:r>
              <w:t>314.48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40.87</w:t>
            </w:r>
          </w:p>
        </w:tc>
        <w:tc>
          <w:tcPr>
            <w:tcW w:w="1134" w:type="dxa"/>
            <w:vAlign w:val="center"/>
          </w:tcPr>
          <w:p>
            <w:pPr>
              <w:pStyle w:val="11"/>
            </w:pPr>
            <w:r>
              <w:t>40.87</w:t>
            </w:r>
          </w:p>
        </w:tc>
        <w:tc>
          <w:tcPr>
            <w:tcW w:w="1134" w:type="dxa"/>
            <w:vAlign w:val="center"/>
          </w:tcPr>
          <w:p>
            <w:pPr>
              <w:pStyle w:val="11"/>
            </w:pPr>
            <w:r>
              <w:t>40.87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355.35</w:t>
            </w:r>
          </w:p>
        </w:tc>
        <w:tc>
          <w:tcPr>
            <w:tcW w:w="1361" w:type="dxa"/>
            <w:vAlign w:val="center"/>
          </w:tcPr>
          <w:p>
            <w:pPr>
              <w:pStyle w:val="15"/>
            </w:pPr>
          </w:p>
        </w:tc>
        <w:tc>
          <w:tcPr>
            <w:tcW w:w="1361" w:type="dxa"/>
            <w:vAlign w:val="center"/>
          </w:tcPr>
          <w:p>
            <w:pPr>
              <w:pStyle w:val="15"/>
            </w:pPr>
            <w:r>
              <w:t>355.35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r>
              <w:t>355.35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2012906</w:t>
            </w:r>
          </w:p>
        </w:tc>
        <w:tc>
          <w:tcPr>
            <w:tcW w:w="4535" w:type="dxa"/>
            <w:vAlign w:val="center"/>
          </w:tcPr>
          <w:p>
            <w:pPr>
              <w:pStyle w:val="12"/>
            </w:pPr>
            <w:r>
              <w:t>工会事务</w:t>
            </w:r>
          </w:p>
        </w:tc>
        <w:tc>
          <w:tcPr>
            <w:tcW w:w="1361" w:type="dxa"/>
            <w:vAlign w:val="center"/>
          </w:tcPr>
          <w:p>
            <w:pPr>
              <w:pStyle w:val="11"/>
            </w:pPr>
            <w:r>
              <w:t>314.48</w:t>
            </w:r>
          </w:p>
        </w:tc>
        <w:tc>
          <w:tcPr>
            <w:tcW w:w="1361" w:type="dxa"/>
            <w:vAlign w:val="center"/>
          </w:tcPr>
          <w:p>
            <w:pPr>
              <w:pStyle w:val="11"/>
            </w:pPr>
          </w:p>
        </w:tc>
        <w:tc>
          <w:tcPr>
            <w:tcW w:w="1361" w:type="dxa"/>
            <w:vAlign w:val="center"/>
          </w:tcPr>
          <w:p>
            <w:pPr>
              <w:pStyle w:val="11"/>
            </w:pPr>
            <w:r>
              <w:t>314.48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40.87</w:t>
            </w:r>
          </w:p>
        </w:tc>
        <w:tc>
          <w:tcPr>
            <w:tcW w:w="1361" w:type="dxa"/>
            <w:vAlign w:val="center"/>
          </w:tcPr>
          <w:p>
            <w:pPr>
              <w:pStyle w:val="11"/>
            </w:pPr>
          </w:p>
        </w:tc>
        <w:tc>
          <w:tcPr>
            <w:tcW w:w="1361" w:type="dxa"/>
            <w:vAlign w:val="center"/>
          </w:tcPr>
          <w:p>
            <w:pPr>
              <w:pStyle w:val="11"/>
            </w:pPr>
            <w:r>
              <w:t>40.87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3402" w:type="dxa"/>
            <w:tcBorders>
              <w:top w:val="single" w:color="FFFFFF" w:sz="6" w:space="0"/>
              <w:left w:val="single" w:color="FFFFFF" w:sz="6" w:space="0"/>
              <w:right w:val="single" w:color="FFFFFF" w:sz="6" w:space="0"/>
            </w:tcBorders>
            <w:vAlign w:val="center"/>
          </w:tcPr>
          <w:p>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355.35</w:t>
            </w:r>
          </w:p>
        </w:tc>
        <w:tc>
          <w:tcPr>
            <w:tcW w:w="3402" w:type="dxa"/>
            <w:vAlign w:val="center"/>
          </w:tcPr>
          <w:p>
            <w:pPr>
              <w:pStyle w:val="12"/>
            </w:pPr>
            <w:r>
              <w:t>一、一般公共服务支出</w:t>
            </w:r>
          </w:p>
        </w:tc>
        <w:tc>
          <w:tcPr>
            <w:tcW w:w="1474" w:type="dxa"/>
            <w:vAlign w:val="center"/>
          </w:tcPr>
          <w:p>
            <w:pPr>
              <w:pStyle w:val="11"/>
            </w:pPr>
            <w:r>
              <w:t>355.35</w:t>
            </w:r>
          </w:p>
        </w:tc>
        <w:tc>
          <w:tcPr>
            <w:tcW w:w="1474" w:type="dxa"/>
            <w:vAlign w:val="center"/>
          </w:tcPr>
          <w:p>
            <w:pPr>
              <w:pStyle w:val="11"/>
            </w:pPr>
            <w:r>
              <w:t>355.35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4"/>
            </w:pPr>
            <w:r>
              <w:t>本年收入合计</w:t>
            </w:r>
          </w:p>
        </w:tc>
        <w:tc>
          <w:tcPr>
            <w:tcW w:w="1474" w:type="dxa"/>
            <w:vAlign w:val="center"/>
          </w:tcPr>
          <w:p>
            <w:pPr>
              <w:pStyle w:val="15"/>
            </w:pPr>
            <w:r>
              <w:t>355.35</w:t>
            </w:r>
          </w:p>
        </w:tc>
        <w:tc>
          <w:tcPr>
            <w:tcW w:w="3402" w:type="dxa"/>
            <w:vAlign w:val="center"/>
          </w:tcPr>
          <w:p>
            <w:pPr>
              <w:pStyle w:val="14"/>
            </w:pPr>
            <w:r>
              <w:t>本年支出合计</w:t>
            </w:r>
          </w:p>
        </w:tc>
        <w:tc>
          <w:tcPr>
            <w:tcW w:w="1474" w:type="dxa"/>
            <w:vAlign w:val="center"/>
          </w:tcPr>
          <w:p>
            <w:pPr>
              <w:pStyle w:val="15"/>
            </w:pPr>
            <w:r>
              <w:t>355.35</w:t>
            </w:r>
          </w:p>
        </w:tc>
        <w:tc>
          <w:tcPr>
            <w:tcW w:w="1474" w:type="dxa"/>
            <w:vAlign w:val="center"/>
          </w:tcPr>
          <w:p>
            <w:pPr>
              <w:pStyle w:val="15"/>
            </w:pPr>
            <w:r>
              <w:t>355.35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4"/>
            </w:pPr>
            <w:r>
              <w:t>收入总计</w:t>
            </w:r>
          </w:p>
        </w:tc>
        <w:tc>
          <w:tcPr>
            <w:tcW w:w="1474" w:type="dxa"/>
            <w:vAlign w:val="center"/>
          </w:tcPr>
          <w:p>
            <w:pPr>
              <w:pStyle w:val="15"/>
            </w:pPr>
            <w:r>
              <w:t>355.35</w:t>
            </w:r>
          </w:p>
        </w:tc>
        <w:tc>
          <w:tcPr>
            <w:tcW w:w="3402" w:type="dxa"/>
            <w:vAlign w:val="center"/>
          </w:tcPr>
          <w:p>
            <w:pPr>
              <w:pStyle w:val="14"/>
            </w:pPr>
            <w:r>
              <w:t>支出总计</w:t>
            </w:r>
          </w:p>
        </w:tc>
        <w:tc>
          <w:tcPr>
            <w:tcW w:w="1474" w:type="dxa"/>
            <w:vAlign w:val="center"/>
          </w:tcPr>
          <w:p>
            <w:pPr>
              <w:pStyle w:val="15"/>
            </w:pPr>
            <w:r>
              <w:t>355.35</w:t>
            </w:r>
          </w:p>
        </w:tc>
        <w:tc>
          <w:tcPr>
            <w:tcW w:w="1474" w:type="dxa"/>
            <w:vAlign w:val="center"/>
          </w:tcPr>
          <w:p>
            <w:pPr>
              <w:pStyle w:val="15"/>
            </w:pPr>
            <w:r>
              <w:t>355.35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355.35</w:t>
            </w:r>
          </w:p>
        </w:tc>
        <w:tc>
          <w:tcPr>
            <w:tcW w:w="2551" w:type="dxa"/>
            <w:vAlign w:val="center"/>
          </w:tcPr>
          <w:p>
            <w:pPr>
              <w:pStyle w:val="15"/>
            </w:pPr>
          </w:p>
        </w:tc>
        <w:tc>
          <w:tcPr>
            <w:tcW w:w="2551" w:type="dxa"/>
            <w:vAlign w:val="center"/>
          </w:tcPr>
          <w:p>
            <w:pPr>
              <w:pStyle w:val="15"/>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355.35</w:t>
            </w:r>
          </w:p>
        </w:tc>
        <w:tc>
          <w:tcPr>
            <w:tcW w:w="2551" w:type="dxa"/>
            <w:vAlign w:val="center"/>
          </w:tcPr>
          <w:p>
            <w:pPr>
              <w:pStyle w:val="11"/>
            </w:pPr>
          </w:p>
        </w:tc>
        <w:tc>
          <w:tcPr>
            <w:tcW w:w="2551" w:type="dxa"/>
            <w:vAlign w:val="center"/>
          </w:tcPr>
          <w:p>
            <w:pPr>
              <w:pStyle w:val="11"/>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355.35</w:t>
            </w:r>
          </w:p>
        </w:tc>
        <w:tc>
          <w:tcPr>
            <w:tcW w:w="2551" w:type="dxa"/>
            <w:vAlign w:val="center"/>
          </w:tcPr>
          <w:p>
            <w:pPr>
              <w:pStyle w:val="11"/>
            </w:pPr>
          </w:p>
        </w:tc>
        <w:tc>
          <w:tcPr>
            <w:tcW w:w="2551" w:type="dxa"/>
            <w:vAlign w:val="center"/>
          </w:tcPr>
          <w:p>
            <w:pPr>
              <w:pStyle w:val="11"/>
            </w:pPr>
            <w:r>
              <w:t>355.35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2012906</w:t>
            </w:r>
          </w:p>
        </w:tc>
        <w:tc>
          <w:tcPr>
            <w:tcW w:w="4535" w:type="dxa"/>
            <w:vAlign w:val="center"/>
          </w:tcPr>
          <w:p>
            <w:pPr>
              <w:pStyle w:val="12"/>
            </w:pPr>
            <w:r>
              <w:t>工会事务</w:t>
            </w:r>
          </w:p>
        </w:tc>
        <w:tc>
          <w:tcPr>
            <w:tcW w:w="2551" w:type="dxa"/>
            <w:vAlign w:val="center"/>
          </w:tcPr>
          <w:p>
            <w:pPr>
              <w:pStyle w:val="11"/>
            </w:pPr>
            <w:r>
              <w:t>314.48</w:t>
            </w:r>
          </w:p>
        </w:tc>
        <w:tc>
          <w:tcPr>
            <w:tcW w:w="2551" w:type="dxa"/>
            <w:vAlign w:val="center"/>
          </w:tcPr>
          <w:p>
            <w:pPr>
              <w:pStyle w:val="11"/>
            </w:pPr>
          </w:p>
        </w:tc>
        <w:tc>
          <w:tcPr>
            <w:tcW w:w="2551" w:type="dxa"/>
            <w:vAlign w:val="center"/>
          </w:tcPr>
          <w:p>
            <w:pPr>
              <w:pStyle w:val="11"/>
            </w:pPr>
            <w:r>
              <w:t>314.48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40.87</w:t>
            </w:r>
          </w:p>
        </w:tc>
        <w:tc>
          <w:tcPr>
            <w:tcW w:w="2551" w:type="dxa"/>
            <w:vAlign w:val="center"/>
          </w:tcPr>
          <w:p>
            <w:pPr>
              <w:pStyle w:val="11"/>
            </w:pPr>
          </w:p>
        </w:tc>
        <w:tc>
          <w:tcPr>
            <w:tcW w:w="2551" w:type="dxa"/>
            <w:vAlign w:val="center"/>
          </w:tcPr>
          <w:p>
            <w:pPr>
              <w:pStyle w:val="11"/>
            </w:pPr>
            <w:r>
              <w:t>40.87</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711宁晋县总工会</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hAnsi="方正书宋_GBK" w:eastAsia="方正书宋_GBK" w:cs="方正书宋_GBK"/>
          <w:color w:val="000000"/>
          <w:sz w:val="21"/>
        </w:rPr>
        <w:t>注：无财政拨款“三公”经费支出表预算，空表列示</w:t>
      </w:r>
      <w:r>
        <w:rPr>
          <w:rFonts w:hint="eastAsia" w:ascii="方正书宋_GBK" w:hAnsi="方正书宋_GBK" w:eastAsia="方正书宋_GBK" w:cs="方正书宋_GBK"/>
          <w:color w:val="000000"/>
          <w:sz w:val="21"/>
          <w:lang w:eastAsia="zh-CN"/>
        </w:rPr>
        <w:t>，</w:t>
      </w:r>
      <w:r>
        <w:rPr>
          <w:rFonts w:ascii="方正书宋_GBK" w:hAnsi="方正书宋_GBK" w:eastAsia="方正书宋_GBK" w:cs="方正书宋_GBK"/>
          <w:color w:val="000000"/>
          <w:sz w:val="21"/>
        </w:rPr>
        <w:t>与去年持平</w:t>
      </w:r>
      <w:r>
        <w:rPr>
          <w:rFonts w:hint="eastAsia" w:ascii="方正书宋_GBK" w:hAnsi="方正书宋_GBK" w:eastAsia="方正书宋_GBK" w:cs="方正书宋_GBK"/>
          <w:color w:val="000000"/>
          <w:sz w:val="21"/>
          <w:lang w:eastAsia="zh-CN"/>
        </w:rPr>
        <w:t>。</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宁晋县总工会2023年部门预算信息公开情况说明</w:t>
      </w:r>
    </w:p>
    <w:p>
      <w:pPr>
        <w:jc w:val="center"/>
      </w:pPr>
      <w:r>
        <w:rPr>
          <w:rFonts w:ascii="方正小标宋_GBK" w:hAnsi="方正小标宋_GBK" w:eastAsia="方正小标宋_GBK" w:cs="方正小标宋_GBK"/>
          <w:color w:val="000000"/>
          <w:sz w:val="44"/>
        </w:rPr>
        <w:t>宁晋县总工会2023年部门预算信息公开情况说明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按照《预算法》、《地方预决算公开操作规程》和《关于进一步推进预算公开工作的实施意见》规定，现将宁晋县总工会2023年部门预算公开如下：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根据《宁晋县总工会职能配置、内设机构和人员编制规定》， 宁晋县总工会的主要职责是：</w:t>
      </w:r>
    </w:p>
    <w:p>
      <w:pPr>
        <w:pStyle w:val="17"/>
      </w:pPr>
      <w:r>
        <w:t>1、组织全县各级工会贯彻执行党的路线、方针和政策,根据工会组织的特点和广大职工的意愿,按照</w:t>
      </w:r>
      <w:r>
        <w:rPr>
          <w:rFonts w:hint="eastAsia"/>
          <w:lang w:eastAsia="zh-CN"/>
        </w:rPr>
        <w:t>《中华人民共和国工会法》</w:t>
      </w:r>
      <w:r>
        <w:t>和《中国工会章程》，依法独立自主地开展工作。</w:t>
      </w:r>
    </w:p>
    <w:p>
      <w:pPr>
        <w:pStyle w:val="17"/>
      </w:pPr>
      <w:r>
        <w:t>2、加强职工教育，做好职工的思想政治工作，提高广大职工的政治素质，为改革、发展、稳定奠定坚实的思想基础。</w:t>
      </w:r>
    </w:p>
    <w:p>
      <w:pPr>
        <w:pStyle w:val="17"/>
      </w:pPr>
      <w:r>
        <w:t>3、维护职工合法权益，检查和监督劳动保护条例的实施，维护职工的安全和健康，实施送温暖工程，搞好困难职工和劳模走访慰问送温暖活动。</w:t>
      </w:r>
    </w:p>
    <w:p>
      <w:pPr>
        <w:pStyle w:val="17"/>
      </w:pPr>
      <w:r>
        <w:t>4、加强企业民主管理工作，推动平等协商签订集体合同和厂务公开制度，维护职工的民主权利，推动党的全心全意依靠工人阶级方针的贯彻落实。</w:t>
      </w:r>
    </w:p>
    <w:p>
      <w:pPr>
        <w:pStyle w:val="17"/>
      </w:pPr>
      <w:r>
        <w:t>5、建立健全工会组织，加强各级工会的组织建设，确保职工队伍的稳定。</w:t>
      </w:r>
    </w:p>
    <w:p>
      <w:pPr>
        <w:pStyle w:val="17"/>
      </w:pPr>
      <w:r>
        <w:t>6、组织和动员职工开展劳动竞赛和合理化建议活动，调动广大职工的生产积极性和创造性，为全县经济建设充分发挥工人阶级主力军的作用。</w:t>
      </w:r>
    </w:p>
    <w:p>
      <w:pPr>
        <w:pStyle w:val="17"/>
      </w:pPr>
      <w:r>
        <w:t>7、建设职工之家活动，组织各基层工会积极开展文体活动，促进精神文明建设。</w:t>
      </w:r>
    </w:p>
    <w:p>
      <w:pPr>
        <w:pStyle w:val="17"/>
      </w:pPr>
      <w:r>
        <w:t>8、完成县委、县政府安排的中心工作任务和上级工会交办的其他工作任务。</w:t>
      </w:r>
    </w:p>
    <w:p>
      <w:pPr>
        <w:pStyle w:val="17"/>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宁晋县总工会</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按照预算管理有关规定，目前我省部门预算的编制实行综合预算管理，即全部收入和支出都反映在预算中。宁晋县总工会机关及所属事业单位的收支包含在部门预算中。</w:t>
      </w:r>
    </w:p>
    <w:p>
      <w:pPr>
        <w:pStyle w:val="18"/>
      </w:pPr>
      <w:r>
        <w:t>（一）根据县财政局预算指标通知，2023年县级统计部门预算总收入355.35万元，其中划拨工会经费281.50万元较2022年经费划拨增加30万元（251.5万元），去增长12%；上级财政提前通知转移支付23.4万元（关于提前下达2023年困难职工及劳模帮扶救助专项资金的通知），统筹用于对困难职工开展生活救助、医疗救助、子女助学、法律援助、就业援助等项支出；社会保障缴费40.87万元，用于财政负担部分保险及公积金的缴纳，结转2022年困难职工及劳模帮扶救助专项资金9.58万元。</w:t>
      </w:r>
    </w:p>
    <w:p>
      <w:pPr>
        <w:pStyle w:val="18"/>
      </w:pPr>
      <w:r>
        <w:t>（二）县财政未安排其他预算资金。</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2023年度未安排机关运行经费</w:t>
      </w:r>
    </w:p>
    <w:p>
      <w:pPr>
        <w:pStyle w:val="19"/>
      </w:pP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我单位2023年度无财政拨款“三公”经费</w:t>
      </w:r>
    </w:p>
    <w:p>
      <w:pPr>
        <w:pStyle w:val="20"/>
      </w:pP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一、总体绩效目标</w:t>
      </w:r>
    </w:p>
    <w:p>
      <w:pPr>
        <w:pStyle w:val="21"/>
      </w:pPr>
      <w:r>
        <w:t>1、切实做好工会财务和管理工作。依法足额加大工会经费收缴力度，使工会经费更好地用于服务基层职工。强化工会自查的监督管理，依法合规管好用好职工之家阵地和工会资产。</w:t>
      </w:r>
    </w:p>
    <w:p>
      <w:pPr>
        <w:pStyle w:val="21"/>
      </w:pPr>
      <w:r>
        <w:t>2、切实维护职工合法权益。抓好“企业爱职工、职工爱企业教育”，促进社会稳定和劳动关系和谐。</w:t>
      </w:r>
    </w:p>
    <w:p>
      <w:pPr>
        <w:pStyle w:val="21"/>
      </w:pPr>
      <w:r>
        <w:t>3、开展基层工会建设，加快“小三级”工会建设。</w:t>
      </w:r>
    </w:p>
    <w:p>
      <w:pPr>
        <w:pStyle w:val="21"/>
      </w:pPr>
    </w:p>
    <w:p>
      <w:pPr>
        <w:pStyle w:val="21"/>
      </w:pPr>
    </w:p>
    <w:p>
      <w:pPr>
        <w:pStyle w:val="21"/>
      </w:pPr>
    </w:p>
    <w:p>
      <w:pPr>
        <w:pStyle w:val="21"/>
      </w:pPr>
    </w:p>
    <w:p>
      <w:pPr>
        <w:pStyle w:val="21"/>
      </w:pPr>
    </w:p>
    <w:p>
      <w:pPr>
        <w:spacing w:line="500" w:lineRule="exact"/>
        <w:ind w:firstLine="560"/>
      </w:pPr>
      <w:r>
        <w:rPr>
          <w:rFonts w:eastAsia="方正仿宋_GBK"/>
          <w:color w:val="000000"/>
          <w:sz w:val="28"/>
        </w:rPr>
        <w:t>（二）分项绩效目标</w:t>
      </w:r>
    </w:p>
    <w:p>
      <w:pPr>
        <w:pStyle w:val="22"/>
      </w:pPr>
    </w:p>
    <w:p>
      <w:pPr>
        <w:pStyle w:val="22"/>
      </w:pPr>
    </w:p>
    <w:p>
      <w:pPr>
        <w:pStyle w:val="22"/>
      </w:pPr>
      <w:r>
        <w:t>二、分项绩效目标</w:t>
      </w:r>
    </w:p>
    <w:p>
      <w:pPr>
        <w:pStyle w:val="22"/>
      </w:pPr>
      <w:r>
        <w:t>1、做好工会经费的收缴工作，管好和用好工会经费。</w:t>
      </w:r>
    </w:p>
    <w:p>
      <w:pPr>
        <w:pStyle w:val="22"/>
      </w:pPr>
      <w:r>
        <w:t>2、实现维护职工合法权益，合理使用经费，促进工会事业健康发展。</w:t>
      </w:r>
    </w:p>
    <w:p>
      <w:pPr>
        <w:pStyle w:val="22"/>
      </w:pPr>
      <w:r>
        <w:t>3、做好困难职工帮扶工作。切实解决困难职工生活问题。</w:t>
      </w:r>
    </w:p>
    <w:p>
      <w:pPr>
        <w:pStyle w:val="22"/>
      </w:pPr>
    </w:p>
    <w:p>
      <w:pPr>
        <w:spacing w:line="500" w:lineRule="exact"/>
        <w:ind w:firstLine="560"/>
      </w:pPr>
      <w:r>
        <w:rPr>
          <w:rFonts w:eastAsia="方正仿宋_GBK"/>
          <w:color w:val="000000"/>
          <w:sz w:val="28"/>
        </w:rPr>
        <w:t>（三）工作保障措施</w:t>
      </w:r>
    </w:p>
    <w:p>
      <w:pPr>
        <w:pStyle w:val="23"/>
      </w:pPr>
    </w:p>
    <w:p>
      <w:pPr>
        <w:pStyle w:val="23"/>
      </w:pPr>
      <w:r>
        <w:t>三、工作保障措施</w:t>
      </w:r>
    </w:p>
    <w:p>
      <w:pPr>
        <w:pStyle w:val="23"/>
      </w:pPr>
      <w:r>
        <w:t>1、强化职工思想政治引领。积极回应社会和职工关切的问题，加强工会文化宣传阵地建设，开展职工书屋建设，大力发挥职工书屋、职工之家、困难职工帮扶中心等阵地作用。</w:t>
      </w:r>
    </w:p>
    <w:p>
      <w:pPr>
        <w:pStyle w:val="23"/>
      </w:pPr>
      <w:r>
        <w:t>2、组织动员广大职工积极建功新时代。创建劳模和工匠创新工作室，组织企事业单位开展安康杯等系列竞赛活动。</w:t>
      </w:r>
    </w:p>
    <w:p>
      <w:pPr>
        <w:pStyle w:val="23"/>
      </w:pPr>
      <w:r>
        <w:t>3、切实维护职工合法权益。促进社会稳定和劳动关系和谐。开展劳动法律法规知识宣传及有奖竞答活动。</w:t>
      </w:r>
    </w:p>
    <w:p>
      <w:pPr>
        <w:pStyle w:val="23"/>
      </w:pPr>
    </w:p>
    <w:p>
      <w:pPr>
        <w:pStyle w:val="23"/>
      </w:pPr>
    </w:p>
    <w:p>
      <w:pPr>
        <w:pStyle w:val="23"/>
      </w:pPr>
    </w:p>
    <w:p>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一、财政划拨40%部分工会经费绩效目标表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2835" w:type="dxa"/>
            <w:vAlign w:val="center"/>
          </w:tcPr>
          <w:p>
            <w:pPr>
              <w:pStyle w:val="12"/>
            </w:pPr>
            <w:r>
              <w:t>按时有序支付</w:t>
            </w:r>
          </w:p>
        </w:tc>
        <w:tc>
          <w:tcPr>
            <w:tcW w:w="2551" w:type="dxa"/>
            <w:vAlign w:val="center"/>
          </w:tcPr>
          <w:p>
            <w:pPr>
              <w:pStyle w:val="12"/>
            </w:pPr>
            <w:r>
              <w:t>≥100有序支付</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经费核拨及时</w:t>
            </w:r>
          </w:p>
        </w:tc>
        <w:tc>
          <w:tcPr>
            <w:tcW w:w="2835" w:type="dxa"/>
            <w:vAlign w:val="center"/>
          </w:tcPr>
          <w:p>
            <w:pPr>
              <w:pStyle w:val="12"/>
            </w:pPr>
            <w:r>
              <w:t>经费核拨及时</w:t>
            </w:r>
          </w:p>
        </w:tc>
        <w:tc>
          <w:tcPr>
            <w:tcW w:w="2551" w:type="dxa"/>
            <w:vAlign w:val="center"/>
          </w:tcPr>
          <w:p>
            <w:pPr>
              <w:pStyle w:val="12"/>
            </w:pPr>
            <w:r>
              <w:t>≥95及时到位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2835" w:type="dxa"/>
            <w:vAlign w:val="center"/>
          </w:tcPr>
          <w:p>
            <w:pPr>
              <w:pStyle w:val="12"/>
            </w:pPr>
            <w:r>
              <w:t>控制在预算内</w:t>
            </w:r>
          </w:p>
        </w:tc>
        <w:tc>
          <w:tcPr>
            <w:tcW w:w="2551" w:type="dxa"/>
            <w:vAlign w:val="center"/>
          </w:tcPr>
          <w:p>
            <w:pPr>
              <w:pStyle w:val="12"/>
            </w:pPr>
            <w:r>
              <w:t>≥100控制在预算内</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2835" w:type="dxa"/>
            <w:vAlign w:val="center"/>
          </w:tcPr>
          <w:p>
            <w:pPr>
              <w:pStyle w:val="12"/>
            </w:pPr>
            <w:r>
              <w:t>资金的使用效率</w:t>
            </w:r>
          </w:p>
        </w:tc>
        <w:tc>
          <w:tcPr>
            <w:tcW w:w="2551" w:type="dxa"/>
            <w:vAlign w:val="center"/>
          </w:tcPr>
          <w:p>
            <w:pPr>
              <w:pStyle w:val="12"/>
            </w:pPr>
            <w:r>
              <w:t>≥100高效</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2835" w:type="dxa"/>
            <w:vAlign w:val="center"/>
          </w:tcPr>
          <w:p>
            <w:pPr>
              <w:pStyle w:val="12"/>
            </w:pPr>
            <w:r>
              <w:t>生态效益指标</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2835" w:type="dxa"/>
            <w:vAlign w:val="center"/>
          </w:tcPr>
          <w:p>
            <w:pPr>
              <w:pStyle w:val="12"/>
            </w:pPr>
            <w:r>
              <w:t>效果持续时间</w:t>
            </w:r>
          </w:p>
        </w:tc>
        <w:tc>
          <w:tcPr>
            <w:tcW w:w="2551" w:type="dxa"/>
            <w:vAlign w:val="center"/>
          </w:tcPr>
          <w:p>
            <w:pPr>
              <w:pStyle w:val="12"/>
            </w:pPr>
            <w:r>
              <w:t>≥95高效，稳定</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≥90电话、问卷调查</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二、财政划拨40%部分工会经费绩效目标表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2835" w:type="dxa"/>
            <w:vAlign w:val="center"/>
          </w:tcPr>
          <w:p>
            <w:pPr>
              <w:pStyle w:val="12"/>
            </w:pPr>
            <w:r>
              <w:t>按时有序支付</w:t>
            </w:r>
          </w:p>
        </w:tc>
        <w:tc>
          <w:tcPr>
            <w:tcW w:w="2551" w:type="dxa"/>
            <w:vAlign w:val="center"/>
          </w:tcPr>
          <w:p>
            <w:pPr>
              <w:pStyle w:val="12"/>
            </w:pPr>
            <w:r>
              <w:t>≥100有序支付</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2835" w:type="dxa"/>
            <w:vAlign w:val="center"/>
          </w:tcPr>
          <w:p>
            <w:pPr>
              <w:pStyle w:val="12"/>
            </w:pPr>
            <w:r>
              <w:t>资金到位率</w:t>
            </w:r>
          </w:p>
        </w:tc>
        <w:tc>
          <w:tcPr>
            <w:tcW w:w="2551" w:type="dxa"/>
            <w:vAlign w:val="center"/>
          </w:tcPr>
          <w:p>
            <w:pPr>
              <w:pStyle w:val="12"/>
            </w:pPr>
            <w:r>
              <w:t>≥100及时到位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资金拨付及时率</w:t>
            </w:r>
          </w:p>
        </w:tc>
        <w:tc>
          <w:tcPr>
            <w:tcW w:w="2835" w:type="dxa"/>
            <w:vAlign w:val="center"/>
          </w:tcPr>
          <w:p>
            <w:pPr>
              <w:pStyle w:val="12"/>
            </w:pPr>
            <w:r>
              <w:t>资金拨付及时率</w:t>
            </w:r>
          </w:p>
        </w:tc>
        <w:tc>
          <w:tcPr>
            <w:tcW w:w="2551" w:type="dxa"/>
            <w:vAlign w:val="center"/>
          </w:tcPr>
          <w:p>
            <w:pPr>
              <w:pStyle w:val="12"/>
            </w:pPr>
            <w:r>
              <w:t>≥95及时到位</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2835" w:type="dxa"/>
            <w:vAlign w:val="center"/>
          </w:tcPr>
          <w:p>
            <w:pPr>
              <w:pStyle w:val="12"/>
            </w:pPr>
            <w:r>
              <w:t>控制预算</w:t>
            </w:r>
          </w:p>
        </w:tc>
        <w:tc>
          <w:tcPr>
            <w:tcW w:w="2551" w:type="dxa"/>
            <w:vAlign w:val="center"/>
          </w:tcPr>
          <w:p>
            <w:pPr>
              <w:pStyle w:val="12"/>
            </w:pPr>
            <w:r>
              <w:t>≥95控制在预算内</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资金使用效率</w:t>
            </w:r>
          </w:p>
        </w:tc>
        <w:tc>
          <w:tcPr>
            <w:tcW w:w="2835" w:type="dxa"/>
            <w:vAlign w:val="center"/>
          </w:tcPr>
          <w:p>
            <w:pPr>
              <w:pStyle w:val="12"/>
            </w:pPr>
            <w:r>
              <w:t>资金使用效率</w:t>
            </w:r>
          </w:p>
        </w:tc>
        <w:tc>
          <w:tcPr>
            <w:tcW w:w="2551" w:type="dxa"/>
            <w:vAlign w:val="center"/>
          </w:tcPr>
          <w:p>
            <w:pPr>
              <w:pStyle w:val="12"/>
            </w:pPr>
            <w:r>
              <w:t>≥100高效</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w:t>
            </w:r>
          </w:p>
        </w:tc>
        <w:tc>
          <w:tcPr>
            <w:tcW w:w="2835" w:type="dxa"/>
            <w:vAlign w:val="center"/>
          </w:tcPr>
          <w:p>
            <w:pPr>
              <w:pStyle w:val="12"/>
            </w:pPr>
            <w:r>
              <w:t>生态效益</w:t>
            </w:r>
          </w:p>
        </w:tc>
        <w:tc>
          <w:tcPr>
            <w:tcW w:w="2551" w:type="dxa"/>
            <w:vAlign w:val="center"/>
          </w:tcPr>
          <w:p>
            <w:pPr>
              <w:pStyle w:val="12"/>
            </w:pPr>
            <w:r>
              <w:t>≥90良好</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2835" w:type="dxa"/>
            <w:vAlign w:val="center"/>
          </w:tcPr>
          <w:p>
            <w:pPr>
              <w:pStyle w:val="12"/>
            </w:pPr>
            <w:r>
              <w:t>效果持续时间</w:t>
            </w:r>
          </w:p>
        </w:tc>
        <w:tc>
          <w:tcPr>
            <w:tcW w:w="2551" w:type="dxa"/>
            <w:vAlign w:val="center"/>
          </w:tcPr>
          <w:p>
            <w:pPr>
              <w:pStyle w:val="12"/>
            </w:pPr>
            <w:r>
              <w:t>≥95高效，稳定</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≥90电话、问卷调查</w:t>
            </w:r>
          </w:p>
        </w:tc>
        <w:tc>
          <w:tcPr>
            <w:tcW w:w="2268" w:type="dxa"/>
            <w:vAlign w:val="center"/>
          </w:tcPr>
          <w:p>
            <w:pPr>
              <w:pStyle w:val="12"/>
              <w:rPr>
                <w:rFonts w:hint="eastAsia" w:eastAsia="方正书宋_GBK"/>
                <w:lang w:eastAsia="zh-CN"/>
              </w:rPr>
            </w:pPr>
            <w:r>
              <w:rPr>
                <w:rFonts w:hint="eastAsia"/>
                <w:lang w:eastAsia="zh-CN"/>
              </w:rPr>
              <w:t>《中华人民共和国工会法》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三、机关工资福利支出绩效目标表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保障人数</w:t>
            </w:r>
          </w:p>
        </w:tc>
        <w:tc>
          <w:tcPr>
            <w:tcW w:w="2835" w:type="dxa"/>
            <w:vAlign w:val="center"/>
          </w:tcPr>
          <w:p>
            <w:pPr>
              <w:pStyle w:val="12"/>
            </w:pPr>
            <w:r>
              <w:t>保障人数</w:t>
            </w:r>
          </w:p>
        </w:tc>
        <w:tc>
          <w:tcPr>
            <w:tcW w:w="2551" w:type="dxa"/>
            <w:vAlign w:val="center"/>
          </w:tcPr>
          <w:p>
            <w:pPr>
              <w:pStyle w:val="12"/>
            </w:pPr>
            <w:r>
              <w:t>≥100人数</w:t>
            </w:r>
          </w:p>
        </w:tc>
        <w:tc>
          <w:tcPr>
            <w:tcW w:w="2268" w:type="dxa"/>
            <w:vAlign w:val="center"/>
          </w:tcPr>
          <w:p>
            <w:pPr>
              <w:pStyle w:val="12"/>
            </w:pPr>
            <w:r>
              <w:t>单位人数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工资福利发放精准</w:t>
            </w:r>
          </w:p>
        </w:tc>
        <w:tc>
          <w:tcPr>
            <w:tcW w:w="2835" w:type="dxa"/>
            <w:vAlign w:val="center"/>
          </w:tcPr>
          <w:p>
            <w:pPr>
              <w:pStyle w:val="12"/>
            </w:pPr>
            <w:r>
              <w:t>及时准确</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工资福利发放及时</w:t>
            </w:r>
          </w:p>
        </w:tc>
        <w:tc>
          <w:tcPr>
            <w:tcW w:w="2835" w:type="dxa"/>
            <w:vAlign w:val="center"/>
          </w:tcPr>
          <w:p>
            <w:pPr>
              <w:pStyle w:val="12"/>
            </w:pPr>
            <w:r>
              <w:t>及时足额</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按规定执行</w:t>
            </w:r>
          </w:p>
        </w:tc>
        <w:tc>
          <w:tcPr>
            <w:tcW w:w="2835" w:type="dxa"/>
            <w:vAlign w:val="center"/>
          </w:tcPr>
          <w:p>
            <w:pPr>
              <w:pStyle w:val="12"/>
            </w:pPr>
            <w:r>
              <w:t>按规定执行</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加强工作人员归属感</w:t>
            </w:r>
          </w:p>
        </w:tc>
        <w:tc>
          <w:tcPr>
            <w:tcW w:w="2835" w:type="dxa"/>
            <w:vAlign w:val="center"/>
          </w:tcPr>
          <w:p>
            <w:pPr>
              <w:pStyle w:val="12"/>
            </w:pPr>
            <w:r>
              <w:t>按规定标准缴纳</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保持干部队伍相对稳定</w:t>
            </w:r>
          </w:p>
        </w:tc>
        <w:tc>
          <w:tcPr>
            <w:tcW w:w="2835" w:type="dxa"/>
            <w:vAlign w:val="center"/>
          </w:tcPr>
          <w:p>
            <w:pPr>
              <w:pStyle w:val="12"/>
            </w:pPr>
            <w:r>
              <w:t>及时缴纳</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增强职工安全感</w:t>
            </w:r>
          </w:p>
        </w:tc>
        <w:tc>
          <w:tcPr>
            <w:tcW w:w="2835" w:type="dxa"/>
            <w:vAlign w:val="center"/>
          </w:tcPr>
          <w:p>
            <w:pPr>
              <w:pStyle w:val="12"/>
            </w:pPr>
            <w:r>
              <w:t>干部职工没有后顾之忧</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保障职工权益</w:t>
            </w:r>
          </w:p>
        </w:tc>
        <w:tc>
          <w:tcPr>
            <w:tcW w:w="2835" w:type="dxa"/>
            <w:vAlign w:val="center"/>
          </w:tcPr>
          <w:p>
            <w:pPr>
              <w:pStyle w:val="12"/>
            </w:pPr>
            <w:r>
              <w:t>维护单位正常运行</w:t>
            </w:r>
          </w:p>
        </w:tc>
        <w:tc>
          <w:tcPr>
            <w:tcW w:w="2551" w:type="dxa"/>
            <w:vAlign w:val="center"/>
          </w:tcPr>
          <w:p>
            <w:pPr>
              <w:pStyle w:val="12"/>
            </w:pPr>
            <w:r>
              <w:t>保障职工权益</w:t>
            </w:r>
          </w:p>
        </w:tc>
        <w:tc>
          <w:tcPr>
            <w:tcW w:w="2268" w:type="dxa"/>
            <w:vAlign w:val="center"/>
          </w:tcPr>
          <w:p>
            <w:pPr>
              <w:pStyle w:val="12"/>
            </w:pPr>
            <w:r>
              <w:t>按规定执行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2835" w:type="dxa"/>
            <w:vAlign w:val="center"/>
          </w:tcPr>
          <w:p>
            <w:pPr>
              <w:pStyle w:val="12"/>
            </w:pPr>
            <w:r>
              <w:t>单位人员满意度</w:t>
            </w:r>
          </w:p>
        </w:tc>
        <w:tc>
          <w:tcPr>
            <w:tcW w:w="2551" w:type="dxa"/>
            <w:vAlign w:val="center"/>
          </w:tcPr>
          <w:p>
            <w:pPr>
              <w:pStyle w:val="12"/>
            </w:pPr>
            <w:r>
              <w:t>保障职工权益</w:t>
            </w:r>
          </w:p>
        </w:tc>
        <w:tc>
          <w:tcPr>
            <w:tcW w:w="2268" w:type="dxa"/>
            <w:vAlign w:val="center"/>
          </w:tcPr>
          <w:p>
            <w:pPr>
              <w:pStyle w:val="12"/>
            </w:pPr>
            <w:r>
              <w:t>按规定执行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四、结转2022年困难职工及劳模帮扶救助专项资金绩效目标表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会员关爱帮扶率</w:t>
            </w:r>
          </w:p>
        </w:tc>
        <w:tc>
          <w:tcPr>
            <w:tcW w:w="2835" w:type="dxa"/>
            <w:vAlign w:val="center"/>
          </w:tcPr>
          <w:p>
            <w:pPr>
              <w:pStyle w:val="12"/>
            </w:pPr>
            <w:r>
              <w:t>会员关爱帮扶率</w:t>
            </w:r>
          </w:p>
        </w:tc>
        <w:tc>
          <w:tcPr>
            <w:tcW w:w="2551" w:type="dxa"/>
            <w:vAlign w:val="center"/>
          </w:tcPr>
          <w:p>
            <w:pPr>
              <w:pStyle w:val="12"/>
            </w:pPr>
            <w:r>
              <w:t>≥90审核建档</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≥100查阅资金拨付明细</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实施帮扶活动的县级覆盖率</w:t>
            </w:r>
          </w:p>
        </w:tc>
        <w:tc>
          <w:tcPr>
            <w:tcW w:w="2835" w:type="dxa"/>
            <w:vAlign w:val="center"/>
          </w:tcPr>
          <w:p>
            <w:pPr>
              <w:pStyle w:val="12"/>
            </w:pPr>
            <w:r>
              <w:t>资金到位率</w:t>
            </w:r>
          </w:p>
        </w:tc>
        <w:tc>
          <w:tcPr>
            <w:tcW w:w="2551" w:type="dxa"/>
            <w:vAlign w:val="center"/>
          </w:tcPr>
          <w:p>
            <w:pPr>
              <w:pStyle w:val="12"/>
            </w:pPr>
            <w:r>
              <w:t>≥100资金拨付率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按期完成资金支付</w:t>
            </w:r>
          </w:p>
        </w:tc>
        <w:tc>
          <w:tcPr>
            <w:tcW w:w="2835" w:type="dxa"/>
            <w:vAlign w:val="center"/>
          </w:tcPr>
          <w:p>
            <w:pPr>
              <w:pStyle w:val="12"/>
            </w:pPr>
            <w:r>
              <w:t>按期完成资金支付</w:t>
            </w:r>
          </w:p>
        </w:tc>
        <w:tc>
          <w:tcPr>
            <w:tcW w:w="2551" w:type="dxa"/>
            <w:vAlign w:val="center"/>
          </w:tcPr>
          <w:p>
            <w:pPr>
              <w:pStyle w:val="12"/>
            </w:pPr>
            <w:r>
              <w:t>≥95按期完成率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≥100入户走访或电话回访</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≥100职工反馈意见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≥95回访收集意见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≥95查阅档案建档情况</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≥90职工满意度</w:t>
            </w:r>
          </w:p>
        </w:tc>
        <w:tc>
          <w:tcPr>
            <w:tcW w:w="2268" w:type="dxa"/>
            <w:vAlign w:val="center"/>
          </w:tcPr>
          <w:p>
            <w:pPr>
              <w:pStyle w:val="12"/>
            </w:pPr>
            <w:r>
              <w:t>困难职工帮扶救助专项资金管理办法</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五、提前下达2023年困难职工及劳模帮扶救助专项资金冀财行{2022}99号绩效目标表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会员关爱帮扶率</w:t>
            </w:r>
          </w:p>
        </w:tc>
        <w:tc>
          <w:tcPr>
            <w:tcW w:w="2835" w:type="dxa"/>
            <w:vAlign w:val="center"/>
          </w:tcPr>
          <w:p>
            <w:pPr>
              <w:pStyle w:val="12"/>
            </w:pPr>
            <w:r>
              <w:t>会员关爱帮扶率</w:t>
            </w:r>
          </w:p>
        </w:tc>
        <w:tc>
          <w:tcPr>
            <w:tcW w:w="2551" w:type="dxa"/>
            <w:vAlign w:val="center"/>
          </w:tcPr>
          <w:p>
            <w:pPr>
              <w:pStyle w:val="12"/>
            </w:pPr>
            <w:r>
              <w:t>≥90审核建档</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按预算资金完成率</w:t>
            </w:r>
          </w:p>
        </w:tc>
        <w:tc>
          <w:tcPr>
            <w:tcW w:w="2835" w:type="dxa"/>
            <w:vAlign w:val="center"/>
          </w:tcPr>
          <w:p>
            <w:pPr>
              <w:pStyle w:val="12"/>
            </w:pPr>
            <w:r>
              <w:t>按预算资金完成率</w:t>
            </w:r>
          </w:p>
        </w:tc>
        <w:tc>
          <w:tcPr>
            <w:tcW w:w="2551" w:type="dxa"/>
            <w:vAlign w:val="center"/>
          </w:tcPr>
          <w:p>
            <w:pPr>
              <w:pStyle w:val="12"/>
            </w:pPr>
            <w:r>
              <w:t>≥100查阅资金拨付明细</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数量指标</w:t>
            </w:r>
          </w:p>
        </w:tc>
        <w:tc>
          <w:tcPr>
            <w:tcW w:w="2835" w:type="dxa"/>
            <w:vAlign w:val="center"/>
          </w:tcPr>
          <w:p>
            <w:pPr>
              <w:pStyle w:val="12"/>
            </w:pPr>
            <w:r>
              <w:t>实施帮扶活动的县级覆盖率</w:t>
            </w:r>
          </w:p>
        </w:tc>
        <w:tc>
          <w:tcPr>
            <w:tcW w:w="2835" w:type="dxa"/>
            <w:vAlign w:val="center"/>
          </w:tcPr>
          <w:p>
            <w:pPr>
              <w:pStyle w:val="12"/>
            </w:pPr>
            <w:r>
              <w:t>资金到位率</w:t>
            </w:r>
          </w:p>
        </w:tc>
        <w:tc>
          <w:tcPr>
            <w:tcW w:w="2551" w:type="dxa"/>
            <w:vAlign w:val="center"/>
          </w:tcPr>
          <w:p>
            <w:pPr>
              <w:pStyle w:val="12"/>
            </w:pPr>
            <w:r>
              <w:t>≥100资金拨付率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按期完成资金支付</w:t>
            </w:r>
          </w:p>
        </w:tc>
        <w:tc>
          <w:tcPr>
            <w:tcW w:w="2835" w:type="dxa"/>
            <w:vAlign w:val="center"/>
          </w:tcPr>
          <w:p>
            <w:pPr>
              <w:pStyle w:val="12"/>
            </w:pPr>
            <w:r>
              <w:t>按期完成资金支付</w:t>
            </w:r>
          </w:p>
        </w:tc>
        <w:tc>
          <w:tcPr>
            <w:tcW w:w="2551" w:type="dxa"/>
            <w:vAlign w:val="center"/>
          </w:tcPr>
          <w:p>
            <w:pPr>
              <w:pStyle w:val="12"/>
            </w:pPr>
            <w:r>
              <w:t>≥100按期完成率</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2835" w:type="dxa"/>
            <w:vAlign w:val="center"/>
          </w:tcPr>
          <w:p>
            <w:pPr>
              <w:pStyle w:val="12"/>
            </w:pPr>
            <w:r>
              <w:t>社会氛围</w:t>
            </w:r>
          </w:p>
        </w:tc>
        <w:tc>
          <w:tcPr>
            <w:tcW w:w="2551" w:type="dxa"/>
            <w:vAlign w:val="center"/>
          </w:tcPr>
          <w:p>
            <w:pPr>
              <w:pStyle w:val="12"/>
            </w:pPr>
            <w:r>
              <w:t>≥90入户走访或电话回访</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维护社会稳定</w:t>
            </w:r>
          </w:p>
        </w:tc>
        <w:tc>
          <w:tcPr>
            <w:tcW w:w="2835" w:type="dxa"/>
            <w:vAlign w:val="center"/>
          </w:tcPr>
          <w:p>
            <w:pPr>
              <w:pStyle w:val="12"/>
            </w:pPr>
            <w:r>
              <w:t>维护社会稳定</w:t>
            </w:r>
          </w:p>
        </w:tc>
        <w:tc>
          <w:tcPr>
            <w:tcW w:w="2551" w:type="dxa"/>
            <w:vAlign w:val="center"/>
          </w:tcPr>
          <w:p>
            <w:pPr>
              <w:pStyle w:val="12"/>
            </w:pPr>
            <w:r>
              <w:t>≥90职工反馈意见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资金使用效益</w:t>
            </w:r>
          </w:p>
        </w:tc>
        <w:tc>
          <w:tcPr>
            <w:tcW w:w="2835" w:type="dxa"/>
            <w:vAlign w:val="center"/>
          </w:tcPr>
          <w:p>
            <w:pPr>
              <w:pStyle w:val="12"/>
            </w:pPr>
            <w:r>
              <w:t>资金使用效益</w:t>
            </w:r>
          </w:p>
        </w:tc>
        <w:tc>
          <w:tcPr>
            <w:tcW w:w="2551" w:type="dxa"/>
            <w:vAlign w:val="center"/>
          </w:tcPr>
          <w:p>
            <w:pPr>
              <w:pStyle w:val="12"/>
            </w:pPr>
            <w:r>
              <w:t>≥90回访收集意见</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结果准确性</w:t>
            </w:r>
          </w:p>
        </w:tc>
        <w:tc>
          <w:tcPr>
            <w:tcW w:w="2835" w:type="dxa"/>
            <w:vAlign w:val="center"/>
          </w:tcPr>
          <w:p>
            <w:pPr>
              <w:pStyle w:val="12"/>
            </w:pPr>
            <w:r>
              <w:t>结果准确性</w:t>
            </w:r>
          </w:p>
        </w:tc>
        <w:tc>
          <w:tcPr>
            <w:tcW w:w="2551" w:type="dxa"/>
            <w:vAlign w:val="center"/>
          </w:tcPr>
          <w:p>
            <w:pPr>
              <w:pStyle w:val="12"/>
            </w:pPr>
            <w:r>
              <w:t>≥85查阅档案建档情况</w:t>
            </w:r>
          </w:p>
        </w:tc>
        <w:tc>
          <w:tcPr>
            <w:tcW w:w="2268" w:type="dxa"/>
            <w:vAlign w:val="center"/>
          </w:tcPr>
          <w:p>
            <w:pPr>
              <w:pStyle w:val="12"/>
            </w:pPr>
            <w:r>
              <w:t>困难职工帮扶救助专项资金管理办法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≥90职工满意度</w:t>
            </w:r>
          </w:p>
        </w:tc>
        <w:tc>
          <w:tcPr>
            <w:tcW w:w="2268" w:type="dxa"/>
            <w:vAlign w:val="center"/>
          </w:tcPr>
          <w:p>
            <w:pPr>
              <w:pStyle w:val="12"/>
            </w:pPr>
            <w:r>
              <w:t>困难职工帮扶救助专项资金管理办法</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hint="eastAsia" w:ascii="黑体" w:hAnsi="黑体" w:eastAsia="黑体" w:cs="黑体"/>
          <w:color w:val="000000"/>
          <w:sz w:val="32"/>
          <w:lang w:eastAsia="zh-CN"/>
        </w:rPr>
        <w:t>六</w:t>
      </w:r>
      <w:r>
        <w:rPr>
          <w:rFonts w:ascii="黑体" w:hAnsi="黑体" w:eastAsia="黑体" w:cs="黑体"/>
          <w:color w:val="000000"/>
          <w:sz w:val="32"/>
        </w:rPr>
        <w:t>、政府采购预算情况</w:t>
      </w:r>
      <w:bookmarkEnd w:id="14"/>
    </w:p>
    <w:p>
      <w:pPr>
        <w:spacing w:line="500" w:lineRule="exact"/>
        <w:ind w:firstLine="560"/>
      </w:pPr>
      <w:r>
        <w:rPr>
          <w:rFonts w:eastAsia="方正仿宋_GBK"/>
          <w:color w:val="000000"/>
          <w:sz w:val="28"/>
        </w:rPr>
        <w:t>2023年，宁晋县总工会安排政府采购预算0.00万元。具体内容见下表。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711宁晋县总工会</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w:t>
            </w:r>
            <w:r>
              <w:rPr>
                <w:rFonts w:hint="eastAsia"/>
                <w:lang w:eastAsia="zh-CN"/>
              </w:rPr>
              <w:t>3</w:t>
            </w:r>
            <w:r>
              <w:t>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hint="eastAsia" w:ascii="黑体" w:hAnsi="黑体" w:eastAsia="黑体" w:cs="黑体"/>
          <w:color w:val="000000"/>
          <w:sz w:val="32"/>
          <w:lang w:eastAsia="zh-CN"/>
        </w:rPr>
        <w:t>七</w:t>
      </w:r>
      <w:r>
        <w:rPr>
          <w:rFonts w:ascii="黑体" w:hAnsi="黑体" w:eastAsia="黑体" w:cs="黑体"/>
          <w:color w:val="000000"/>
          <w:sz w:val="32"/>
        </w:rPr>
        <w:t>、国有资产信息</w:t>
      </w:r>
      <w:bookmarkEnd w:id="15"/>
    </w:p>
    <w:p>
      <w:pPr>
        <w:spacing w:line="500" w:lineRule="exact"/>
        <w:ind w:firstLine="560"/>
      </w:pPr>
      <w:r>
        <w:rPr>
          <w:rFonts w:eastAsia="方正仿宋_GBK"/>
          <w:color w:val="000000"/>
          <w:sz w:val="28"/>
        </w:rPr>
        <w:t>宁晋县总工会（含所属单位）上年末固定资产金额为0.00万元（详见下表）。本年度拟购置固定资产总额为0.00万元，已按要求列入政府采购预算，详见政府采购预算表。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711宁晋县总工会</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lang w:eastAsia="zh-CN"/>
        </w:rPr>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rPr>
          <w:rFonts w:hint="eastAsia" w:eastAsiaTheme="minor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U1OWJkZGEzOTk4ZGE3ZDhhYzAxY2Y1NjAyODY3YTAifQ=="/>
  </w:docVars>
  <w:rsids>
    <w:rsidRoot w:val="00F818AB"/>
    <w:rsid w:val="00462C25"/>
    <w:rsid w:val="00744F74"/>
    <w:rsid w:val="00C97100"/>
    <w:rsid w:val="00F818AB"/>
    <w:rsid w:val="553F3CC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kern w:val="0"/>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uiPriority w:val="0"/>
    <w:rPr>
      <w:rFonts w:ascii="Times New Roman" w:hAnsi="Times New Roman"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uiPriority w:val="99"/>
    <w:rPr>
      <w:rFonts w:ascii="Times New Roman" w:hAnsi="Times New Roman" w:eastAsia="Times New Roman" w:cs="Times New Roman"/>
      <w:kern w:val="0"/>
      <w:sz w:val="18"/>
      <w:szCs w:val="18"/>
      <w:lang w:eastAsia="uk-UA"/>
    </w:rPr>
  </w:style>
  <w:style w:type="character" w:customStyle="1" w:styleId="34">
    <w:name w:val="页脚 Char"/>
    <w:basedOn w:val="6"/>
    <w:link w:val="2"/>
    <w:semiHidden/>
    <w:uiPriority w:val="99"/>
    <w:rPr>
      <w:rFonts w:ascii="Times New Roman" w:hAnsi="Times New Roman" w:eastAsia="Times New Roman" w:cs="Times New Roman"/>
      <w:kern w:val="0"/>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1545</Words>
  <Characters>8808</Characters>
  <Lines>73</Lines>
  <Paragraphs>20</Paragraphs>
  <TotalTime>5</TotalTime>
  <ScaleCrop>false</ScaleCrop>
  <LinksUpToDate>false</LinksUpToDate>
  <CharactersWithSpaces>10333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2023-09-05T07:06:00Z</dcterms:created>
  <dc:creator>123</dc:creator>
  <cp:lastModifiedBy>elsa112233</cp:lastModifiedBy>
  <dcterms:modified xsi:type="dcterms:W3CDTF">2024-02-01T07:52:00Z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D21ACD40563E49E485E8E1E1680C5D16_12</vt:lpwstr>
  </property>
</Properties>
</file>