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宁晋县</w:t>
      </w: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2023年</w:t>
      </w: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政府信息公开工作年度报告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根据《中华人民共和国政府信息公开条例》《河北省实施〈中华人民共和国政府信息公开条例〉办法》等规定，发布本年度报告。报告中所列数据统计期限为2023年1月1日至12月31日。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2023年，我县认真贯彻落实《中华人民共和国政府信息公开条例》《河北省实施&lt;中华人民共和国政府信息公开条例&gt;办法》，</w:t>
      </w:r>
      <w:r>
        <w:rPr>
          <w:rFonts w:hint="eastAsia" w:ascii="仿宋" w:hAnsi="仿宋" w:eastAsia="仿宋" w:cs="仿宋"/>
          <w:spacing w:val="0"/>
          <w:sz w:val="32"/>
          <w:szCs w:val="32"/>
          <w:lang w:eastAsia="zh-CN"/>
        </w:rPr>
        <w:t>按</w:t>
      </w:r>
      <w:r>
        <w:rPr>
          <w:rFonts w:hint="eastAsia" w:ascii="仿宋" w:hAnsi="仿宋" w:eastAsia="仿宋" w:cs="仿宋"/>
          <w:spacing w:val="0"/>
          <w:sz w:val="32"/>
          <w:szCs w:val="32"/>
          <w:lang w:val="en-US" w:eastAsia="zh-CN"/>
        </w:rPr>
        <w:t>照</w:t>
      </w:r>
      <w:r>
        <w:rPr>
          <w:rFonts w:hint="eastAsia" w:ascii="仿宋" w:hAnsi="仿宋" w:eastAsia="仿宋" w:cs="仿宋"/>
          <w:spacing w:val="0"/>
          <w:sz w:val="32"/>
          <w:szCs w:val="32"/>
          <w:lang w:eastAsia="zh-CN"/>
        </w:rPr>
        <w:t>省、</w:t>
      </w:r>
      <w:r>
        <w:rPr>
          <w:rFonts w:hint="eastAsia" w:ascii="仿宋" w:hAnsi="仿宋" w:eastAsia="仿宋" w:cs="仿宋"/>
          <w:spacing w:val="0"/>
          <w:kern w:val="0"/>
          <w:sz w:val="32"/>
          <w:szCs w:val="32"/>
          <w:lang w:val="en-US" w:eastAsia="zh-CN"/>
        </w:rPr>
        <w:t>市、县《2023年政务公开工作要点》</w:t>
      </w:r>
      <w:r>
        <w:rPr>
          <w:rFonts w:hint="eastAsia" w:ascii="仿宋" w:hAnsi="仿宋" w:eastAsia="仿宋" w:cs="仿宋"/>
          <w:spacing w:val="0"/>
          <w:sz w:val="32"/>
          <w:szCs w:val="32"/>
          <w:lang w:eastAsia="zh-CN"/>
        </w:rPr>
        <w:t>要求，</w:t>
      </w:r>
      <w:r>
        <w:rPr>
          <w:rFonts w:hint="eastAsia" w:ascii="仿宋" w:hAnsi="仿宋" w:eastAsia="仿宋" w:cs="仿宋"/>
          <w:spacing w:val="0"/>
          <w:sz w:val="32"/>
          <w:szCs w:val="32"/>
          <w:lang w:val="en-US" w:eastAsia="zh-CN"/>
        </w:rPr>
        <w:t>围绕主动公开、依申请公开、政策解读、平台建设等各项重点任务，</w:t>
      </w:r>
      <w:r>
        <w:rPr>
          <w:rFonts w:hint="eastAsia" w:ascii="仿宋" w:hAnsi="仿宋" w:eastAsia="仿宋" w:cs="仿宋"/>
          <w:sz w:val="32"/>
          <w:szCs w:val="32"/>
        </w:rPr>
        <w:t>积极督导、推进我县政务公开工作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顺利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开展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楷体" w:hAnsi="楷体" w:eastAsia="楷体" w:cs="楷体"/>
          <w:color w:val="auto"/>
          <w:sz w:val="32"/>
          <w:szCs w:val="32"/>
          <w:u w:val="none"/>
          <w:lang w:val="en-US" w:eastAsia="zh-CN"/>
        </w:rPr>
        <w:t>（一）稳步开展主动公开。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2023年以来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，我县各级部门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通过宁晋县政府信息公开平台公开政策文件、机构信息、人大代表建议、政协提案办理情况、财政预决算、政府公报、政府信息公开年度报告等信息3600余条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，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其中通过专栏公开人大代表建议、政协提案办理复文88条；全县各政务新媒体发布决策部署、政策措施等2661条；通过县档案馆、图书馆和政务服务大厅公开政策文件210件。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楷体" w:hAnsi="楷体" w:eastAsia="楷体" w:cs="楷体"/>
          <w:color w:val="auto"/>
          <w:sz w:val="32"/>
          <w:szCs w:val="32"/>
          <w:u w:val="none"/>
          <w:lang w:val="en-US" w:eastAsia="zh-CN"/>
        </w:rPr>
        <w:t>（二）规范答复依申请公开。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-SA"/>
        </w:rPr>
        <w:t>严格执行《河北省政府信息公开申请办理规范》，依据《答复格式文本》制作政府信息公开申请</w:t>
      </w:r>
      <w:r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-SA"/>
        </w:rPr>
        <w:t>答复书、告知书等，扎实推进依申请公开工作规范化标准化。2023年，全年办理申请56件。其中，办理向县政府暨县政府办公室申请的依申请公开21件。2023年，全县收到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-SA"/>
        </w:rPr>
        <w:t>因依申请公开引起的行政复议2件，因依申请公开引起的行政诉讼1件。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6"/>
        <w:jc w:val="both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color w:val="auto"/>
          <w:kern w:val="2"/>
          <w:sz w:val="32"/>
          <w:szCs w:val="32"/>
          <w:u w:val="none"/>
          <w:lang w:val="en-US" w:eastAsia="zh-CN" w:bidi="ar-SA"/>
        </w:rPr>
        <w:t>（三）严格政府信息管理。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严格落实公文公开审查机制，指导单位认真填写《拟发公文信息公开（保密）审查表》，将公文属性源头认定和发布审查嵌入发文流程，有效解决政府文件公开不到位问题。2023年，通过县政府信息公开平台及时发布</w:t>
      </w:r>
      <w:r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  <w:t>政策性文件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17件。</w:t>
      </w:r>
    </w:p>
    <w:p>
      <w:pPr>
        <w:pStyle w:val="7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color w:val="auto"/>
          <w:kern w:val="2"/>
          <w:sz w:val="32"/>
          <w:szCs w:val="32"/>
          <w:u w:val="none"/>
          <w:lang w:val="en-US" w:eastAsia="zh-CN" w:bidi="ar-SA"/>
        </w:rPr>
        <w:t>（四）加大政策解读力度。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紧紧围绕省、市政策解读重点领域，对我县出台的《关于保产业链供应链稳定的九条政策措施》、《宁晋县城市燃气等老旧管网更新改造实施方案（2023--2025年）》、《宁晋县2023年财政衔接推进乡村振兴补助资金分配方案》等政策文件进行解读。2023年，通过宁晋县政府信息公开平台“政策解读”栏目发布政策解读信息14条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color w:val="auto"/>
          <w:kern w:val="2"/>
          <w:sz w:val="32"/>
          <w:szCs w:val="32"/>
          <w:u w:val="none"/>
          <w:lang w:val="en-US" w:eastAsia="zh-CN" w:bidi="ar-SA"/>
        </w:rPr>
        <w:t>（五）稳步</w:t>
      </w:r>
      <w:r>
        <w:rPr>
          <w:rFonts w:hint="default" w:ascii="楷体" w:hAnsi="楷体" w:eastAsia="楷体" w:cs="楷体"/>
          <w:color w:val="auto"/>
          <w:kern w:val="2"/>
          <w:sz w:val="32"/>
          <w:szCs w:val="32"/>
          <w:u w:val="none"/>
          <w:lang w:val="en-US" w:eastAsia="zh-CN" w:bidi="ar-SA"/>
        </w:rPr>
        <w:t>推进</w:t>
      </w:r>
      <w:r>
        <w:rPr>
          <w:rFonts w:hint="eastAsia" w:ascii="楷体" w:hAnsi="楷体" w:eastAsia="楷体" w:cs="楷体"/>
          <w:color w:val="auto"/>
          <w:kern w:val="2"/>
          <w:sz w:val="32"/>
          <w:szCs w:val="32"/>
          <w:u w:val="none"/>
          <w:lang w:val="en-US" w:eastAsia="zh-CN" w:bidi="ar-SA"/>
        </w:rPr>
        <w:t>平台建设。</w:t>
      </w:r>
      <w:r>
        <w:rPr>
          <w:rFonts w:hint="eastAsia" w:ascii="仿宋" w:hAnsi="仿宋" w:eastAsia="仿宋" w:cs="仿宋"/>
          <w:i w:val="0"/>
          <w:iCs w:val="0"/>
          <w:sz w:val="32"/>
          <w:szCs w:val="32"/>
          <w:u w:val="none"/>
          <w:shd w:val="clear" w:fill="FFFFFF"/>
          <w:lang w:val="en-US" w:eastAsia="zh-CN"/>
        </w:rPr>
        <w:t>一是提升网站运维管理水平。建立政府网站常态化监管机制，对政府网站的整体运行情况、栏目更新情况等开展日常巡检。完成了政府网站从移动公有云到政务云的迁移工作，进一步加强了网站安全防护能力；二是完善重点领域栏目。对重点领域的信息进行了归类划分，增加了部分专栏，方便群众更容易查找信息；三是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认真做好新媒体的开设、备案、更新发布等工作，确保我县政务新媒体正常运转</w:t>
      </w:r>
      <w:r>
        <w:rPr>
          <w:rFonts w:hint="eastAsia" w:ascii="仿宋" w:hAnsi="仿宋" w:eastAsia="仿宋" w:cs="仿宋"/>
          <w:i w:val="0"/>
          <w:iCs w:val="0"/>
          <w:sz w:val="32"/>
          <w:szCs w:val="32"/>
          <w:u w:val="none"/>
          <w:shd w:val="clear" w:fill="FFFFFF"/>
          <w:lang w:val="en-US" w:eastAsia="zh-CN"/>
        </w:rPr>
        <w:t>；四是优化完善政务公开专区和政府公报。及时通过图书馆、档案馆、政务公开专区公开相关政策文件，并定期通过政务公开专区、县政府信息公开平台“政府公报”专栏、“宁晋县政府”微信公众号及时公开宁晋县人民政府公报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right" w:pos="8306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color w:val="auto"/>
          <w:kern w:val="2"/>
          <w:sz w:val="32"/>
          <w:szCs w:val="32"/>
          <w:u w:val="none"/>
          <w:lang w:val="en-US" w:eastAsia="zh-CN" w:bidi="ar-SA"/>
        </w:rPr>
        <w:t>（六）强化监督保障。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一是加强政务新媒体监管。对我县开设的48个政务新媒体定期进行巡查，及时督促更新不及时的单位发布信息，每周定期汇总我县政务新媒体发布情况并上报，确保我县政务新媒体正常运转；二是对政务公开工作重点任务梳理形成台账，细化实化责任分工；三是通过组织各乡镇、县政府各部门行政工作人员参加全省2023年信息公开法律知识学习问答活动，</w:t>
      </w:r>
      <w:r>
        <w:rPr>
          <w:rFonts w:hint="default" w:ascii="仿宋" w:hAnsi="仿宋" w:eastAsia="仿宋" w:cs="仿宋"/>
          <w:color w:val="auto"/>
          <w:sz w:val="32"/>
          <w:szCs w:val="32"/>
          <w:lang w:val="en-US" w:eastAsia="zh-CN"/>
        </w:rPr>
        <w:t>进一步抓好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《中华人民共和国政府信息公开条例》等法律法规的</w:t>
      </w:r>
      <w:r>
        <w:rPr>
          <w:rFonts w:hint="default" w:ascii="仿宋" w:hAnsi="仿宋" w:eastAsia="仿宋" w:cs="仿宋"/>
          <w:color w:val="auto"/>
          <w:sz w:val="32"/>
          <w:szCs w:val="32"/>
          <w:lang w:val="en-US" w:eastAsia="zh-CN"/>
        </w:rPr>
        <w:t>学习宣传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贯彻落实</w:t>
      </w:r>
      <w:r>
        <w:rPr>
          <w:rFonts w:hint="default" w:ascii="仿宋" w:hAnsi="仿宋" w:eastAsia="仿宋" w:cs="仿宋"/>
          <w:color w:val="auto"/>
          <w:sz w:val="32"/>
          <w:szCs w:val="32"/>
          <w:lang w:val="en-US" w:eastAsia="zh-CN"/>
        </w:rPr>
        <w:t>，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不断增强政府工作人员公开意识和公开能力，全面推进政务公开、优化政务服务；四是认真</w:t>
      </w:r>
      <w:r>
        <w:rPr>
          <w:rFonts w:hint="eastAsia" w:ascii="仿宋" w:hAnsi="仿宋" w:eastAsia="仿宋" w:cs="仿宋"/>
          <w:i w:val="0"/>
          <w:iCs w:val="0"/>
          <w:color w:val="auto"/>
          <w:sz w:val="32"/>
          <w:szCs w:val="32"/>
          <w:u w:val="none"/>
          <w:shd w:val="clear" w:fill="FFFFFF"/>
        </w:rPr>
        <w:t>组织开展政务公开工作考核，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激发了各单位工作活力。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right" w:pos="8306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</w:p>
    <w:p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8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91085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35184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3754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default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6445.84</w:t>
            </w:r>
          </w:p>
        </w:tc>
      </w:tr>
    </w:tbl>
    <w:p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</w:pPr>
    </w:p>
    <w:p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</w:pPr>
      <w:bookmarkStart w:id="0" w:name="_GoBack"/>
      <w:bookmarkEnd w:id="0"/>
    </w:p>
    <w:p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三、收到和处理政府信息公开申请情况</w:t>
      </w:r>
    </w:p>
    <w:tbl>
      <w:tblPr>
        <w:tblStyle w:val="8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55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56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21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21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3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25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26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2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1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7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51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52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4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4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8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2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2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五、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存在的主要问题及改进情况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2023年</w:t>
      </w:r>
      <w:r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，我</w:t>
      </w:r>
      <w:r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县</w:t>
      </w:r>
      <w:r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虽然取得了一定成绩，但还存在一些不足和问题，主要表现政府信息公开工作的人</w:t>
      </w:r>
      <w:r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员队伍需要加强，政策解读方式不够多元化，政府信息公开工作创新的手段还不够丰富。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下一步，我县将在以下方面持续发力：一是深化政务公开，践行群众路线，倾力做实为民服务；二是不断改进政策解读工作方式，持续提高政策解读质量；三是加强政务公开工作指导和业务培训，提高培训针对性和有效性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六、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其他需要报告的事项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认真贯彻执行国务院办公厅《政府信息公开信息处理费管理办法》和《关于政府信息公开处理费管理有关事项的通知》。</w:t>
      </w: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2023年，</w:t>
      </w:r>
      <w:r>
        <w:rPr>
          <w:rFonts w:hint="eastAsia" w:ascii="仿宋" w:hAnsi="仿宋" w:eastAsia="仿宋" w:cs="仿宋"/>
          <w:color w:val="FF0000"/>
          <w:kern w:val="2"/>
          <w:sz w:val="32"/>
          <w:szCs w:val="32"/>
          <w:shd w:val="clear" w:color="auto" w:fill="FFFFFF"/>
          <w:lang w:val="en-US" w:eastAsia="zh-CN" w:bidi="ar-SA"/>
        </w:rPr>
        <w:t>我县没有收取信息处理费。</w:t>
      </w: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无其他需要报告事项。</w:t>
      </w:r>
    </w:p>
    <w:sectPr>
      <w:footerReference r:id="rId3" w:type="default"/>
      <w:pgSz w:w="11906" w:h="16838"/>
      <w:pgMar w:top="1871" w:right="1474" w:bottom="1757" w:left="1474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2426970</wp:posOffset>
              </wp:positionH>
              <wp:positionV relativeFrom="paragraph">
                <wp:posOffset>-123825</wp:posOffset>
              </wp:positionV>
              <wp:extent cx="396875" cy="302895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6875" cy="30289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rPr>
                              <w:rFonts w:hint="eastAsia" w:ascii="仿宋" w:hAnsi="仿宋" w:eastAsia="仿宋" w:cs="仿宋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191.1pt;margin-top:-9.75pt;height:23.85pt;width:31.25pt;mso-position-horizontal-relative:margin;z-index:251659264;mso-width-relative:page;mso-height-relative:page;" filled="f" stroked="f" coordsize="21600,21600" o:gfxdata="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>
                    <w:pPr>
                      <w:pStyle w:val="4"/>
                      <w:rPr>
                        <w:rFonts w:hint="eastAsia" w:ascii="仿宋" w:hAnsi="仿宋" w:eastAsia="仿宋" w:cs="仿宋"/>
                        <w:sz w:val="32"/>
                        <w:szCs w:val="32"/>
                      </w:rPr>
                    </w:pP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FkZTc2Y2M1YTQ1NjdkMzM2N2YwMjUyYzQxZDRmYzEifQ=="/>
  </w:docVars>
  <w:rsids>
    <w:rsidRoot w:val="063977E7"/>
    <w:rsid w:val="0078117A"/>
    <w:rsid w:val="011D3525"/>
    <w:rsid w:val="01984664"/>
    <w:rsid w:val="01AE3513"/>
    <w:rsid w:val="03B93D3E"/>
    <w:rsid w:val="041A444D"/>
    <w:rsid w:val="061B4CE2"/>
    <w:rsid w:val="063977E7"/>
    <w:rsid w:val="075524D7"/>
    <w:rsid w:val="07585F66"/>
    <w:rsid w:val="07CF51E9"/>
    <w:rsid w:val="08161C67"/>
    <w:rsid w:val="08E77E2A"/>
    <w:rsid w:val="09B22306"/>
    <w:rsid w:val="0AD65E50"/>
    <w:rsid w:val="0AF14803"/>
    <w:rsid w:val="0D8D6150"/>
    <w:rsid w:val="0D9B5C09"/>
    <w:rsid w:val="0DA20070"/>
    <w:rsid w:val="0FB07F11"/>
    <w:rsid w:val="12C47D88"/>
    <w:rsid w:val="14BF7375"/>
    <w:rsid w:val="15033573"/>
    <w:rsid w:val="15E213DA"/>
    <w:rsid w:val="17222DA3"/>
    <w:rsid w:val="176E51BA"/>
    <w:rsid w:val="1780198E"/>
    <w:rsid w:val="1856495D"/>
    <w:rsid w:val="1AC010ED"/>
    <w:rsid w:val="1B7243D2"/>
    <w:rsid w:val="1B9019AB"/>
    <w:rsid w:val="1BBE1FA1"/>
    <w:rsid w:val="1BD1392C"/>
    <w:rsid w:val="1C6B6476"/>
    <w:rsid w:val="1E5C2F6D"/>
    <w:rsid w:val="1F1219B6"/>
    <w:rsid w:val="203A26A9"/>
    <w:rsid w:val="21384868"/>
    <w:rsid w:val="22387195"/>
    <w:rsid w:val="22BA44BE"/>
    <w:rsid w:val="22D078AB"/>
    <w:rsid w:val="230210D0"/>
    <w:rsid w:val="234D68B3"/>
    <w:rsid w:val="24A061E9"/>
    <w:rsid w:val="26C144CB"/>
    <w:rsid w:val="2BF60452"/>
    <w:rsid w:val="2D0E7903"/>
    <w:rsid w:val="2D3A7792"/>
    <w:rsid w:val="2DBA2E0B"/>
    <w:rsid w:val="2E8B099B"/>
    <w:rsid w:val="2E945A58"/>
    <w:rsid w:val="2F220452"/>
    <w:rsid w:val="31F501FD"/>
    <w:rsid w:val="320C0069"/>
    <w:rsid w:val="32F654B2"/>
    <w:rsid w:val="335702CA"/>
    <w:rsid w:val="33AB6AB9"/>
    <w:rsid w:val="33E537A0"/>
    <w:rsid w:val="33F05CCA"/>
    <w:rsid w:val="34F65C41"/>
    <w:rsid w:val="356053EC"/>
    <w:rsid w:val="35AD335B"/>
    <w:rsid w:val="379B18FC"/>
    <w:rsid w:val="37B06CE3"/>
    <w:rsid w:val="382B5607"/>
    <w:rsid w:val="388F7868"/>
    <w:rsid w:val="38DA319F"/>
    <w:rsid w:val="3A241712"/>
    <w:rsid w:val="3A3E7B24"/>
    <w:rsid w:val="3B200172"/>
    <w:rsid w:val="3B5D554C"/>
    <w:rsid w:val="3C5207B8"/>
    <w:rsid w:val="3C824C23"/>
    <w:rsid w:val="3C945361"/>
    <w:rsid w:val="3CDB4FEE"/>
    <w:rsid w:val="3D754529"/>
    <w:rsid w:val="3F6C1B91"/>
    <w:rsid w:val="3FBF6D58"/>
    <w:rsid w:val="40030CD0"/>
    <w:rsid w:val="406F2185"/>
    <w:rsid w:val="40D32467"/>
    <w:rsid w:val="41735017"/>
    <w:rsid w:val="418049B3"/>
    <w:rsid w:val="42003C12"/>
    <w:rsid w:val="42E959F8"/>
    <w:rsid w:val="43C26223"/>
    <w:rsid w:val="45365170"/>
    <w:rsid w:val="46DB47F7"/>
    <w:rsid w:val="476D7963"/>
    <w:rsid w:val="48061B28"/>
    <w:rsid w:val="480A4080"/>
    <w:rsid w:val="48677399"/>
    <w:rsid w:val="4934311A"/>
    <w:rsid w:val="4A423052"/>
    <w:rsid w:val="4E697477"/>
    <w:rsid w:val="4E757AA5"/>
    <w:rsid w:val="507F44BE"/>
    <w:rsid w:val="52C71B73"/>
    <w:rsid w:val="5439577E"/>
    <w:rsid w:val="5455279C"/>
    <w:rsid w:val="54C14BA4"/>
    <w:rsid w:val="5502051C"/>
    <w:rsid w:val="56FB7981"/>
    <w:rsid w:val="58D00F8B"/>
    <w:rsid w:val="5A6027A4"/>
    <w:rsid w:val="5AE87034"/>
    <w:rsid w:val="5DE629DB"/>
    <w:rsid w:val="5EB34C79"/>
    <w:rsid w:val="5EFB7BBA"/>
    <w:rsid w:val="5F09183B"/>
    <w:rsid w:val="60416965"/>
    <w:rsid w:val="606B7724"/>
    <w:rsid w:val="60EB004D"/>
    <w:rsid w:val="62A001BA"/>
    <w:rsid w:val="64C9358A"/>
    <w:rsid w:val="65483052"/>
    <w:rsid w:val="66C00D37"/>
    <w:rsid w:val="675114E9"/>
    <w:rsid w:val="685A0C35"/>
    <w:rsid w:val="69460600"/>
    <w:rsid w:val="69D41849"/>
    <w:rsid w:val="69F43C85"/>
    <w:rsid w:val="6A58493C"/>
    <w:rsid w:val="6B6950F2"/>
    <w:rsid w:val="6D37320D"/>
    <w:rsid w:val="6E0A6EA2"/>
    <w:rsid w:val="6EBE33BB"/>
    <w:rsid w:val="733316CD"/>
    <w:rsid w:val="74082F2F"/>
    <w:rsid w:val="762B3E08"/>
    <w:rsid w:val="77DD3BA6"/>
    <w:rsid w:val="7DDB1F42"/>
    <w:rsid w:val="7DFB6294"/>
    <w:rsid w:val="7EC95DB8"/>
    <w:rsid w:val="7F0305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autoRedefine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9">
    <w:name w:val="Default Paragraph Font"/>
    <w:autoRedefine/>
    <w:semiHidden/>
    <w:qFormat/>
    <w:uiPriority w:val="0"/>
  </w:style>
  <w:style w:type="table" w:default="1" w:styleId="8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Indent"/>
    <w:basedOn w:val="1"/>
    <w:autoRedefine/>
    <w:unhideWhenUsed/>
    <w:qFormat/>
    <w:uiPriority w:val="99"/>
    <w:pPr>
      <w:spacing w:line="560" w:lineRule="exact"/>
      <w:ind w:firstLine="739" w:firstLineChars="231"/>
    </w:pPr>
    <w:rPr>
      <w:rFonts w:ascii="Times New Roman" w:hAnsi="Times New Roman" w:eastAsia="仿宋_GB2312" w:cs="Times New Roman"/>
      <w:sz w:val="32"/>
      <w:szCs w:val="32"/>
    </w:rPr>
  </w:style>
  <w:style w:type="paragraph" w:styleId="4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7">
    <w:name w:val="Body Text First Indent 2"/>
    <w:basedOn w:val="3"/>
    <w:autoRedefine/>
    <w:unhideWhenUsed/>
    <w:qFormat/>
    <w:uiPriority w:val="99"/>
    <w:pPr>
      <w:ind w:firstLine="420"/>
    </w:pPr>
  </w:style>
  <w:style w:type="character" w:styleId="10">
    <w:name w:val="Strong"/>
    <w:basedOn w:val="9"/>
    <w:autoRedefine/>
    <w:qFormat/>
    <w:uiPriority w:val="0"/>
    <w:rPr>
      <w:b/>
    </w:rPr>
  </w:style>
  <w:style w:type="character" w:styleId="11">
    <w:name w:val="FollowedHyperlink"/>
    <w:basedOn w:val="9"/>
    <w:autoRedefine/>
    <w:qFormat/>
    <w:uiPriority w:val="0"/>
    <w:rPr>
      <w:rFonts w:hint="eastAsia" w:ascii="微软雅黑" w:hAnsi="微软雅黑" w:eastAsia="微软雅黑" w:cs="微软雅黑"/>
      <w:color w:val="800080"/>
      <w:u w:val="none"/>
    </w:rPr>
  </w:style>
  <w:style w:type="character" w:styleId="12">
    <w:name w:val="Emphasis"/>
    <w:basedOn w:val="9"/>
    <w:autoRedefine/>
    <w:qFormat/>
    <w:uiPriority w:val="0"/>
    <w:rPr>
      <w:rFonts w:hint="eastAsia" w:ascii="微软雅黑" w:hAnsi="微软雅黑" w:eastAsia="微软雅黑" w:cs="微软雅黑"/>
      <w:u w:val="none"/>
    </w:rPr>
  </w:style>
  <w:style w:type="character" w:styleId="13">
    <w:name w:val="Hyperlink"/>
    <w:basedOn w:val="9"/>
    <w:autoRedefine/>
    <w:qFormat/>
    <w:uiPriority w:val="0"/>
    <w:rPr>
      <w:rFonts w:hint="eastAsia" w:ascii="微软雅黑" w:hAnsi="微软雅黑" w:eastAsia="微软雅黑" w:cs="微软雅黑"/>
      <w:color w:val="0000FF"/>
      <w:u w:val="none"/>
    </w:rPr>
  </w:style>
  <w:style w:type="character" w:customStyle="1" w:styleId="14">
    <w:name w:val="hover12"/>
    <w:basedOn w:val="9"/>
    <w:autoRedefine/>
    <w:qFormat/>
    <w:uiPriority w:val="0"/>
    <w:rPr>
      <w:color w:val="C50000"/>
    </w:rPr>
  </w:style>
  <w:style w:type="character" w:customStyle="1" w:styleId="15">
    <w:name w:val="curr"/>
    <w:basedOn w:val="9"/>
    <w:autoRedefine/>
    <w:qFormat/>
    <w:uiPriority w:val="0"/>
    <w:rPr>
      <w:color w:val="FFFFFF"/>
      <w:shd w:val="clear" w:fill="C50000"/>
    </w:rPr>
  </w:style>
  <w:style w:type="character" w:customStyle="1" w:styleId="16">
    <w:name w:val="curr2"/>
    <w:basedOn w:val="9"/>
    <w:autoRedefine/>
    <w:qFormat/>
    <w:uiPriority w:val="0"/>
    <w:rPr>
      <w:color w:val="FFFFFF"/>
      <w:shd w:val="clear" w:fill="C50000"/>
    </w:rPr>
  </w:style>
  <w:style w:type="character" w:customStyle="1" w:styleId="17">
    <w:name w:val="curr1"/>
    <w:basedOn w:val="9"/>
    <w:autoRedefine/>
    <w:qFormat/>
    <w:uiPriority w:val="0"/>
    <w:rPr>
      <w:color w:val="FFFFFF"/>
      <w:shd w:val="clear" w:fill="C50000"/>
    </w:rPr>
  </w:style>
  <w:style w:type="character" w:customStyle="1" w:styleId="18">
    <w:name w:val="hover"/>
    <w:basedOn w:val="9"/>
    <w:autoRedefine/>
    <w:qFormat/>
    <w:uiPriority w:val="0"/>
    <w:rPr>
      <w:color w:val="C50000"/>
    </w:rPr>
  </w:style>
  <w:style w:type="character" w:customStyle="1" w:styleId="19">
    <w:name w:val="hover1"/>
    <w:basedOn w:val="9"/>
    <w:autoRedefine/>
    <w:qFormat/>
    <w:uiPriority w:val="0"/>
    <w:rPr>
      <w:color w:val="C50000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footer1.xml" Type="http://schemas.openxmlformats.org/officeDocument/2006/relationships/footer"/><Relationship Id="rId4" Target="theme/theme1.xml" Type="http://schemas.openxmlformats.org/officeDocument/2006/relationships/theme"/><Relationship Id="rId5" Target="../customXml/item1.xml" Type="http://schemas.openxmlformats.org/officeDocument/2006/relationships/customXml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2587</Words>
  <Characters>2696</Characters>
  <Lines>0</Lines>
  <Paragraphs>0</Paragraphs>
  <TotalTime>266</TotalTime>
  <ScaleCrop>false</ScaleCrop>
  <LinksUpToDate>false</LinksUpToDate>
  <CharactersWithSpaces>2846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史世龙</cp:lastModifiedBy>
  <cp:lastPrinted>2024-01-29T01:52:00Z</cp:lastPrinted>
  <dcterms:modified xsi:type="dcterms:W3CDTF">2024-02-02T03:00:08Z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1157CE926B71424ABCEDD46E97C11597</vt:lpwstr>
  </property>
</Properties>
</file>