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0" w:name="_GoBack"/>
      <w:bookmarkEnd w:id="10"/>
    </w:p>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9</w:t>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2</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一、河北宁晋省级农业科技园区本级收支预算</w:t>
      </w:r>
      <w:r>
        <w:tab/>
      </w:r>
      <w:r>
        <w:fldChar w:fldCharType="begin"/>
      </w:r>
      <w:r>
        <w:instrText xml:space="preserve">PAGEREF _Toc_4_4_0000000019 \h</w:instrText>
      </w:r>
      <w:r>
        <w:fldChar w:fldCharType="separate"/>
      </w:r>
      <w:r>
        <w:t>2</w:t>
      </w:r>
      <w:r>
        <w:rPr>
          <w:rFonts w:hint="eastAsia"/>
          <w:lang w:val="en-US" w:eastAsia="zh-CN"/>
        </w:rPr>
        <w:t>6</w:t>
      </w:r>
      <w:r>
        <w:fldChar w:fldCharType="end"/>
      </w:r>
      <w:r>
        <w:fldChar w:fldCharType="end"/>
      </w:r>
    </w:p>
    <w:p>
      <w:pPr>
        <w:jc w:val="center"/>
      </w:pPr>
      <w:r>
        <w:fldChar w:fldCharType="end"/>
      </w:r>
    </w:p>
    <w:p>
      <w:pPr>
        <w:jc w:val="center"/>
      </w:pPr>
    </w:p>
    <w:p>
      <w:pPr>
        <w:jc w:val="center"/>
      </w:pPr>
    </w:p>
    <w:p>
      <w:pPr>
        <w:jc w:val="center"/>
      </w:pPr>
    </w:p>
    <w:p>
      <w:pPr>
        <w:jc w:val="center"/>
      </w:pPr>
    </w:p>
    <w:p>
      <w:pPr>
        <w:jc w:val="center"/>
      </w:pPr>
    </w:p>
    <w:p>
      <w:pPr>
        <w:jc w:val="center"/>
      </w:pPr>
    </w:p>
    <w:p>
      <w:pPr>
        <w:jc w:val="center"/>
      </w:pPr>
    </w:p>
    <w:p>
      <w:pPr>
        <w:jc w:val="center"/>
        <w:rPr>
          <w:rFonts w:ascii="方正小标宋_GBK" w:hAnsi="方正小标宋_GBK" w:eastAsia="方正小标宋_GBK" w:cs="方正小标宋_GBK"/>
          <w:color w:val="000000"/>
          <w:sz w:val="72"/>
        </w:rPr>
      </w:pPr>
    </w:p>
    <w:p>
      <w:pPr>
        <w:jc w:val="center"/>
        <w:rPr>
          <w:rFonts w:ascii="方正小标宋_GBK" w:hAnsi="方正小标宋_GBK" w:eastAsia="方正小标宋_GBK" w:cs="方正小标宋_GBK"/>
          <w:color w:val="000000"/>
          <w:sz w:val="72"/>
        </w:rPr>
      </w:pPr>
    </w:p>
    <w:p>
      <w:pPr>
        <w:jc w:val="center"/>
        <w:sectPr>
          <w:pgSz w:w="16840" w:h="11900" w:orient="landscape"/>
          <w:pgMar w:top="1587" w:right="1134" w:bottom="1361" w:left="1134"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7"/>
        <w:gridCol w:w="4316"/>
        <w:gridCol w:w="1198"/>
        <w:gridCol w:w="6544"/>
        <w:gridCol w:w="20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13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21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8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28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21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4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1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二十七、灾害防治及应急管理共同财政事权转移支付支出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二十八、债务还本支出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二十九、债务付息支出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三十、债务发行费用支出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三十一、抗疫特别国债安排的支出</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21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both"/>
        <w:outlineLvl w:val="0"/>
        <w:rPr>
          <w:rFonts w:ascii="方正小标宋_GBK" w:hAnsi="方正小标宋_GBK" w:eastAsia="方正小标宋_GBK" w:cs="方正小标宋_GBK"/>
          <w:color w:val="000000"/>
          <w:sz w:val="72"/>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79"/>
        <w:gridCol w:w="1136"/>
        <w:gridCol w:w="3096"/>
        <w:gridCol w:w="1028"/>
        <w:gridCol w:w="1028"/>
        <w:gridCol w:w="1028"/>
        <w:gridCol w:w="1025"/>
        <w:gridCol w:w="1025"/>
        <w:gridCol w:w="1046"/>
        <w:gridCol w:w="1037"/>
        <w:gridCol w:w="1028"/>
        <w:gridCol w:w="1025"/>
        <w:gridCol w:w="10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0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9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2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2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242"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4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8"/>
        <w:gridCol w:w="1771"/>
        <w:gridCol w:w="3210"/>
        <w:gridCol w:w="1544"/>
        <w:gridCol w:w="1553"/>
        <w:gridCol w:w="1544"/>
        <w:gridCol w:w="1541"/>
        <w:gridCol w:w="1538"/>
        <w:gridCol w:w="15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94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10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0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6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5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51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5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51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5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5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5"/>
        <w:gridCol w:w="2388"/>
        <w:gridCol w:w="670"/>
        <w:gridCol w:w="4748"/>
        <w:gridCol w:w="670"/>
        <w:gridCol w:w="1856"/>
        <w:gridCol w:w="1982"/>
        <w:gridCol w:w="21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8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8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3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0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379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15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6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7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6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二十七、灾害防治及应急管理共同财政事权转移支付支出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二十八、债务还本支出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二十九、债务付息支出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三十、债务发行费用支出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三十一、抗疫特别国债安排的支出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tabs>
          <w:tab w:val="left" w:pos="6566"/>
        </w:tabs>
        <w:spacing w:before="0" w:after="0" w:line="240" w:lineRule="auto"/>
        <w:ind w:firstLine="0"/>
        <w:jc w:val="left"/>
        <w:outlineLvl w:val="9"/>
        <w:rPr>
          <w:rFonts w:hint="eastAsia"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ab/>
      </w:r>
    </w:p>
    <w:p>
      <w:pPr>
        <w:tabs>
          <w:tab w:val="left" w:pos="6566"/>
        </w:tabs>
        <w:spacing w:before="0" w:after="0" w:line="240" w:lineRule="auto"/>
        <w:ind w:firstLine="0"/>
        <w:jc w:val="left"/>
        <w:outlineLvl w:val="9"/>
        <w:rPr>
          <w:rFonts w:hint="eastAsia" w:ascii="方正小标宋_GBK" w:hAnsi="方正小标宋_GBK" w:eastAsia="方正小标宋_GBK" w:cs="方正小标宋_GBK"/>
          <w:color w:val="000000"/>
          <w:sz w:val="44"/>
          <w:lang w:eastAsia="zh-CN"/>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6"/>
        <w:gridCol w:w="1526"/>
        <w:gridCol w:w="5054"/>
        <w:gridCol w:w="1084"/>
        <w:gridCol w:w="949"/>
        <w:gridCol w:w="1526"/>
        <w:gridCol w:w="1529"/>
        <w:gridCol w:w="24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79"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10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8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1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6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33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8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6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6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8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6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8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6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8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8"/>
        <w:gridCol w:w="1787"/>
        <w:gridCol w:w="3111"/>
        <w:gridCol w:w="3114"/>
        <w:gridCol w:w="3111"/>
        <w:gridCol w:w="31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92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6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310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r>
    </w:tbl>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829"/>
        <w:gridCol w:w="2967"/>
        <w:gridCol w:w="1345"/>
        <w:gridCol w:w="673"/>
        <w:gridCol w:w="1832"/>
        <w:gridCol w:w="3162"/>
        <w:gridCol w:w="32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879"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10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0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66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61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0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0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67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61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7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9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671"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61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5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6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无政府基金</w:t>
            </w:r>
            <w:r>
              <w:rPr>
                <w:rFonts w:ascii="方正书宋_GBK" w:hAnsi="方正书宋_GBK" w:eastAsia="方正书宋_GBK" w:cs="方正书宋_GBK"/>
                <w:color w:val="000000"/>
                <w:sz w:val="21"/>
              </w:rPr>
              <w:t>预算财政拨款预算，空表列示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879"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10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0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4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83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0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0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83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9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34"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5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6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spacing w:before="0" w:after="0" w:line="240" w:lineRule="auto"/>
        <w:ind w:firstLine="0"/>
        <w:jc w:val="left"/>
        <w:outlineLvl w:val="9"/>
        <w:rPr>
          <w:rFonts w:ascii="方正小标宋_GBK" w:hAnsi="方正小标宋_GBK" w:eastAsia="方正小标宋_GBK" w:cs="方正小标宋_GBK"/>
          <w:color w:val="000000"/>
          <w:sz w:val="44"/>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无国有资本经营</w:t>
      </w:r>
      <w:r>
        <w:rPr>
          <w:rFonts w:ascii="方正书宋_GBK" w:hAnsi="方正书宋_GBK" w:eastAsia="方正书宋_GBK" w:cs="方正书宋_GBK"/>
          <w:color w:val="000000"/>
          <w:sz w:val="21"/>
        </w:rPr>
        <w:t>预算财政拨款预算，空表列示</w:t>
      </w:r>
    </w:p>
    <w:p>
      <w:pPr>
        <w:spacing w:before="0" w:after="0" w:line="240" w:lineRule="auto"/>
        <w:ind w:firstLine="0"/>
        <w:jc w:val="left"/>
        <w:outlineLvl w:val="9"/>
        <w:rPr>
          <w:rFonts w:ascii="方正小标宋_GBK" w:hAnsi="方正小标宋_GBK" w:eastAsia="方正小标宋_GBK" w:cs="方正小标宋_GBK"/>
          <w:color w:val="000000"/>
          <w:sz w:val="44"/>
        </w:r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9"/>
        <w:gridCol w:w="4108"/>
        <w:gridCol w:w="2529"/>
        <w:gridCol w:w="2529"/>
        <w:gridCol w:w="2529"/>
        <w:gridCol w:w="25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3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预算单位编码及名称：[981]河北宁晋省级农业科技园区</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336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36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w:t>
      </w:r>
      <w:r>
        <w:rPr>
          <w:rFonts w:hint="eastAsia" w:ascii="方正书宋_GBK" w:hAnsi="方正书宋_GBK" w:eastAsia="方正书宋_GBK" w:cs="方正书宋_GBK"/>
          <w:color w:val="000000"/>
          <w:sz w:val="21"/>
          <w:lang w:val="en-US" w:eastAsia="zh-CN"/>
        </w:rPr>
        <w:t>“三公”经费</w:t>
      </w:r>
      <w:r>
        <w:rPr>
          <w:rFonts w:ascii="方正书宋_GBK" w:hAnsi="方正书宋_GBK" w:eastAsia="方正书宋_GBK" w:cs="方正书宋_GBK"/>
          <w:color w:val="000000"/>
          <w:sz w:val="21"/>
        </w:rPr>
        <w:t>预算财政拨款预算，空表列示。</w:t>
      </w: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、《地方预决算公开操作规程》和《关于进一步推进预算公开工作的实施意见》规定，现将河北宁晋省级农业科技园区202</w:t>
      </w: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年部门预算公开如下：</w:t>
      </w:r>
    </w:p>
    <w:p>
      <w:pPr>
        <w:spacing w:before="10" w:after="10" w:line="360" w:lineRule="auto"/>
        <w:ind w:firstLine="640"/>
        <w:jc w:val="left"/>
        <w:outlineLvl w:val="2"/>
      </w:pPr>
      <w:bookmarkStart w:id="0" w:name="_Toc_3_3_0000000010"/>
      <w:r>
        <w:rPr>
          <w:rFonts w:ascii="黑体" w:hAnsi="黑体" w:eastAsia="黑体" w:cs="黑体"/>
          <w:color w:val="000000"/>
          <w:sz w:val="32"/>
        </w:rPr>
        <w:t>一、部门职责及机构设置情况</w:t>
      </w:r>
      <w:bookmarkEnd w:id="0"/>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19"/>
      </w:pPr>
      <w:r>
        <w:t xml:space="preserve">内设机构：办公室 </w:t>
      </w:r>
    </w:p>
    <w:p>
      <w:pPr>
        <w:pStyle w:val="19"/>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07"/>
        <w:gridCol w:w="2279"/>
        <w:gridCol w:w="2279"/>
        <w:gridCol w:w="4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7" w:type="pct"/>
            <w:vAlign w:val="center"/>
          </w:tcPr>
          <w:p>
            <w:pPr>
              <w:pStyle w:val="12"/>
            </w:pPr>
            <w:r>
              <w:t>单位名称</w:t>
            </w:r>
          </w:p>
        </w:tc>
        <w:tc>
          <w:tcPr>
            <w:tcW w:w="759" w:type="pct"/>
            <w:vAlign w:val="center"/>
          </w:tcPr>
          <w:p>
            <w:pPr>
              <w:pStyle w:val="12"/>
            </w:pPr>
            <w:r>
              <w:t>单位性质</w:t>
            </w:r>
          </w:p>
        </w:tc>
        <w:tc>
          <w:tcPr>
            <w:tcW w:w="759" w:type="pct"/>
            <w:vAlign w:val="center"/>
          </w:tcPr>
          <w:p>
            <w:pPr>
              <w:pStyle w:val="12"/>
            </w:pPr>
            <w:r>
              <w:t>单位规格</w:t>
            </w:r>
          </w:p>
        </w:tc>
        <w:tc>
          <w:tcPr>
            <w:tcW w:w="151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7" w:type="pct"/>
            <w:vAlign w:val="center"/>
          </w:tcPr>
          <w:p>
            <w:pPr>
              <w:pStyle w:val="14"/>
              <w:jc w:val="center"/>
            </w:pPr>
            <w:r>
              <w:t>河北宁晋省级农业科技园区</w:t>
            </w:r>
          </w:p>
        </w:tc>
        <w:tc>
          <w:tcPr>
            <w:tcW w:w="759" w:type="pct"/>
            <w:vAlign w:val="center"/>
          </w:tcPr>
          <w:p>
            <w:pPr>
              <w:pStyle w:val="15"/>
            </w:pPr>
            <w:r>
              <w:t>事业</w:t>
            </w:r>
          </w:p>
        </w:tc>
        <w:tc>
          <w:tcPr>
            <w:tcW w:w="759" w:type="pct"/>
            <w:vAlign w:val="center"/>
          </w:tcPr>
          <w:p>
            <w:pPr>
              <w:pStyle w:val="15"/>
            </w:pPr>
            <w:r>
              <w:t>正科级</w:t>
            </w:r>
          </w:p>
        </w:tc>
        <w:tc>
          <w:tcPr>
            <w:tcW w:w="1514" w:type="pct"/>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
    </w:p>
    <w:p>
      <w:pPr>
        <w:pStyle w:val="2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按照预算管理有关规定，目前我省部门预算的编制实行综合预算管理，即全部收入和支出都反映在预算中。河北宁晋省级农业科技园区机关及所属事业单位的收支包含在部门预算中。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0"/>
        <w:ind w:left="0" w:leftChars="0" w:firstLine="560" w:firstLineChars="200"/>
      </w:pPr>
      <w:r>
        <w:t>1、收入说明</w:t>
      </w:r>
    </w:p>
    <w:p>
      <w:pPr>
        <w:pStyle w:val="20"/>
      </w:pPr>
      <w:r>
        <w:t>反应本部门当年全部收入。202</w:t>
      </w:r>
      <w:r>
        <w:rPr>
          <w:rFonts w:hint="eastAsia"/>
          <w:lang w:val="en-US" w:eastAsia="zh-CN"/>
        </w:rPr>
        <w:t>1</w:t>
      </w:r>
      <w:r>
        <w:t>年本部门预算总收入</w:t>
      </w:r>
      <w:r>
        <w:rPr>
          <w:rFonts w:hint="eastAsia"/>
          <w:lang w:val="en-US" w:eastAsia="zh-CN"/>
        </w:rPr>
        <w:t>78.11</w:t>
      </w:r>
      <w:r>
        <w:t>万元。其中：一般公共预算收入</w:t>
      </w:r>
      <w:r>
        <w:rPr>
          <w:rFonts w:hint="eastAsia"/>
          <w:lang w:val="en-US" w:eastAsia="zh-CN"/>
        </w:rPr>
        <w:t>78.11</w:t>
      </w:r>
      <w:r>
        <w:t>万元，政府性基金预算收入</w:t>
      </w:r>
      <w:r>
        <w:rPr>
          <w:rFonts w:hint="eastAsia"/>
          <w:lang w:val="en-US" w:eastAsia="zh-CN"/>
        </w:rPr>
        <w:t>0</w:t>
      </w:r>
      <w:r>
        <w:t>万元，财政专户核拨收入0万元，其他来源收入0万元。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度部门预算中支出预算的总体情况。202</w:t>
      </w:r>
      <w:r>
        <w:rPr>
          <w:rFonts w:hint="eastAsia"/>
          <w:lang w:val="en-US" w:eastAsia="zh-CN"/>
        </w:rPr>
        <w:t>1</w:t>
      </w:r>
      <w:r>
        <w:t>年本部门预算总支出</w:t>
      </w:r>
      <w:r>
        <w:rPr>
          <w:rFonts w:hint="eastAsia"/>
          <w:lang w:val="en-US" w:eastAsia="zh-CN"/>
        </w:rPr>
        <w:t>78.11</w:t>
      </w:r>
      <w:r>
        <w:t>万元；其中基本支出</w:t>
      </w:r>
      <w:r>
        <w:rPr>
          <w:rFonts w:hint="eastAsia"/>
          <w:lang w:val="en-US" w:eastAsia="zh-CN"/>
        </w:rPr>
        <w:t>9.32</w:t>
      </w:r>
      <w:r>
        <w:t>万元包括人员经费支出</w:t>
      </w:r>
      <w:r>
        <w:rPr>
          <w:rFonts w:hint="eastAsia"/>
          <w:lang w:val="en-US" w:eastAsia="zh-CN"/>
        </w:rPr>
        <w:t>8.86</w:t>
      </w:r>
      <w:r>
        <w:t>万元、日常公用经费支出</w:t>
      </w:r>
      <w:r>
        <w:rPr>
          <w:rFonts w:hint="eastAsia"/>
          <w:lang w:val="en-US" w:eastAsia="zh-CN"/>
        </w:rPr>
        <w:t>0.46</w:t>
      </w:r>
      <w:r>
        <w:t>万元；项目支出</w:t>
      </w:r>
      <w:r>
        <w:rPr>
          <w:rFonts w:hint="eastAsia"/>
          <w:lang w:val="en-US" w:eastAsia="zh-CN"/>
        </w:rPr>
        <w:t>68.79</w:t>
      </w:r>
      <w:r>
        <w:t>万元</w:t>
      </w:r>
      <w:r>
        <w:rPr>
          <w:rFonts w:hint="eastAsia"/>
          <w:lang w:eastAsia="zh-CN"/>
        </w:rPr>
        <w:t>。</w:t>
      </w:r>
    </w:p>
    <w:p>
      <w:pPr>
        <w:pStyle w:val="20"/>
      </w:pPr>
      <w:r>
        <w:t>3、比上年增减情况</w:t>
      </w:r>
    </w:p>
    <w:p>
      <w:pPr>
        <w:pStyle w:val="20"/>
        <w:rPr>
          <w:rFonts w:ascii="黑体" w:hAnsi="黑体" w:eastAsia="黑体" w:cs="黑体"/>
          <w:color w:val="000000"/>
          <w:sz w:val="32"/>
        </w:rPr>
      </w:pPr>
      <w:r>
        <w:rPr>
          <w:rFonts w:ascii="Times New Roman" w:hAnsi="Times New Roman" w:cs="Times New Roman"/>
        </w:rPr>
        <w:t>202</w:t>
      </w:r>
      <w:r>
        <w:rPr>
          <w:rFonts w:hint="eastAsia" w:ascii="Times New Roman" w:hAnsi="Times New Roman" w:cs="Times New Roman"/>
          <w:lang w:val="en-US" w:eastAsia="zh-CN"/>
        </w:rPr>
        <w:t>1</w:t>
      </w:r>
      <w:r>
        <w:rPr>
          <w:rFonts w:ascii="Times New Roman" w:hAnsi="Times New Roman" w:cs="Times New Roman"/>
        </w:rPr>
        <w:t>年本部门预算总支出</w:t>
      </w:r>
      <w:r>
        <w:rPr>
          <w:rFonts w:hint="eastAsia" w:ascii="Times New Roman" w:hAnsi="Times New Roman" w:cs="Times New Roman"/>
          <w:lang w:val="en-US" w:eastAsia="zh-CN"/>
        </w:rPr>
        <w:t>78.11</w:t>
      </w:r>
      <w:r>
        <w:rPr>
          <w:rFonts w:ascii="Times New Roman" w:hAnsi="Times New Roman" w:cs="Times New Roman"/>
        </w:rPr>
        <w:t>万元，较202</w:t>
      </w:r>
      <w:r>
        <w:rPr>
          <w:rFonts w:hint="eastAsia" w:ascii="Times New Roman" w:hAnsi="Times New Roman" w:cs="Times New Roman"/>
          <w:lang w:val="en-US" w:eastAsia="zh-CN"/>
        </w:rPr>
        <w:t>0</w:t>
      </w:r>
      <w:r>
        <w:rPr>
          <w:rFonts w:ascii="Times New Roman" w:hAnsi="Times New Roman" w:cs="Times New Roman"/>
        </w:rPr>
        <w:t>年预算总支出增加4</w:t>
      </w:r>
      <w:r>
        <w:rPr>
          <w:rFonts w:hint="eastAsia" w:ascii="Times New Roman" w:hAnsi="Times New Roman" w:cs="Times New Roman"/>
          <w:lang w:val="en-US" w:eastAsia="zh-CN"/>
        </w:rPr>
        <w:t>4.68</w:t>
      </w:r>
      <w:r>
        <w:rPr>
          <w:rFonts w:ascii="Times New Roman" w:hAnsi="Times New Roman" w:cs="Times New Roman"/>
        </w:rPr>
        <w:t>万元，其中：基本支出增加</w:t>
      </w:r>
      <w:r>
        <w:rPr>
          <w:rFonts w:hint="eastAsia" w:ascii="Times New Roman" w:hAnsi="Times New Roman" w:cs="Times New Roman"/>
          <w:lang w:val="en-US" w:eastAsia="zh-CN"/>
        </w:rPr>
        <w:t>0.23</w:t>
      </w:r>
      <w:r>
        <w:rPr>
          <w:rFonts w:ascii="Times New Roman" w:hAnsi="Times New Roman" w:cs="Times New Roman"/>
        </w:rPr>
        <w:t>万元，主要是人员</w:t>
      </w:r>
      <w:r>
        <w:rPr>
          <w:rFonts w:hint="eastAsia" w:ascii="Times New Roman" w:hAnsi="Times New Roman" w:cs="Times New Roman"/>
          <w:lang w:eastAsia="zh-CN"/>
        </w:rPr>
        <w:t>薪级调整</w:t>
      </w:r>
      <w:r>
        <w:rPr>
          <w:rFonts w:ascii="Times New Roman" w:hAnsi="Times New Roman" w:cs="Times New Roman"/>
        </w:rPr>
        <w:t>；项目支出</w:t>
      </w:r>
      <w:r>
        <w:rPr>
          <w:rFonts w:hint="eastAsia" w:ascii="Times New Roman" w:hAnsi="Times New Roman" w:cs="Times New Roman"/>
          <w:lang w:eastAsia="zh-CN"/>
        </w:rPr>
        <w:t>增加</w:t>
      </w:r>
      <w:r>
        <w:rPr>
          <w:rFonts w:hint="eastAsia" w:ascii="Times New Roman" w:hAnsi="Times New Roman" w:cs="Times New Roman"/>
          <w:lang w:val="en-US" w:eastAsia="zh-CN"/>
        </w:rPr>
        <w:t>44.56</w:t>
      </w:r>
      <w:r>
        <w:rPr>
          <w:rFonts w:ascii="Times New Roman" w:hAnsi="Times New Roman" w:cs="Times New Roman"/>
        </w:rPr>
        <w:t>万元</w:t>
      </w:r>
      <w:r>
        <w:rPr>
          <w:rFonts w:hint="eastAsia" w:ascii="Times New Roman" w:hAnsi="Times New Roman" w:cs="Times New Roman"/>
        </w:rPr>
        <w:t>，主要是</w:t>
      </w:r>
      <w:r>
        <w:rPr>
          <w:rFonts w:hint="eastAsia" w:ascii="Times New Roman" w:hAnsi="Times New Roman" w:cs="Times New Roman"/>
          <w:lang w:eastAsia="zh-CN"/>
        </w:rPr>
        <w:t>扶贫农产品及名优特农产品巡展项目支出增加</w:t>
      </w:r>
      <w:r>
        <w:rPr>
          <w:rFonts w:hint="eastAsia" w:ascii="Times New Roman" w:hAnsi="Times New Roman" w:cs="Times New Roman"/>
        </w:rPr>
        <w:t>。</w:t>
      </w:r>
      <w:r>
        <w:t xml:space="preserve">  </w:t>
      </w:r>
      <w:bookmarkStart w:id="2" w:name="_Toc_3_3_00000000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2"/>
    </w:p>
    <w:p>
      <w:pPr>
        <w:pStyle w:val="21"/>
        <w:rPr>
          <w:rFonts w:ascii="黑体" w:hAnsi="黑体" w:eastAsia="黑体" w:cs="黑体"/>
          <w:color w:val="000000"/>
          <w:sz w:val="32"/>
        </w:rPr>
      </w:pPr>
      <w:r>
        <w:t>202</w:t>
      </w:r>
      <w:r>
        <w:rPr>
          <w:rFonts w:hint="eastAsia"/>
          <w:lang w:val="en-US" w:eastAsia="zh-CN"/>
        </w:rPr>
        <w:t>1</w:t>
      </w:r>
      <w:r>
        <w:t>年度河北宁晋省级农业科技园区</w:t>
      </w:r>
      <w:r>
        <w:rPr>
          <w:rFonts w:hint="eastAsia"/>
          <w:lang w:eastAsia="zh-CN"/>
        </w:rPr>
        <w:t>本部门</w:t>
      </w:r>
      <w:r>
        <w:t>无机关运行预算经费，与</w:t>
      </w:r>
      <w:r>
        <w:rPr>
          <w:rFonts w:hint="eastAsia"/>
          <w:lang w:eastAsia="zh-CN"/>
        </w:rPr>
        <w:t>上</w:t>
      </w:r>
      <w:r>
        <w:t>年相同。</w:t>
      </w:r>
      <w:bookmarkStart w:id="3" w:name="_Toc_3_3_00000000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3"/>
    </w:p>
    <w:p>
      <w:pPr>
        <w:pStyle w:val="22"/>
      </w:pPr>
      <w:r>
        <w:t>财政拨款“三公”经费预算安排情况：</w:t>
      </w:r>
    </w:p>
    <w:p>
      <w:pPr>
        <w:pStyle w:val="30"/>
        <w:rPr>
          <w:rFonts w:hint="eastAsia" w:eastAsia="方正仿宋_GBK"/>
          <w:lang w:eastAsia="zh-CN"/>
        </w:rPr>
      </w:pPr>
      <w:r>
        <w:t>202</w:t>
      </w:r>
      <w:r>
        <w:rPr>
          <w:rFonts w:hint="eastAsia"/>
          <w:lang w:val="en-US" w:eastAsia="zh-CN"/>
        </w:rPr>
        <w:t>1</w:t>
      </w:r>
      <w:r>
        <w:t>年</w:t>
      </w:r>
      <w:r>
        <w:rPr>
          <w:rFonts w:hint="eastAsia"/>
          <w:lang w:eastAsia="zh-CN"/>
        </w:rPr>
        <w:t>度本</w:t>
      </w:r>
      <w:r>
        <w:t>单位无财政拨款“三公”经费预算安排</w:t>
      </w:r>
      <w:r>
        <w:rPr>
          <w:rFonts w:hint="eastAsia"/>
          <w:lang w:eastAsia="zh-CN"/>
        </w:rPr>
        <w:t>，</w:t>
      </w:r>
      <w:r>
        <w:t>与</w:t>
      </w:r>
      <w:r>
        <w:rPr>
          <w:rFonts w:hint="eastAsia"/>
          <w:lang w:eastAsia="zh-CN"/>
        </w:rPr>
        <w:t>上</w:t>
      </w:r>
      <w:r>
        <w:t>年相同。</w:t>
      </w:r>
    </w:p>
    <w:p>
      <w:pPr>
        <w:spacing w:before="10" w:after="10" w:line="360" w:lineRule="auto"/>
        <w:ind w:firstLine="640"/>
        <w:jc w:val="left"/>
        <w:outlineLvl w:val="2"/>
        <w:rPr>
          <w:rFonts w:ascii="黑体" w:hAnsi="黑体" w:eastAsia="黑体" w:cs="黑体"/>
          <w:color w:val="000000"/>
          <w:sz w:val="32"/>
        </w:rPr>
      </w:pPr>
      <w:bookmarkStart w:id="4"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4"/>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3"/>
        <w:rPr>
          <w:rFonts w:ascii="Times New Roman" w:hAnsi="Times New Roman" w:eastAsia="方正仿宋_GBK" w:cs="Times New Roman"/>
          <w:color w:val="000000"/>
          <w:sz w:val="28"/>
        </w:rPr>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一、农业项目建设与招商引资，负责产业扶持政策，负责统筹协调相关涉农业项目，依法依规完成工作任务，确保单位事业正常运行，提高业务工作效率。</w:t>
      </w:r>
    </w:p>
    <w:p>
      <w:pPr>
        <w:pStyle w:val="24"/>
        <w:rPr>
          <w:rFonts w:ascii="Times New Roman" w:hAnsi="Times New Roman" w:eastAsia="方正仿宋_GBK" w:cs="Times New Roman"/>
          <w:color w:val="000000"/>
          <w:sz w:val="28"/>
        </w:rPr>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一、牢固树立“四个意识”、坚定“四个自信”、做到“四个服从”，深刻认识到意识形态工作的极端重要性。继续延伸做好</w:t>
      </w:r>
      <w:r>
        <w:rPr>
          <w:rFonts w:hint="eastAsia"/>
          <w:lang w:eastAsia="zh-CN"/>
        </w:rPr>
        <w:t>“不忘初心、牢记使命”主题教育</w:t>
      </w:r>
      <w:r>
        <w:t>开展和意识形态相关工作，以理论学习提升党员干部职工党性修养，以理论学习提升党员干部职工干事创业精神，以理论学习指导园区工作开展。</w:t>
      </w:r>
    </w:p>
    <w:p>
      <w:pPr>
        <w:pStyle w:val="25"/>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320" w:firstLineChars="100"/>
        <w:jc w:val="left"/>
        <w:outlineLvl w:val="9"/>
        <w:rPr>
          <w:rFonts w:ascii="方正楷体_GBK" w:hAnsi="方正楷体_GBK" w:eastAsia="方正楷体_GBK" w:cs="方正楷体_GBK"/>
          <w:b/>
          <w:color w:val="000000"/>
          <w:sz w:val="32"/>
        </w:rPr>
      </w:pP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firstLineChars="200"/>
        <w:jc w:val="left"/>
        <w:outlineLvl w:val="9"/>
        <w:rPr>
          <w:rFonts w:ascii="方正仿宋_GBK" w:hAnsi="方正仿宋_GBK" w:eastAsia="方正仿宋_GBK" w:cs="方正仿宋_GBK"/>
          <w:b/>
          <w:color w:val="000000"/>
          <w:sz w:val="28"/>
        </w:rPr>
      </w:pPr>
    </w:p>
    <w:p>
      <w:pPr>
        <w:spacing w:before="0" w:after="0"/>
        <w:ind w:firstLine="560" w:firstLineChars="200"/>
        <w:jc w:val="left"/>
        <w:outlineLvl w:val="9"/>
      </w:pPr>
      <w:r>
        <w:rPr>
          <w:rFonts w:ascii="方正仿宋_GBK" w:hAnsi="方正仿宋_GBK" w:eastAsia="方正仿宋_GBK" w:cs="方正仿宋_GBK"/>
          <w:b/>
          <w:color w:val="000000"/>
          <w:sz w:val="28"/>
        </w:rPr>
        <w:t>1、202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年涉军安置人员1名工资及保险绩效目标表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1.严格按照标准计算退役军人工资、养老保险、医疗保险、工伤保险。</w:t>
            </w:r>
          </w:p>
          <w:p>
            <w:pPr>
              <w:pStyle w:val="14"/>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9"/>
        <w:gridCol w:w="1974"/>
        <w:gridCol w:w="2170"/>
        <w:gridCol w:w="2170"/>
        <w:gridCol w:w="859"/>
        <w:gridCol w:w="6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99" w:type="pct"/>
            <w:vAlign w:val="center"/>
          </w:tcPr>
          <w:p>
            <w:pPr>
              <w:pStyle w:val="12"/>
            </w:pPr>
            <w:r>
              <w:t>一级指标</w:t>
            </w:r>
          </w:p>
        </w:tc>
        <w:tc>
          <w:tcPr>
            <w:tcW w:w="657" w:type="pct"/>
            <w:vAlign w:val="center"/>
          </w:tcPr>
          <w:p>
            <w:pPr>
              <w:pStyle w:val="12"/>
            </w:pPr>
            <w:r>
              <w:t>二级指标</w:t>
            </w:r>
          </w:p>
        </w:tc>
        <w:tc>
          <w:tcPr>
            <w:tcW w:w="722" w:type="pct"/>
            <w:vAlign w:val="center"/>
          </w:tcPr>
          <w:p>
            <w:pPr>
              <w:pStyle w:val="12"/>
            </w:pPr>
            <w:r>
              <w:t>三级指标</w:t>
            </w:r>
          </w:p>
        </w:tc>
        <w:tc>
          <w:tcPr>
            <w:tcW w:w="722" w:type="pct"/>
            <w:vAlign w:val="center"/>
          </w:tcPr>
          <w:p>
            <w:pPr>
              <w:pStyle w:val="12"/>
            </w:pPr>
            <w:r>
              <w:t>绩效指标描述</w:t>
            </w:r>
          </w:p>
        </w:tc>
        <w:tc>
          <w:tcPr>
            <w:tcW w:w="286" w:type="pct"/>
            <w:vAlign w:val="center"/>
          </w:tcPr>
          <w:p>
            <w:pPr>
              <w:pStyle w:val="12"/>
            </w:pPr>
            <w:r>
              <w:t>指标值</w:t>
            </w:r>
          </w:p>
        </w:tc>
        <w:tc>
          <w:tcPr>
            <w:tcW w:w="2211" w:type="pct"/>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5"/>
            </w:pPr>
            <w:r>
              <w:t>产出指标</w:t>
            </w:r>
          </w:p>
        </w:tc>
        <w:tc>
          <w:tcPr>
            <w:tcW w:w="657" w:type="pct"/>
            <w:vAlign w:val="center"/>
          </w:tcPr>
          <w:p>
            <w:pPr>
              <w:pStyle w:val="14"/>
            </w:pPr>
            <w:r>
              <w:t>数量指标</w:t>
            </w:r>
          </w:p>
        </w:tc>
        <w:tc>
          <w:tcPr>
            <w:tcW w:w="722" w:type="pct"/>
            <w:vAlign w:val="center"/>
          </w:tcPr>
          <w:p>
            <w:pPr>
              <w:pStyle w:val="14"/>
            </w:pPr>
            <w:r>
              <w:t>支付涉军人员数</w:t>
            </w:r>
          </w:p>
        </w:tc>
        <w:tc>
          <w:tcPr>
            <w:tcW w:w="722" w:type="pct"/>
            <w:vAlign w:val="center"/>
          </w:tcPr>
          <w:p>
            <w:pPr>
              <w:pStyle w:val="14"/>
            </w:pPr>
            <w:r>
              <w:t>支付人数</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质量指标</w:t>
            </w:r>
          </w:p>
        </w:tc>
        <w:tc>
          <w:tcPr>
            <w:tcW w:w="722" w:type="pct"/>
            <w:vAlign w:val="center"/>
          </w:tcPr>
          <w:p>
            <w:pPr>
              <w:pStyle w:val="14"/>
            </w:pPr>
            <w:r>
              <w:t>工资及社保足额发放率</w:t>
            </w:r>
          </w:p>
        </w:tc>
        <w:tc>
          <w:tcPr>
            <w:tcW w:w="722" w:type="pct"/>
            <w:vAlign w:val="center"/>
          </w:tcPr>
          <w:p>
            <w:pPr>
              <w:pStyle w:val="14"/>
            </w:pPr>
            <w:r>
              <w:t>足额发放率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时效指标</w:t>
            </w:r>
          </w:p>
        </w:tc>
        <w:tc>
          <w:tcPr>
            <w:tcW w:w="722" w:type="pct"/>
            <w:vAlign w:val="center"/>
          </w:tcPr>
          <w:p>
            <w:pPr>
              <w:pStyle w:val="14"/>
            </w:pPr>
            <w:r>
              <w:t>按时完成率</w:t>
            </w:r>
          </w:p>
        </w:tc>
        <w:tc>
          <w:tcPr>
            <w:tcW w:w="722" w:type="pct"/>
            <w:vAlign w:val="center"/>
          </w:tcPr>
          <w:p>
            <w:pPr>
              <w:pStyle w:val="14"/>
            </w:pPr>
            <w:r>
              <w:t>按时完成率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成本指标</w:t>
            </w:r>
          </w:p>
        </w:tc>
        <w:tc>
          <w:tcPr>
            <w:tcW w:w="722" w:type="pct"/>
            <w:vAlign w:val="center"/>
          </w:tcPr>
          <w:p>
            <w:pPr>
              <w:pStyle w:val="14"/>
            </w:pPr>
            <w:r>
              <w:t>运行保障成本</w:t>
            </w:r>
          </w:p>
        </w:tc>
        <w:tc>
          <w:tcPr>
            <w:tcW w:w="722" w:type="pct"/>
            <w:vAlign w:val="center"/>
          </w:tcPr>
          <w:p>
            <w:pPr>
              <w:pStyle w:val="14"/>
            </w:pPr>
            <w:r>
              <w:t>运行保障成本</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5"/>
            </w:pPr>
            <w:r>
              <w:t>效益指标</w:t>
            </w:r>
          </w:p>
        </w:tc>
        <w:tc>
          <w:tcPr>
            <w:tcW w:w="657" w:type="pct"/>
            <w:vAlign w:val="center"/>
          </w:tcPr>
          <w:p>
            <w:pPr>
              <w:pStyle w:val="14"/>
            </w:pPr>
            <w:r>
              <w:t>经济效益指标</w:t>
            </w:r>
          </w:p>
        </w:tc>
        <w:tc>
          <w:tcPr>
            <w:tcW w:w="722" w:type="pct"/>
            <w:vAlign w:val="center"/>
          </w:tcPr>
          <w:p>
            <w:pPr>
              <w:pStyle w:val="14"/>
            </w:pPr>
            <w:r>
              <w:t>提高效率</w:t>
            </w:r>
          </w:p>
        </w:tc>
        <w:tc>
          <w:tcPr>
            <w:tcW w:w="722" w:type="pct"/>
            <w:vAlign w:val="center"/>
          </w:tcPr>
          <w:p>
            <w:pPr>
              <w:pStyle w:val="14"/>
            </w:pPr>
            <w:r>
              <w:t>提高工作效率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社会效益指标</w:t>
            </w:r>
          </w:p>
        </w:tc>
        <w:tc>
          <w:tcPr>
            <w:tcW w:w="722" w:type="pct"/>
            <w:vAlign w:val="center"/>
          </w:tcPr>
          <w:p>
            <w:pPr>
              <w:pStyle w:val="14"/>
            </w:pPr>
            <w:r>
              <w:t>提升涉军人员生活保障</w:t>
            </w:r>
          </w:p>
        </w:tc>
        <w:tc>
          <w:tcPr>
            <w:tcW w:w="722" w:type="pct"/>
            <w:vAlign w:val="center"/>
          </w:tcPr>
          <w:p>
            <w:pPr>
              <w:pStyle w:val="14"/>
            </w:pPr>
            <w:r>
              <w:t>提升涉军人员生活保障</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生态效益指标</w:t>
            </w:r>
          </w:p>
        </w:tc>
        <w:tc>
          <w:tcPr>
            <w:tcW w:w="722" w:type="pct"/>
            <w:vAlign w:val="center"/>
          </w:tcPr>
          <w:p>
            <w:pPr>
              <w:pStyle w:val="14"/>
            </w:pPr>
            <w:r>
              <w:t>涉军人员保障覆盖率</w:t>
            </w:r>
          </w:p>
        </w:tc>
        <w:tc>
          <w:tcPr>
            <w:tcW w:w="722" w:type="pct"/>
            <w:vAlign w:val="center"/>
          </w:tcPr>
          <w:p>
            <w:pPr>
              <w:pStyle w:val="14"/>
            </w:pPr>
            <w:r>
              <w:t>涉军人员保障覆盖率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可持续影响指标</w:t>
            </w:r>
          </w:p>
        </w:tc>
        <w:tc>
          <w:tcPr>
            <w:tcW w:w="722" w:type="pct"/>
            <w:vAlign w:val="center"/>
          </w:tcPr>
          <w:p>
            <w:pPr>
              <w:pStyle w:val="14"/>
            </w:pPr>
            <w:r>
              <w:t>业务能力增强</w:t>
            </w:r>
          </w:p>
        </w:tc>
        <w:tc>
          <w:tcPr>
            <w:tcW w:w="722" w:type="pct"/>
            <w:vAlign w:val="center"/>
          </w:tcPr>
          <w:p>
            <w:pPr>
              <w:pStyle w:val="14"/>
            </w:pPr>
            <w:r>
              <w:t>业务能力增强</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Align w:val="center"/>
          </w:tcPr>
          <w:p>
            <w:pPr>
              <w:pStyle w:val="15"/>
            </w:pPr>
            <w:r>
              <w:t>满意度指标</w:t>
            </w:r>
          </w:p>
        </w:tc>
        <w:tc>
          <w:tcPr>
            <w:tcW w:w="657" w:type="pct"/>
            <w:vAlign w:val="center"/>
          </w:tcPr>
          <w:p>
            <w:pPr>
              <w:pStyle w:val="14"/>
            </w:pPr>
            <w:r>
              <w:t>服务对象满意度指标</w:t>
            </w:r>
          </w:p>
        </w:tc>
        <w:tc>
          <w:tcPr>
            <w:tcW w:w="722" w:type="pct"/>
            <w:vAlign w:val="center"/>
          </w:tcPr>
          <w:p>
            <w:pPr>
              <w:pStyle w:val="14"/>
            </w:pPr>
            <w:r>
              <w:t>服务对象满意度</w:t>
            </w:r>
          </w:p>
        </w:tc>
        <w:tc>
          <w:tcPr>
            <w:tcW w:w="722" w:type="pct"/>
            <w:vAlign w:val="center"/>
          </w:tcPr>
          <w:p>
            <w:pPr>
              <w:pStyle w:val="14"/>
            </w:pPr>
            <w:r>
              <w:t>服务对象满意度</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2"/>
            </w:pPr>
            <w:r>
              <w:t>一级指标</w:t>
            </w:r>
          </w:p>
        </w:tc>
        <w:tc>
          <w:tcPr>
            <w:tcW w:w="0" w:type="auto"/>
            <w:vAlign w:val="center"/>
          </w:tcPr>
          <w:p>
            <w:pPr>
              <w:pStyle w:val="12"/>
            </w:pPr>
            <w:r>
              <w:t>二级指标</w:t>
            </w:r>
          </w:p>
        </w:tc>
        <w:tc>
          <w:tcPr>
            <w:tcW w:w="0" w:type="auto"/>
            <w:vAlign w:val="center"/>
          </w:tcPr>
          <w:p>
            <w:pPr>
              <w:pStyle w:val="12"/>
            </w:pPr>
            <w:r>
              <w:t>三级指标</w:t>
            </w:r>
          </w:p>
        </w:tc>
        <w:tc>
          <w:tcPr>
            <w:tcW w:w="0" w:type="auto"/>
            <w:vAlign w:val="center"/>
          </w:tcPr>
          <w:p>
            <w:pPr>
              <w:pStyle w:val="12"/>
            </w:pPr>
            <w:r>
              <w:t>绩效指标描述</w:t>
            </w:r>
          </w:p>
        </w:tc>
        <w:tc>
          <w:tcPr>
            <w:tcW w:w="0" w:type="auto"/>
            <w:vAlign w:val="center"/>
          </w:tcPr>
          <w:p>
            <w:pPr>
              <w:pStyle w:val="12"/>
            </w:pPr>
            <w:r>
              <w:t>指标值</w:t>
            </w:r>
          </w:p>
        </w:tc>
        <w:tc>
          <w:tcPr>
            <w:tcW w:w="0" w:type="auto"/>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产出指标</w:t>
            </w:r>
          </w:p>
        </w:tc>
        <w:tc>
          <w:tcPr>
            <w:tcW w:w="0" w:type="auto"/>
            <w:vAlign w:val="center"/>
          </w:tcPr>
          <w:p>
            <w:pPr>
              <w:pStyle w:val="14"/>
            </w:pPr>
            <w:r>
              <w:t>数量指标</w:t>
            </w:r>
          </w:p>
        </w:tc>
        <w:tc>
          <w:tcPr>
            <w:tcW w:w="0" w:type="auto"/>
            <w:vAlign w:val="center"/>
          </w:tcPr>
          <w:p>
            <w:pPr>
              <w:pStyle w:val="14"/>
            </w:pPr>
            <w:r>
              <w:t>支出完成率</w:t>
            </w:r>
          </w:p>
        </w:tc>
        <w:tc>
          <w:tcPr>
            <w:tcW w:w="0" w:type="auto"/>
            <w:vAlign w:val="center"/>
          </w:tcPr>
          <w:p>
            <w:pPr>
              <w:pStyle w:val="14"/>
            </w:pPr>
            <w:r>
              <w:t>按时有序支付</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质量指标</w:t>
            </w:r>
          </w:p>
        </w:tc>
        <w:tc>
          <w:tcPr>
            <w:tcW w:w="0" w:type="auto"/>
            <w:vAlign w:val="center"/>
          </w:tcPr>
          <w:p>
            <w:pPr>
              <w:pStyle w:val="14"/>
            </w:pPr>
            <w:r>
              <w:t>综合业务管理工作完成率</w:t>
            </w:r>
          </w:p>
        </w:tc>
        <w:tc>
          <w:tcPr>
            <w:tcW w:w="0" w:type="auto"/>
            <w:vAlign w:val="center"/>
          </w:tcPr>
          <w:p>
            <w:pPr>
              <w:pStyle w:val="14"/>
            </w:pPr>
            <w:r>
              <w:t>综合业务管理工作完成率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时效指标</w:t>
            </w:r>
          </w:p>
        </w:tc>
        <w:tc>
          <w:tcPr>
            <w:tcW w:w="0" w:type="auto"/>
            <w:vAlign w:val="center"/>
          </w:tcPr>
          <w:p>
            <w:pPr>
              <w:pStyle w:val="14"/>
            </w:pPr>
            <w:r>
              <w:t>各项任务完成及时率</w:t>
            </w:r>
          </w:p>
        </w:tc>
        <w:tc>
          <w:tcPr>
            <w:tcW w:w="0" w:type="auto"/>
            <w:vAlign w:val="center"/>
          </w:tcPr>
          <w:p>
            <w:pPr>
              <w:pStyle w:val="14"/>
            </w:pPr>
            <w:r>
              <w:t>各项任务完成及时率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成本指标</w:t>
            </w:r>
          </w:p>
        </w:tc>
        <w:tc>
          <w:tcPr>
            <w:tcW w:w="0" w:type="auto"/>
            <w:vAlign w:val="center"/>
          </w:tcPr>
          <w:p>
            <w:pPr>
              <w:pStyle w:val="14"/>
            </w:pPr>
            <w:r>
              <w:t>经费使用率</w:t>
            </w:r>
          </w:p>
        </w:tc>
        <w:tc>
          <w:tcPr>
            <w:tcW w:w="0" w:type="auto"/>
            <w:vAlign w:val="center"/>
          </w:tcPr>
          <w:p>
            <w:pPr>
              <w:pStyle w:val="14"/>
            </w:pPr>
            <w:r>
              <w:t>经费使用率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效益指标</w:t>
            </w:r>
          </w:p>
        </w:tc>
        <w:tc>
          <w:tcPr>
            <w:tcW w:w="0" w:type="auto"/>
            <w:vAlign w:val="center"/>
          </w:tcPr>
          <w:p>
            <w:pPr>
              <w:pStyle w:val="14"/>
            </w:pPr>
            <w:r>
              <w:t>可持续影响指标</w:t>
            </w:r>
          </w:p>
        </w:tc>
        <w:tc>
          <w:tcPr>
            <w:tcW w:w="0" w:type="auto"/>
            <w:vAlign w:val="center"/>
          </w:tcPr>
          <w:p>
            <w:pPr>
              <w:pStyle w:val="14"/>
            </w:pPr>
            <w:r>
              <w:t>业务能力增强</w:t>
            </w:r>
          </w:p>
        </w:tc>
        <w:tc>
          <w:tcPr>
            <w:tcW w:w="0" w:type="auto"/>
            <w:vAlign w:val="center"/>
          </w:tcPr>
          <w:p>
            <w:pPr>
              <w:pStyle w:val="14"/>
            </w:pPr>
            <w:r>
              <w:t>业务能力增强</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经济效益指标</w:t>
            </w:r>
          </w:p>
        </w:tc>
        <w:tc>
          <w:tcPr>
            <w:tcW w:w="0" w:type="auto"/>
            <w:vAlign w:val="center"/>
          </w:tcPr>
          <w:p>
            <w:pPr>
              <w:pStyle w:val="14"/>
            </w:pPr>
            <w:r>
              <w:t>提高效率</w:t>
            </w:r>
          </w:p>
        </w:tc>
        <w:tc>
          <w:tcPr>
            <w:tcW w:w="0" w:type="auto"/>
            <w:vAlign w:val="center"/>
          </w:tcPr>
          <w:p>
            <w:pPr>
              <w:pStyle w:val="14"/>
            </w:pPr>
            <w:r>
              <w:t>提高工作效率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社会效益指标</w:t>
            </w:r>
          </w:p>
        </w:tc>
        <w:tc>
          <w:tcPr>
            <w:tcW w:w="0" w:type="auto"/>
            <w:vAlign w:val="center"/>
          </w:tcPr>
          <w:p>
            <w:pPr>
              <w:pStyle w:val="14"/>
            </w:pPr>
            <w:r>
              <w:t>保障工作顺利开展</w:t>
            </w:r>
          </w:p>
        </w:tc>
        <w:tc>
          <w:tcPr>
            <w:tcW w:w="0" w:type="auto"/>
            <w:vAlign w:val="center"/>
          </w:tcPr>
          <w:p>
            <w:pPr>
              <w:pStyle w:val="14"/>
            </w:pPr>
            <w:r>
              <w:t>保障工作顺利开展</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生态效益指标</w:t>
            </w:r>
          </w:p>
        </w:tc>
        <w:tc>
          <w:tcPr>
            <w:tcW w:w="0" w:type="auto"/>
            <w:vAlign w:val="center"/>
          </w:tcPr>
          <w:p>
            <w:pPr>
              <w:pStyle w:val="14"/>
            </w:pPr>
            <w:r>
              <w:t>资源消耗</w:t>
            </w:r>
          </w:p>
        </w:tc>
        <w:tc>
          <w:tcPr>
            <w:tcW w:w="0" w:type="auto"/>
            <w:vAlign w:val="center"/>
          </w:tcPr>
          <w:p>
            <w:pPr>
              <w:pStyle w:val="14"/>
            </w:pPr>
            <w:r>
              <w:t>节水、节电、办公耗材节约率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5"/>
            </w:pPr>
            <w:r>
              <w:t>满意度指标</w:t>
            </w:r>
          </w:p>
        </w:tc>
        <w:tc>
          <w:tcPr>
            <w:tcW w:w="0" w:type="auto"/>
            <w:vAlign w:val="center"/>
          </w:tcPr>
          <w:p>
            <w:pPr>
              <w:pStyle w:val="14"/>
            </w:pPr>
            <w:r>
              <w:t>服务对象满意度指标</w:t>
            </w:r>
          </w:p>
        </w:tc>
        <w:tc>
          <w:tcPr>
            <w:tcW w:w="0" w:type="auto"/>
            <w:vAlign w:val="center"/>
          </w:tcPr>
          <w:p>
            <w:pPr>
              <w:pStyle w:val="14"/>
            </w:pPr>
            <w:r>
              <w:t>服务对象满意度</w:t>
            </w:r>
          </w:p>
        </w:tc>
        <w:tc>
          <w:tcPr>
            <w:tcW w:w="0" w:type="auto"/>
            <w:vAlign w:val="center"/>
          </w:tcPr>
          <w:p>
            <w:pPr>
              <w:pStyle w:val="14"/>
            </w:pPr>
            <w:r>
              <w:t>服务对象满意度</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83"/>
        <w:gridCol w:w="1541"/>
        <w:gridCol w:w="1541"/>
        <w:gridCol w:w="2098"/>
        <w:gridCol w:w="1529"/>
        <w:gridCol w:w="73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2"/>
            </w:pPr>
            <w:r>
              <w:t>一级指标</w:t>
            </w:r>
          </w:p>
        </w:tc>
        <w:tc>
          <w:tcPr>
            <w:tcW w:w="0" w:type="auto"/>
            <w:vAlign w:val="center"/>
          </w:tcPr>
          <w:p>
            <w:pPr>
              <w:pStyle w:val="12"/>
            </w:pPr>
            <w:r>
              <w:t>二级指标</w:t>
            </w:r>
          </w:p>
        </w:tc>
        <w:tc>
          <w:tcPr>
            <w:tcW w:w="0" w:type="auto"/>
            <w:vAlign w:val="center"/>
          </w:tcPr>
          <w:p>
            <w:pPr>
              <w:pStyle w:val="12"/>
            </w:pPr>
            <w:r>
              <w:t>三级指标</w:t>
            </w:r>
          </w:p>
        </w:tc>
        <w:tc>
          <w:tcPr>
            <w:tcW w:w="0" w:type="auto"/>
            <w:vAlign w:val="center"/>
          </w:tcPr>
          <w:p>
            <w:pPr>
              <w:pStyle w:val="12"/>
            </w:pPr>
            <w:r>
              <w:t>绩效指标描述</w:t>
            </w:r>
          </w:p>
        </w:tc>
        <w:tc>
          <w:tcPr>
            <w:tcW w:w="0" w:type="auto"/>
            <w:vAlign w:val="center"/>
          </w:tcPr>
          <w:p>
            <w:pPr>
              <w:pStyle w:val="12"/>
            </w:pPr>
            <w:r>
              <w:t>指标值</w:t>
            </w:r>
          </w:p>
        </w:tc>
        <w:tc>
          <w:tcPr>
            <w:tcW w:w="0" w:type="auto"/>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产出指标</w:t>
            </w:r>
          </w:p>
        </w:tc>
        <w:tc>
          <w:tcPr>
            <w:tcW w:w="0" w:type="auto"/>
            <w:vAlign w:val="center"/>
          </w:tcPr>
          <w:p>
            <w:pPr>
              <w:pStyle w:val="14"/>
            </w:pPr>
            <w:r>
              <w:t>数量指标</w:t>
            </w:r>
          </w:p>
        </w:tc>
        <w:tc>
          <w:tcPr>
            <w:tcW w:w="0" w:type="auto"/>
            <w:vAlign w:val="center"/>
          </w:tcPr>
          <w:p>
            <w:pPr>
              <w:pStyle w:val="14"/>
            </w:pPr>
            <w:r>
              <w:t>支出完成率</w:t>
            </w:r>
          </w:p>
        </w:tc>
        <w:tc>
          <w:tcPr>
            <w:tcW w:w="0" w:type="auto"/>
            <w:vAlign w:val="center"/>
          </w:tcPr>
          <w:p>
            <w:pPr>
              <w:pStyle w:val="14"/>
            </w:pPr>
            <w:r>
              <w:t>按时有序支付</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质量指标</w:t>
            </w:r>
          </w:p>
        </w:tc>
        <w:tc>
          <w:tcPr>
            <w:tcW w:w="0" w:type="auto"/>
            <w:vAlign w:val="center"/>
          </w:tcPr>
          <w:p>
            <w:pPr>
              <w:pStyle w:val="14"/>
            </w:pPr>
            <w:r>
              <w:t>工作完成情况</w:t>
            </w:r>
          </w:p>
        </w:tc>
        <w:tc>
          <w:tcPr>
            <w:tcW w:w="0" w:type="auto"/>
            <w:vAlign w:val="center"/>
          </w:tcPr>
          <w:p>
            <w:pPr>
              <w:pStyle w:val="14"/>
            </w:pPr>
            <w:r>
              <w:t>工作完成情况</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时效指标</w:t>
            </w:r>
          </w:p>
        </w:tc>
        <w:tc>
          <w:tcPr>
            <w:tcW w:w="0" w:type="auto"/>
            <w:vAlign w:val="center"/>
          </w:tcPr>
          <w:p>
            <w:pPr>
              <w:pStyle w:val="14"/>
            </w:pPr>
            <w:r>
              <w:t>工作任务完成及时率</w:t>
            </w:r>
          </w:p>
        </w:tc>
        <w:tc>
          <w:tcPr>
            <w:tcW w:w="0" w:type="auto"/>
            <w:vAlign w:val="center"/>
          </w:tcPr>
          <w:p>
            <w:pPr>
              <w:pStyle w:val="14"/>
            </w:pPr>
            <w:r>
              <w:t>既定工作目标任务完成及时率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成本指标</w:t>
            </w:r>
          </w:p>
        </w:tc>
        <w:tc>
          <w:tcPr>
            <w:tcW w:w="0" w:type="auto"/>
            <w:vAlign w:val="center"/>
          </w:tcPr>
          <w:p>
            <w:pPr>
              <w:pStyle w:val="14"/>
            </w:pPr>
            <w:r>
              <w:t>经费使用率</w:t>
            </w:r>
          </w:p>
        </w:tc>
        <w:tc>
          <w:tcPr>
            <w:tcW w:w="0" w:type="auto"/>
            <w:vAlign w:val="center"/>
          </w:tcPr>
          <w:p>
            <w:pPr>
              <w:pStyle w:val="14"/>
            </w:pPr>
            <w:r>
              <w:t>经费使用率</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效益指标</w:t>
            </w:r>
          </w:p>
        </w:tc>
        <w:tc>
          <w:tcPr>
            <w:tcW w:w="0" w:type="auto"/>
            <w:vAlign w:val="center"/>
          </w:tcPr>
          <w:p>
            <w:pPr>
              <w:pStyle w:val="14"/>
            </w:pPr>
            <w:r>
              <w:t>可持续影响指标</w:t>
            </w:r>
          </w:p>
        </w:tc>
        <w:tc>
          <w:tcPr>
            <w:tcW w:w="0" w:type="auto"/>
            <w:vAlign w:val="center"/>
          </w:tcPr>
          <w:p>
            <w:pPr>
              <w:pStyle w:val="14"/>
            </w:pPr>
            <w:r>
              <w:t>示范带动作用</w:t>
            </w:r>
          </w:p>
        </w:tc>
        <w:tc>
          <w:tcPr>
            <w:tcW w:w="0" w:type="auto"/>
            <w:vAlign w:val="center"/>
          </w:tcPr>
          <w:p>
            <w:pPr>
              <w:pStyle w:val="14"/>
            </w:pPr>
            <w:r>
              <w:t>示范推广覆盖率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经济效益指标</w:t>
            </w:r>
          </w:p>
        </w:tc>
        <w:tc>
          <w:tcPr>
            <w:tcW w:w="0" w:type="auto"/>
            <w:vAlign w:val="center"/>
          </w:tcPr>
          <w:p>
            <w:pPr>
              <w:pStyle w:val="14"/>
            </w:pPr>
            <w:r>
              <w:t>经济效益增长率</w:t>
            </w:r>
          </w:p>
        </w:tc>
        <w:tc>
          <w:tcPr>
            <w:tcW w:w="0" w:type="auto"/>
            <w:vAlign w:val="center"/>
          </w:tcPr>
          <w:p>
            <w:pPr>
              <w:pStyle w:val="14"/>
            </w:pPr>
            <w:r>
              <w:t>促进区域经济发展</w:t>
            </w:r>
          </w:p>
        </w:tc>
        <w:tc>
          <w:tcPr>
            <w:tcW w:w="0" w:type="auto"/>
            <w:vAlign w:val="center"/>
          </w:tcPr>
          <w:p>
            <w:pPr>
              <w:pStyle w:val="14"/>
            </w:pPr>
            <w:r>
              <w:t>促进区域经济发展</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社会效益指标</w:t>
            </w:r>
          </w:p>
        </w:tc>
        <w:tc>
          <w:tcPr>
            <w:tcW w:w="0" w:type="auto"/>
            <w:vAlign w:val="center"/>
          </w:tcPr>
          <w:p>
            <w:pPr>
              <w:pStyle w:val="14"/>
            </w:pPr>
            <w:r>
              <w:t>招商引资规模增长率</w:t>
            </w:r>
          </w:p>
        </w:tc>
        <w:tc>
          <w:tcPr>
            <w:tcW w:w="0" w:type="auto"/>
            <w:vAlign w:val="center"/>
          </w:tcPr>
          <w:p>
            <w:pPr>
              <w:pStyle w:val="14"/>
            </w:pPr>
            <w:r>
              <w:t>招商引资规模增长率</w:t>
            </w:r>
          </w:p>
        </w:tc>
        <w:tc>
          <w:tcPr>
            <w:tcW w:w="0" w:type="auto"/>
            <w:vAlign w:val="center"/>
          </w:tcPr>
          <w:p>
            <w:pPr>
              <w:pStyle w:val="14"/>
            </w:pPr>
            <w:r>
              <w:t>≥50%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生态效益指标</w:t>
            </w:r>
          </w:p>
        </w:tc>
        <w:tc>
          <w:tcPr>
            <w:tcW w:w="0" w:type="auto"/>
            <w:vAlign w:val="center"/>
          </w:tcPr>
          <w:p>
            <w:pPr>
              <w:pStyle w:val="14"/>
            </w:pPr>
            <w:r>
              <w:t>生态效益增长率</w:t>
            </w:r>
          </w:p>
        </w:tc>
        <w:tc>
          <w:tcPr>
            <w:tcW w:w="0" w:type="auto"/>
            <w:vAlign w:val="center"/>
          </w:tcPr>
          <w:p>
            <w:pPr>
              <w:pStyle w:val="14"/>
            </w:pPr>
            <w:r>
              <w:t>生态效益增长率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5"/>
            </w:pPr>
            <w:r>
              <w:t>满意度指标</w:t>
            </w:r>
          </w:p>
        </w:tc>
        <w:tc>
          <w:tcPr>
            <w:tcW w:w="0" w:type="auto"/>
            <w:vAlign w:val="center"/>
          </w:tcPr>
          <w:p>
            <w:pPr>
              <w:pStyle w:val="14"/>
            </w:pPr>
            <w:r>
              <w:t>服务对象满意度指标</w:t>
            </w:r>
          </w:p>
        </w:tc>
        <w:tc>
          <w:tcPr>
            <w:tcW w:w="0" w:type="auto"/>
            <w:vAlign w:val="center"/>
          </w:tcPr>
          <w:p>
            <w:pPr>
              <w:pStyle w:val="14"/>
            </w:pPr>
            <w:r>
              <w:t>服务对象满意度</w:t>
            </w:r>
          </w:p>
        </w:tc>
        <w:tc>
          <w:tcPr>
            <w:tcW w:w="0" w:type="auto"/>
            <w:vAlign w:val="center"/>
          </w:tcPr>
          <w:p>
            <w:pPr>
              <w:pStyle w:val="14"/>
            </w:pPr>
            <w:r>
              <w:t>服务对象满意度</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default" w:ascii="方正仿宋_GBK" w:hAnsi="方正仿宋_GBK" w:eastAsia="方正仿宋_GBK" w:cs="方正仿宋_GBK"/>
          <w:b/>
          <w:color w:val="000000"/>
          <w:sz w:val="28"/>
          <w:lang w:val="en-US" w:eastAsia="zh-CN"/>
        </w:rPr>
      </w:pPr>
      <w:bookmarkStart w:id="5" w:name="_Toc_3_3_0000000015"/>
      <w:r>
        <w:rPr>
          <w:rFonts w:hint="eastAsia" w:ascii="方正仿宋_GBK" w:hAnsi="方正仿宋_GBK" w:eastAsia="方正仿宋_GBK" w:cs="方正仿宋_GBK"/>
          <w:b/>
          <w:color w:val="000000"/>
          <w:sz w:val="28"/>
          <w:lang w:val="en-US" w:eastAsia="zh-CN"/>
        </w:rPr>
        <w:t>4、【130528210XXHIKA4QD58K】扶贫农产品及名优特农产品巡展</w:t>
      </w:r>
      <w:r>
        <w:rPr>
          <w:rFonts w:ascii="方正仿宋_GBK" w:hAnsi="方正仿宋_GBK" w:eastAsia="方正仿宋_GBK" w:cs="方正仿宋_GBK"/>
          <w:b/>
          <w:color w:val="000000"/>
          <w:sz w:val="28"/>
        </w:rPr>
        <w:t>绩效目标表</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68"/>
        <w:gridCol w:w="1153"/>
        <w:gridCol w:w="1616"/>
        <w:gridCol w:w="2550"/>
        <w:gridCol w:w="4262"/>
        <w:gridCol w:w="1309"/>
        <w:gridCol w:w="529"/>
        <w:gridCol w:w="604"/>
        <w:gridCol w:w="1466"/>
        <w:gridCol w:w="11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626"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项目编码及名称：[130528210XXHIKA4QD58K]扶贫农产品及名优特农产品巡展</w:t>
            </w:r>
          </w:p>
        </w:tc>
        <w:tc>
          <w:tcPr>
            <w:tcW w:w="3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2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130528210XXHIKA4QD58K</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项目名称</w:t>
            </w:r>
          </w:p>
        </w:tc>
        <w:tc>
          <w:tcPr>
            <w:tcW w:w="1251"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扶贫农产品及名优特农产品巡展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9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项目绩效模板</w:t>
            </w:r>
          </w:p>
        </w:tc>
        <w:tc>
          <w:tcPr>
            <w:tcW w:w="168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资金用途</w:t>
            </w:r>
          </w:p>
        </w:tc>
        <w:tc>
          <w:tcPr>
            <w:tcW w:w="4493"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在成都、西安、南京、西宁、沈阳举办10场扶贫农产品巡展活动，现申请扶贫农产品巡展费50万元，具体如下1.巡展费10场，2.宣传片制作，3.宣传册制作，4.交通差旅费及补助，5.运费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138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3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38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8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3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绩效目标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3955"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展示推介我县农产品特色，扩大特色农产品影响力、知名度。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3955"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增强农企知名度，通过特色农产品销售增加可支配利润。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55"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141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绩效指标描述（指标内容）</w:t>
            </w:r>
          </w:p>
        </w:tc>
        <w:tc>
          <w:tcPr>
            <w:tcW w:w="43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评（扣）分标准</w:t>
            </w:r>
          </w:p>
        </w:tc>
        <w:tc>
          <w:tcPr>
            <w:tcW w:w="86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8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4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3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38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产出指标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参展农产品数量</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参展农产品数量</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新增量</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根据省人民政府《关于深入开展消费</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扶贫助力打赢脱贫攻坚战的实施意见</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》、《省推进消费扶贫行动实施方案</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》文件精神及县委县领导主要领导指</w:t>
            </w:r>
          </w:p>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提升农产品知名度质量</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提升农产品质量</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品牌数量</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组织参展企业数量</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仿真复制、展览设计制作、宣传等总成本</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根据省人民政府《关于深入开展消费扶贫助力打赢脱贫攻坚战的实施意见》、《省推进消费扶贫行动实施方案》文件精神及县委县政府主要领导指示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展览成本</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组织参展企业数量</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节约率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效益指标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推广绿色种植养殖，可持续发展</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推广先进、绿色种植、养殖技术模式，促进农业可持续发展</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发展时限</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展览期间洽谈新结实的客商数数</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展览期间进行过洽谈或新结实的客商数</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增收率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品牌形象</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品牌形象</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促进生态文明建设，推动绿色发展和绿色生活方式</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根据省人民政府《关于深入开展消费扶贫助力打赢脱贫攻坚战的实施意见》、《省推进消费扶贫行动实施方案》文件精神及县委县政府主要领导指示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满意度指标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4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bl>
    <w:p>
      <w:pPr>
        <w:spacing w:before="10" w:after="10" w:line="240" w:lineRule="auto"/>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六、政府采购预算情况</w:t>
      </w:r>
      <w:bookmarkEnd w:id="5"/>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w:t>
            </w:r>
            <w:r>
              <w:rPr>
                <w:rFonts w:hint="eastAsia"/>
                <w:lang w:val="en-US"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rPr>
          <w:rFonts w:ascii="黑体" w:hAnsi="黑体" w:eastAsia="黑体" w:cs="黑体"/>
          <w:color w:val="000000"/>
          <w:sz w:val="32"/>
        </w:rPr>
      </w:pPr>
      <w:r>
        <w:rPr>
          <w:rFonts w:ascii="Times New Roman" w:hAnsi="Times New Roman" w:eastAsia="方正仿宋_GBK" w:cs="Times New Roman"/>
          <w:color w:val="000000"/>
          <w:sz w:val="32"/>
        </w:rPr>
        <w:t xml:space="preserve"> </w:t>
      </w:r>
      <w:bookmarkStart w:id="6" w:name="_Toc_3_3_0000000016"/>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七、国有资产信息</w:t>
      </w:r>
      <w:bookmarkEnd w:id="6"/>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7" w:name="_Toc_3_3_0000000017"/>
      <w:r>
        <w:rPr>
          <w:rFonts w:ascii="黑体" w:hAnsi="黑体" w:eastAsia="黑体" w:cs="黑体"/>
          <w:color w:val="000000"/>
          <w:sz w:val="32"/>
        </w:rPr>
        <w:t>八、名词解释</w:t>
      </w:r>
      <w:bookmarkEnd w:id="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8" w:name="_Toc_3_3_0000000018"/>
      <w:r>
        <w:rPr>
          <w:rFonts w:ascii="黑体" w:hAnsi="黑体" w:eastAsia="黑体" w:cs="黑体"/>
          <w:color w:val="000000"/>
          <w:sz w:val="32"/>
        </w:rPr>
        <w:t>九、其他需要说明的事项</w:t>
      </w:r>
      <w:bookmarkEnd w:id="8"/>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rPr>
          <w:rFonts w:ascii="方正小标宋_GBK" w:hAnsi="方正小标宋_GBK" w:eastAsia="方正小标宋_GBK" w:cs="方正小标宋_GBK"/>
          <w:b w:val="0"/>
          <w:color w:val="000000"/>
          <w:sz w:val="44"/>
        </w:rPr>
      </w:pPr>
      <w:bookmarkStart w:id="9" w:name="_Toc_4_4_0000000019"/>
    </w:p>
    <w:p>
      <w:pPr>
        <w:spacing w:before="0" w:after="0"/>
        <w:ind w:firstLine="0"/>
        <w:jc w:val="center"/>
        <w:outlineLvl w:val="3"/>
      </w:pPr>
      <w:r>
        <w:rPr>
          <w:rFonts w:ascii="方正小标宋_GBK" w:hAnsi="方正小标宋_GBK" w:eastAsia="方正小标宋_GBK" w:cs="方正小标宋_GBK"/>
          <w:b w:val="0"/>
          <w:color w:val="000000"/>
          <w:sz w:val="44"/>
        </w:rPr>
        <w:t>一、河北宁晋省级农业科技园区本级收支预算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7"/>
        <w:gridCol w:w="4316"/>
        <w:gridCol w:w="695"/>
        <w:gridCol w:w="503"/>
        <w:gridCol w:w="2456"/>
        <w:gridCol w:w="4088"/>
        <w:gridCol w:w="1830"/>
        <w:gridCol w:w="2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1" w:type="dxa"/>
          <w:trHeight w:val="369" w:hRule="atLeast"/>
          <w:tblHeader/>
          <w:jc w:val="center"/>
        </w:trPr>
        <w:tc>
          <w:tcPr>
            <w:tcW w:w="5918" w:type="dxa"/>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2959"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55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85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3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二十七、灾害防治及应急管理共同财政事权转移支付支出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二十八、债务还本支出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二十九、债务付息支出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三十、债务发行费用支出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三十一、抗疫特别国债安排的支出</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4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11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54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78"/>
        <w:gridCol w:w="1132"/>
        <w:gridCol w:w="3096"/>
        <w:gridCol w:w="1024"/>
        <w:gridCol w:w="426"/>
        <w:gridCol w:w="598"/>
        <w:gridCol w:w="1024"/>
        <w:gridCol w:w="1021"/>
        <w:gridCol w:w="823"/>
        <w:gridCol w:w="198"/>
        <w:gridCol w:w="1048"/>
        <w:gridCol w:w="1033"/>
        <w:gridCol w:w="1024"/>
        <w:gridCol w:w="1042"/>
        <w:gridCol w:w="10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9" w:type="pct"/>
            <w:gridSpan w:val="5"/>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4" w:type="pct"/>
            <w:gridSpan w:val="4"/>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1796" w:type="pct"/>
            <w:gridSpan w:val="6"/>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4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743"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3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1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
        <w:gridCol w:w="397"/>
        <w:gridCol w:w="1925"/>
        <w:gridCol w:w="3550"/>
        <w:gridCol w:w="57"/>
        <w:gridCol w:w="1168"/>
        <w:gridCol w:w="1174"/>
        <w:gridCol w:w="36"/>
        <w:gridCol w:w="1673"/>
        <w:gridCol w:w="1670"/>
        <w:gridCol w:w="1665"/>
        <w:gridCol w:w="16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pct"/>
          <w:trHeight w:val="369" w:hRule="atLeast"/>
          <w:tblHeader/>
          <w:jc w:val="center"/>
        </w:trPr>
        <w:tc>
          <w:tcPr>
            <w:tcW w:w="1973"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780" w:type="pct"/>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2240"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8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40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40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5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5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5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55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1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40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0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6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1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6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4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4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50"/>
        <w:gridCol w:w="2388"/>
        <w:gridCol w:w="670"/>
        <w:gridCol w:w="186"/>
        <w:gridCol w:w="4227"/>
        <w:gridCol w:w="336"/>
        <w:gridCol w:w="670"/>
        <w:gridCol w:w="1857"/>
        <w:gridCol w:w="1977"/>
        <w:gridCol w:w="2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3"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407" w:type="pct"/>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rPr>
                <w:rFonts w:hint="eastAsia"/>
                <w:lang w:val="en-US" w:eastAsia="zh-CN"/>
              </w:rPr>
              <w:t xml:space="preserve">                               </w:t>
            </w:r>
            <w:r>
              <w:t>预算年度：202</w:t>
            </w:r>
            <w:r>
              <w:rPr>
                <w:rFonts w:hint="eastAsia"/>
                <w:lang w:val="en-US" w:eastAsia="zh-CN"/>
              </w:rPr>
              <w:t>1</w:t>
            </w:r>
          </w:p>
        </w:tc>
        <w:tc>
          <w:tcPr>
            <w:tcW w:w="2328"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0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379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1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7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二十七、灾害防治及应急管理共同财政事权转移支付支出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二十八、债务还本支出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二十九、债务付息支出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三十、债务发行费用支出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三十一、抗疫特别国债安排的支出</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2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
        <w:gridCol w:w="397"/>
        <w:gridCol w:w="1643"/>
        <w:gridCol w:w="5907"/>
        <w:gridCol w:w="54"/>
        <w:gridCol w:w="664"/>
        <w:gridCol w:w="943"/>
        <w:gridCol w:w="1643"/>
        <w:gridCol w:w="60"/>
        <w:gridCol w:w="967"/>
        <w:gridCol w:w="2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6" w:type="pct"/>
          <w:trHeight w:val="369" w:hRule="atLeast"/>
          <w:tblHeader/>
          <w:jc w:val="center"/>
        </w:trPr>
        <w:tc>
          <w:tcPr>
            <w:tcW w:w="2663"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02" w:type="pct"/>
            <w:gridSpan w:val="4"/>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122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51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3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20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9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9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3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9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9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9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商贸事务</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2011308</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招商引资</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0.96</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农业农村</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2130102</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2130104</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事业运行</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9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2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3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
        <w:gridCol w:w="396"/>
        <w:gridCol w:w="2184"/>
        <w:gridCol w:w="3875"/>
        <w:gridCol w:w="57"/>
        <w:gridCol w:w="2025"/>
        <w:gridCol w:w="2025"/>
        <w:gridCol w:w="547"/>
        <w:gridCol w:w="38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7" w:type="pct"/>
          <w:trHeight w:val="369" w:hRule="atLeast"/>
          <w:tblHeader/>
          <w:jc w:val="center"/>
        </w:trPr>
        <w:tc>
          <w:tcPr>
            <w:tcW w:w="2167"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348" w:type="pct"/>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147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0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2842"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12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7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0.93</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0.42</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0.03</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0.70</w:t>
            </w: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0.28</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7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12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8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r>
    </w:tbl>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
        <w:gridCol w:w="1424"/>
        <w:gridCol w:w="2949"/>
        <w:gridCol w:w="2006"/>
        <w:gridCol w:w="1424"/>
        <w:gridCol w:w="1721"/>
        <w:gridCol w:w="1724"/>
        <w:gridCol w:w="541"/>
        <w:gridCol w:w="32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6" w:type="pct"/>
          <w:trHeight w:val="369" w:hRule="atLeast"/>
          <w:tblHeader/>
          <w:jc w:val="center"/>
        </w:trPr>
        <w:tc>
          <w:tcPr>
            <w:tcW w:w="2597"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47" w:type="pct"/>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1249"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48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04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0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atLeast"/>
          <w:jc w:val="center"/>
        </w:trPr>
        <w:tc>
          <w:tcPr>
            <w:tcW w:w="48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04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jc w:val="center"/>
        </w:trPr>
        <w:tc>
          <w:tcPr>
            <w:tcW w:w="4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9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7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4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7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6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spacing w:before="0" w:after="0"/>
        <w:ind w:firstLine="0"/>
        <w:jc w:val="left"/>
        <w:outlineLvl w:val="3"/>
        <w:rPr>
          <w:rFonts w:ascii="方正小标宋_GBK" w:hAnsi="方正小标宋_GBK" w:eastAsia="方正小标宋_GBK" w:cs="方正小标宋_GBK"/>
          <w:b w:val="0"/>
          <w:color w:val="000000"/>
          <w:sz w:val="44"/>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无政府基金</w:t>
      </w:r>
      <w:r>
        <w:rPr>
          <w:rFonts w:ascii="方正书宋_GBK" w:hAnsi="方正书宋_GBK" w:eastAsia="方正书宋_GBK" w:cs="方正书宋_GBK"/>
          <w:color w:val="000000"/>
          <w:sz w:val="21"/>
        </w:rPr>
        <w:t>预算财政拨款预算，空表列示</w:t>
      </w:r>
    </w:p>
    <w:bookmarkEnd w:id="9"/>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
        <w:gridCol w:w="1760"/>
        <w:gridCol w:w="2953"/>
        <w:gridCol w:w="1334"/>
        <w:gridCol w:w="1755"/>
        <w:gridCol w:w="1728"/>
        <w:gridCol w:w="1719"/>
        <w:gridCol w:w="547"/>
        <w:gridCol w:w="3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7" w:type="pct"/>
          <w:trHeight w:val="369" w:hRule="atLeast"/>
          <w:tblHeader/>
          <w:jc w:val="center"/>
        </w:trPr>
        <w:tc>
          <w:tcPr>
            <w:tcW w:w="2597" w:type="pct"/>
            <w:gridSpan w:val="4"/>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47" w:type="pct"/>
            <w:gridSpan w:val="2"/>
            <w:tcBorders>
              <w:top w:val="single" w:color="FFFFFF" w:sz="6" w:space="0"/>
              <w:left w:val="single" w:color="FFFFFF" w:sz="6" w:space="0"/>
              <w:right w:val="single" w:color="FFFFFF" w:sz="6" w:space="0"/>
            </w:tcBorders>
            <w:vAlign w:val="center"/>
          </w:tcPr>
          <w:p>
            <w:pPr>
              <w:pStyle w:val="10"/>
              <w:rPr>
                <w:rFonts w:hint="default" w:eastAsia="方正小标宋_GBK"/>
                <w:lang w:val="en-US" w:eastAsia="zh-CN"/>
              </w:rPr>
            </w:pPr>
            <w:r>
              <w:t>预算年度：202</w:t>
            </w:r>
            <w:r>
              <w:rPr>
                <w:rFonts w:hint="eastAsia"/>
                <w:lang w:val="en-US" w:eastAsia="zh-CN"/>
              </w:rPr>
              <w:t>1</w:t>
            </w:r>
          </w:p>
        </w:tc>
        <w:tc>
          <w:tcPr>
            <w:tcW w:w="124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4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15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0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5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15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jc w:val="center"/>
        </w:trPr>
        <w:tc>
          <w:tcPr>
            <w:tcW w:w="5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9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7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1" w:hRule="atLeast"/>
          <w:jc w:val="center"/>
        </w:trPr>
        <w:tc>
          <w:tcPr>
            <w:tcW w:w="5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9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44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7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06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spacing w:before="0" w:after="0" w:line="240" w:lineRule="auto"/>
        <w:ind w:firstLine="0"/>
        <w:jc w:val="left"/>
        <w:outlineLvl w:val="4"/>
        <w:rPr>
          <w:rFonts w:ascii="方正小标宋_GBK" w:hAnsi="方正小标宋_GBK" w:eastAsia="方正小标宋_GBK" w:cs="方正小标宋_GBK"/>
          <w:color w:val="000000"/>
          <w:sz w:val="36"/>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无国有资本经营</w:t>
      </w:r>
      <w:r>
        <w:rPr>
          <w:rFonts w:ascii="方正书宋_GBK" w:hAnsi="方正书宋_GBK" w:eastAsia="方正书宋_GBK" w:cs="方正书宋_GBK"/>
          <w:color w:val="000000"/>
          <w:sz w:val="21"/>
        </w:rPr>
        <w:t>预算财政拨款预算，空表列示</w:t>
      </w:r>
    </w:p>
    <w:p>
      <w:pPr>
        <w:spacing w:before="0" w:after="0" w:line="240" w:lineRule="auto"/>
        <w:ind w:firstLine="0"/>
        <w:jc w:val="left"/>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7"/>
        <w:gridCol w:w="4103"/>
        <w:gridCol w:w="442"/>
        <w:gridCol w:w="2085"/>
        <w:gridCol w:w="1691"/>
        <w:gridCol w:w="841"/>
        <w:gridCol w:w="2529"/>
        <w:gridCol w:w="2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5" w:type="pct"/>
            <w:gridSpan w:val="3"/>
            <w:tcBorders>
              <w:top w:val="single" w:color="FFFFFF" w:sz="6" w:space="0"/>
              <w:left w:val="single" w:color="FFFFFF" w:sz="6" w:space="0"/>
              <w:bottom w:val="single" w:color="FFFFFF" w:sz="6" w:space="0"/>
              <w:right w:val="single" w:color="FFFFFF" w:sz="6" w:space="0"/>
            </w:tcBorders>
            <w:vAlign w:val="center"/>
          </w:tcPr>
          <w:p>
            <w:pPr>
              <w:pStyle w:val="11"/>
            </w:pPr>
            <w:r>
              <w:t>981001河北宁晋省级农业科技园区本级</w:t>
            </w:r>
          </w:p>
        </w:tc>
        <w:tc>
          <w:tcPr>
            <w:tcW w:w="1257" w:type="pct"/>
            <w:gridSpan w:val="2"/>
            <w:tcBorders>
              <w:top w:val="single" w:color="FFFFFF" w:sz="6" w:space="0"/>
              <w:left w:val="single" w:color="FFFFFF" w:sz="6" w:space="0"/>
              <w:bottom w:val="single" w:color="FFFFFF" w:sz="6" w:space="0"/>
              <w:right w:val="single" w:color="FFFFFF" w:sz="6" w:space="0"/>
            </w:tcBorders>
            <w:vAlign w:val="center"/>
          </w:tcPr>
          <w:p>
            <w:pPr>
              <w:pStyle w:val="10"/>
              <w:rPr>
                <w:rFonts w:hint="eastAsia" w:eastAsia="方正小标宋_GBK"/>
                <w:lang w:val="en-US" w:eastAsia="zh-CN"/>
              </w:rPr>
            </w:pPr>
            <w:r>
              <w:t>预算年度：202</w:t>
            </w:r>
            <w:r>
              <w:rPr>
                <w:rFonts w:hint="eastAsia"/>
                <w:lang w:val="en-US" w:eastAsia="zh-CN"/>
              </w:rPr>
              <w:t>1</w:t>
            </w:r>
          </w:p>
        </w:tc>
        <w:tc>
          <w:tcPr>
            <w:tcW w:w="1966" w:type="pct"/>
            <w:gridSpan w:val="3"/>
            <w:tcBorders>
              <w:top w:val="single" w:color="FFFFFF" w:sz="6" w:space="0"/>
              <w:left w:val="single" w:color="FFFFFF" w:sz="6" w:space="0"/>
              <w:bottom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5" w:type="pct"/>
            <w:gridSpan w:val="3"/>
            <w:tcBorders>
              <w:top w:val="single" w:color="FFFFFF" w:sz="6" w:space="0"/>
              <w:left w:val="single" w:color="FFFFFF" w:sz="6" w:space="0"/>
              <w:right w:val="single" w:color="FFFFFF" w:sz="6" w:space="0"/>
            </w:tcBorders>
            <w:vAlign w:val="center"/>
          </w:tcPr>
          <w:p>
            <w:pPr>
              <w:pStyle w:val="11"/>
            </w:pPr>
          </w:p>
        </w:tc>
        <w:tc>
          <w:tcPr>
            <w:tcW w:w="1257" w:type="pct"/>
            <w:gridSpan w:val="2"/>
            <w:tcBorders>
              <w:top w:val="single" w:color="FFFFFF" w:sz="6" w:space="0"/>
              <w:left w:val="single" w:color="FFFFFF" w:sz="6" w:space="0"/>
              <w:right w:val="single" w:color="FFFFFF" w:sz="6" w:space="0"/>
            </w:tcBorders>
            <w:vAlign w:val="center"/>
          </w:tcPr>
          <w:p>
            <w:pPr>
              <w:pStyle w:val="10"/>
            </w:pPr>
          </w:p>
        </w:tc>
        <w:tc>
          <w:tcPr>
            <w:tcW w:w="1966" w:type="pct"/>
            <w:gridSpan w:val="3"/>
            <w:tcBorders>
              <w:top w:val="single" w:color="FFFFFF" w:sz="6" w:space="0"/>
              <w:left w:val="single" w:color="FFFFFF" w:sz="6" w:space="0"/>
              <w:right w:val="single" w:color="FFFFFF" w:sz="6" w:space="0"/>
            </w:tcBorders>
            <w:vAlign w:val="center"/>
          </w:tcPr>
          <w:p>
            <w:pPr>
              <w:pStyle w:val="9"/>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337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jc w:val="center"/>
        </w:trPr>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3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136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sectPr>
          <w:footerReference r:id="rId5" w:type="default"/>
          <w:footerReference r:id="rId6" w:type="even"/>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w:t>
      </w:r>
      <w:r>
        <w:rPr>
          <w:rFonts w:hint="eastAsia" w:ascii="方正书宋_GBK" w:hAnsi="方正书宋_GBK" w:eastAsia="方正书宋_GBK" w:cs="方正书宋_GBK"/>
          <w:color w:val="000000"/>
          <w:sz w:val="21"/>
          <w:lang w:val="en-US" w:eastAsia="zh-CN"/>
        </w:rPr>
        <w:t>“三公”经费</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w:t>
      </w:r>
      <w:r>
        <w:rPr>
          <w:rFonts w:hint="eastAsia" w:ascii="方正小标宋_GBK" w:hAnsi="方正小标宋_GBK" w:eastAsia="方正小标宋_GBK" w:cs="方正小标宋_GBK"/>
          <w:b w:val="0"/>
          <w:color w:val="000000"/>
          <w:sz w:val="44"/>
          <w:lang w:val="en-US" w:eastAsia="zh-CN"/>
        </w:rPr>
        <w:t>1</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、《地方预决算公开操作规程》和《关于进一步推进预算公开工作的实施意见》规定，现将河北宁晋省级农业科技园区本级202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7"/>
      </w:pPr>
      <w:r>
        <w:t xml:space="preserve">内设机构：办公室 </w:t>
      </w:r>
    </w:p>
    <w:p>
      <w:pPr>
        <w:pStyle w:val="27"/>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2"/>
            </w:pPr>
            <w:r>
              <w:t>单位名称</w:t>
            </w:r>
          </w:p>
        </w:tc>
        <w:tc>
          <w:tcPr>
            <w:tcW w:w="715" w:type="pct"/>
            <w:vAlign w:val="center"/>
          </w:tcPr>
          <w:p>
            <w:pPr>
              <w:pStyle w:val="12"/>
            </w:pPr>
            <w:r>
              <w:t>单位性质</w:t>
            </w:r>
          </w:p>
        </w:tc>
        <w:tc>
          <w:tcPr>
            <w:tcW w:w="715" w:type="pct"/>
            <w:vAlign w:val="center"/>
          </w:tcPr>
          <w:p>
            <w:pPr>
              <w:pStyle w:val="12"/>
            </w:pPr>
            <w:r>
              <w:t>单位规格</w:t>
            </w:r>
          </w:p>
        </w:tc>
        <w:tc>
          <w:tcPr>
            <w:tcW w:w="1428" w:type="pct"/>
            <w:vAlign w:val="center"/>
          </w:tcPr>
          <w:p>
            <w:pPr>
              <w:pStyle w:val="12"/>
            </w:pPr>
            <w:r>
              <w:t>经费保障形式</w:t>
            </w:r>
          </w:p>
        </w:tc>
      </w:tr>
      <w:tr>
        <w:tblPrEx>
          <w:tblCellMar>
            <w:top w:w="0" w:type="dxa"/>
            <w:left w:w="108" w:type="dxa"/>
            <w:bottom w:w="0" w:type="dxa"/>
            <w:right w:w="108" w:type="dxa"/>
          </w:tblCellMar>
        </w:tblPrEx>
        <w:trPr>
          <w:trHeight w:val="369" w:hRule="atLeast"/>
          <w:jc w:val="center"/>
        </w:trPr>
        <w:tc>
          <w:tcPr>
            <w:tcW w:w="2140" w:type="pct"/>
            <w:vAlign w:val="center"/>
          </w:tcPr>
          <w:p>
            <w:pPr>
              <w:pStyle w:val="14"/>
            </w:pPr>
            <w:r>
              <w:t>河北宁晋省级农业科技园区本级</w:t>
            </w:r>
          </w:p>
        </w:tc>
        <w:tc>
          <w:tcPr>
            <w:tcW w:w="715" w:type="pct"/>
            <w:vAlign w:val="center"/>
          </w:tcPr>
          <w:p>
            <w:pPr>
              <w:pStyle w:val="15"/>
            </w:pPr>
            <w:r>
              <w:t>事业</w:t>
            </w:r>
          </w:p>
        </w:tc>
        <w:tc>
          <w:tcPr>
            <w:tcW w:w="715" w:type="pct"/>
            <w:vAlign w:val="center"/>
          </w:tcPr>
          <w:p>
            <w:pPr>
              <w:pStyle w:val="15"/>
            </w:pPr>
            <w:r>
              <w:t>正科级</w:t>
            </w:r>
          </w:p>
        </w:tc>
        <w:tc>
          <w:tcPr>
            <w:tcW w:w="1428" w:type="pct"/>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0"/>
        <w:ind w:left="0" w:leftChars="0" w:firstLine="560" w:firstLineChars="200"/>
      </w:pPr>
      <w:r>
        <w:t>1、收入说明</w:t>
      </w:r>
    </w:p>
    <w:p>
      <w:pPr>
        <w:pStyle w:val="20"/>
      </w:pPr>
      <w:r>
        <w:t>反应本</w:t>
      </w:r>
      <w:r>
        <w:rPr>
          <w:rFonts w:hint="eastAsia"/>
          <w:lang w:eastAsia="zh-CN"/>
        </w:rPr>
        <w:t>单位</w:t>
      </w:r>
      <w:r>
        <w:t>当年全部收入。202</w:t>
      </w:r>
      <w:r>
        <w:rPr>
          <w:rFonts w:hint="eastAsia"/>
          <w:lang w:val="en-US" w:eastAsia="zh-CN"/>
        </w:rPr>
        <w:t>1</w:t>
      </w:r>
      <w:r>
        <w:t>年本</w:t>
      </w:r>
      <w:r>
        <w:rPr>
          <w:rFonts w:hint="eastAsia"/>
          <w:lang w:eastAsia="zh-CN"/>
        </w:rPr>
        <w:t>单位</w:t>
      </w:r>
      <w:r>
        <w:t>预算总收入</w:t>
      </w:r>
      <w:r>
        <w:rPr>
          <w:rFonts w:hint="eastAsia"/>
          <w:lang w:val="en-US" w:eastAsia="zh-CN"/>
        </w:rPr>
        <w:t>78.11</w:t>
      </w:r>
      <w:r>
        <w:t>万元。其中：一般公共预算收入</w:t>
      </w:r>
      <w:r>
        <w:rPr>
          <w:rFonts w:hint="eastAsia"/>
          <w:lang w:val="en-US" w:eastAsia="zh-CN"/>
        </w:rPr>
        <w:t>78.11</w:t>
      </w:r>
      <w:r>
        <w:t>万元，政府性基金预算收入</w:t>
      </w:r>
      <w:r>
        <w:rPr>
          <w:rFonts w:hint="eastAsia"/>
          <w:lang w:val="en-US" w:eastAsia="zh-CN"/>
        </w:rPr>
        <w:t>0</w:t>
      </w:r>
      <w:r>
        <w:t>万元，财政专户核拨收入0万元，其他来源收入0万元。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度部门预算中支出预算的总体情况。202</w:t>
      </w:r>
      <w:r>
        <w:rPr>
          <w:rFonts w:hint="eastAsia"/>
          <w:lang w:val="en-US" w:eastAsia="zh-CN"/>
        </w:rPr>
        <w:t>1</w:t>
      </w:r>
      <w:r>
        <w:t>年本部门预算总支出</w:t>
      </w:r>
      <w:r>
        <w:rPr>
          <w:rFonts w:hint="eastAsia"/>
          <w:lang w:val="en-US" w:eastAsia="zh-CN"/>
        </w:rPr>
        <w:t>78.11</w:t>
      </w:r>
      <w:r>
        <w:t>万元；其中基本支出</w:t>
      </w:r>
      <w:r>
        <w:rPr>
          <w:rFonts w:hint="eastAsia"/>
          <w:lang w:val="en-US" w:eastAsia="zh-CN"/>
        </w:rPr>
        <w:t>9.32</w:t>
      </w:r>
      <w:r>
        <w:t>万元包括人员经费支出</w:t>
      </w:r>
      <w:r>
        <w:rPr>
          <w:rFonts w:hint="eastAsia"/>
          <w:lang w:val="en-US" w:eastAsia="zh-CN"/>
        </w:rPr>
        <w:t>8.86</w:t>
      </w:r>
      <w:r>
        <w:t>万元、日常公用经费支出</w:t>
      </w:r>
      <w:r>
        <w:rPr>
          <w:rFonts w:hint="eastAsia"/>
          <w:lang w:val="en-US" w:eastAsia="zh-CN"/>
        </w:rPr>
        <w:t>0.46</w:t>
      </w:r>
      <w:r>
        <w:t>万元；项目支出</w:t>
      </w:r>
      <w:r>
        <w:rPr>
          <w:rFonts w:hint="eastAsia"/>
          <w:lang w:val="en-US" w:eastAsia="zh-CN"/>
        </w:rPr>
        <w:t>68.79</w:t>
      </w:r>
      <w:r>
        <w:t>万元</w:t>
      </w:r>
      <w:r>
        <w:rPr>
          <w:rFonts w:hint="eastAsia"/>
          <w:lang w:eastAsia="zh-CN"/>
        </w:rPr>
        <w:t>。</w:t>
      </w:r>
    </w:p>
    <w:p>
      <w:pPr>
        <w:pStyle w:val="20"/>
      </w:pPr>
      <w:r>
        <w:t>3、比上年增减情况</w:t>
      </w:r>
    </w:p>
    <w:p>
      <w:pPr>
        <w:pStyle w:val="20"/>
        <w:rPr>
          <w:rFonts w:ascii="黑体" w:hAnsi="黑体" w:eastAsia="黑体" w:cs="黑体"/>
          <w:color w:val="000000"/>
          <w:sz w:val="32"/>
        </w:rPr>
      </w:pPr>
      <w:r>
        <w:rPr>
          <w:rFonts w:ascii="Times New Roman" w:hAnsi="Times New Roman" w:cs="Times New Roman"/>
        </w:rPr>
        <w:t>202</w:t>
      </w:r>
      <w:r>
        <w:rPr>
          <w:rFonts w:hint="eastAsia" w:ascii="Times New Roman" w:hAnsi="Times New Roman" w:cs="Times New Roman"/>
          <w:lang w:val="en-US" w:eastAsia="zh-CN"/>
        </w:rPr>
        <w:t>1</w:t>
      </w:r>
      <w:r>
        <w:rPr>
          <w:rFonts w:ascii="Times New Roman" w:hAnsi="Times New Roman" w:cs="Times New Roman"/>
        </w:rPr>
        <w:t>年本部门预算总支出</w:t>
      </w:r>
      <w:r>
        <w:rPr>
          <w:rFonts w:hint="eastAsia" w:ascii="Times New Roman" w:hAnsi="Times New Roman" w:cs="Times New Roman"/>
          <w:lang w:val="en-US" w:eastAsia="zh-CN"/>
        </w:rPr>
        <w:t>78.11</w:t>
      </w:r>
      <w:r>
        <w:rPr>
          <w:rFonts w:ascii="Times New Roman" w:hAnsi="Times New Roman" w:cs="Times New Roman"/>
        </w:rPr>
        <w:t>万元，较202</w:t>
      </w:r>
      <w:r>
        <w:rPr>
          <w:rFonts w:hint="eastAsia" w:ascii="Times New Roman" w:hAnsi="Times New Roman" w:cs="Times New Roman"/>
          <w:lang w:val="en-US" w:eastAsia="zh-CN"/>
        </w:rPr>
        <w:t>0</w:t>
      </w:r>
      <w:r>
        <w:rPr>
          <w:rFonts w:ascii="Times New Roman" w:hAnsi="Times New Roman" w:cs="Times New Roman"/>
        </w:rPr>
        <w:t>年预算总支出增加4</w:t>
      </w:r>
      <w:r>
        <w:rPr>
          <w:rFonts w:hint="eastAsia" w:ascii="Times New Roman" w:hAnsi="Times New Roman" w:cs="Times New Roman"/>
          <w:lang w:val="en-US" w:eastAsia="zh-CN"/>
        </w:rPr>
        <w:t>4.68</w:t>
      </w:r>
      <w:r>
        <w:rPr>
          <w:rFonts w:ascii="Times New Roman" w:hAnsi="Times New Roman" w:cs="Times New Roman"/>
        </w:rPr>
        <w:t>万元，其中：基本支出增加</w:t>
      </w:r>
      <w:r>
        <w:rPr>
          <w:rFonts w:hint="eastAsia" w:ascii="Times New Roman" w:hAnsi="Times New Roman" w:cs="Times New Roman"/>
          <w:lang w:val="en-US" w:eastAsia="zh-CN"/>
        </w:rPr>
        <w:t>0.23</w:t>
      </w:r>
      <w:r>
        <w:rPr>
          <w:rFonts w:ascii="Times New Roman" w:hAnsi="Times New Roman" w:cs="Times New Roman"/>
        </w:rPr>
        <w:t>万元，主要是人员</w:t>
      </w:r>
      <w:r>
        <w:rPr>
          <w:rFonts w:hint="eastAsia" w:ascii="Times New Roman" w:hAnsi="Times New Roman" w:cs="Times New Roman"/>
          <w:lang w:eastAsia="zh-CN"/>
        </w:rPr>
        <w:t>薪级调整</w:t>
      </w:r>
      <w:r>
        <w:rPr>
          <w:rFonts w:ascii="Times New Roman" w:hAnsi="Times New Roman" w:cs="Times New Roman"/>
        </w:rPr>
        <w:t>；项目支出</w:t>
      </w:r>
      <w:r>
        <w:rPr>
          <w:rFonts w:hint="eastAsia" w:ascii="Times New Roman" w:hAnsi="Times New Roman" w:cs="Times New Roman"/>
          <w:lang w:eastAsia="zh-CN"/>
        </w:rPr>
        <w:t>增加</w:t>
      </w:r>
      <w:r>
        <w:rPr>
          <w:rFonts w:hint="eastAsia" w:ascii="Times New Roman" w:hAnsi="Times New Roman" w:cs="Times New Roman"/>
          <w:lang w:val="en-US" w:eastAsia="zh-CN"/>
        </w:rPr>
        <w:t>44.56</w:t>
      </w:r>
      <w:r>
        <w:rPr>
          <w:rFonts w:ascii="Times New Roman" w:hAnsi="Times New Roman" w:cs="Times New Roman"/>
        </w:rPr>
        <w:t>万元</w:t>
      </w:r>
      <w:r>
        <w:rPr>
          <w:rFonts w:hint="eastAsia" w:ascii="Times New Roman" w:hAnsi="Times New Roman" w:cs="Times New Roman"/>
        </w:rPr>
        <w:t>，主要是</w:t>
      </w:r>
      <w:r>
        <w:rPr>
          <w:rFonts w:hint="eastAsia" w:ascii="Times New Roman" w:hAnsi="Times New Roman" w:cs="Times New Roman"/>
          <w:lang w:eastAsia="zh-CN"/>
        </w:rPr>
        <w:t>扶贫农产品及名优特农产品巡展项目支出增加</w:t>
      </w:r>
      <w:r>
        <w:rPr>
          <w:rFonts w:hint="eastAsia" w:ascii="Times New Roman" w:hAnsi="Times New Roman" w:cs="Times New Roman"/>
        </w:rPr>
        <w:t>。</w:t>
      </w:r>
      <w: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1</w:t>
      </w:r>
      <w:r>
        <w:t>年度河北宁晋省级农业科技园区</w:t>
      </w:r>
      <w:r>
        <w:rPr>
          <w:rFonts w:hint="eastAsia"/>
          <w:lang w:eastAsia="zh-CN"/>
        </w:rPr>
        <w:t>本单位</w:t>
      </w:r>
      <w:r>
        <w:t>无机关运行预算经费，与</w:t>
      </w:r>
      <w:r>
        <w:rPr>
          <w:rFonts w:hint="eastAsia"/>
          <w:lang w:eastAsia="zh-CN"/>
        </w:rPr>
        <w:t>上</w:t>
      </w:r>
      <w:r>
        <w:t>年相同。</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财政拨款“三公”经费预算安排情况</w:t>
      </w:r>
    </w:p>
    <w:p>
      <w:pPr>
        <w:pStyle w:val="30"/>
        <w:rPr>
          <w:rFonts w:hint="eastAsia" w:eastAsia="方正仿宋_GBK"/>
          <w:lang w:eastAsia="zh-CN"/>
        </w:rPr>
      </w:pPr>
      <w:r>
        <w:t>202</w:t>
      </w:r>
      <w:r>
        <w:rPr>
          <w:rFonts w:hint="eastAsia"/>
          <w:lang w:val="en-US" w:eastAsia="zh-CN"/>
        </w:rPr>
        <w:t>1</w:t>
      </w:r>
      <w:r>
        <w:t>年</w:t>
      </w:r>
      <w:r>
        <w:rPr>
          <w:rFonts w:hint="eastAsia"/>
          <w:lang w:eastAsia="zh-CN"/>
        </w:rPr>
        <w:t>度本</w:t>
      </w:r>
      <w:r>
        <w:t>单位无财政拨款“三公”经费预算安排</w:t>
      </w:r>
      <w:r>
        <w:rPr>
          <w:rFonts w:hint="eastAsia"/>
          <w:lang w:eastAsia="zh-CN"/>
        </w:rPr>
        <w:t>，</w:t>
      </w:r>
      <w:r>
        <w:t>与</w:t>
      </w:r>
      <w:r>
        <w:rPr>
          <w:rFonts w:hint="eastAsia"/>
          <w:lang w:eastAsia="zh-CN"/>
        </w:rPr>
        <w:t>上</w:t>
      </w:r>
      <w:r>
        <w:t>年相同。</w:t>
      </w: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3"/>
        <w:rPr>
          <w:rFonts w:ascii="Times New Roman" w:hAnsi="Times New Roman" w:eastAsia="方正仿宋_GBK" w:cs="Times New Roman"/>
          <w:color w:val="000000"/>
          <w:sz w:val="28"/>
        </w:rPr>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一、农业项目建设与招商引资，负责产业扶持政策，负责统筹协调相关涉农业项目，依法依规完成工作任务，确保单位事业正常运行，提高业务工作效率。</w:t>
      </w:r>
    </w:p>
    <w:p>
      <w:pPr>
        <w:pStyle w:val="24"/>
        <w:rPr>
          <w:rFonts w:ascii="Times New Roman" w:hAnsi="Times New Roman" w:eastAsia="方正仿宋_GBK" w:cs="Times New Roman"/>
          <w:color w:val="000000"/>
          <w:sz w:val="28"/>
        </w:rPr>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一、牢固树立“四个意识”、坚定“四个自信”、做到“四个服从”，深刻认识到意识形态工作的极端重要性。继续延伸做好</w:t>
      </w:r>
      <w:r>
        <w:rPr>
          <w:rFonts w:hint="eastAsia"/>
          <w:lang w:eastAsia="zh-CN"/>
        </w:rPr>
        <w:t>“不忘初心、牢记使命”主题教育</w:t>
      </w:r>
      <w:r>
        <w:t>开展和意识形态相关工作，以理论学习提升党员干部职工党性修养，以理论学习提升党员干部职工干事创业精神，以理论学习指导园区工作开展。</w:t>
      </w:r>
    </w:p>
    <w:p>
      <w:pPr>
        <w:pStyle w:val="25"/>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320" w:firstLineChars="100"/>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firstLineChars="200"/>
        <w:jc w:val="left"/>
        <w:outlineLvl w:val="9"/>
      </w:pPr>
      <w:r>
        <w:rPr>
          <w:rFonts w:ascii="方正仿宋_GBK" w:hAnsi="方正仿宋_GBK" w:eastAsia="方正仿宋_GBK" w:cs="方正仿宋_GBK"/>
          <w:b/>
          <w:color w:val="000000"/>
          <w:sz w:val="28"/>
        </w:rPr>
        <w:t>1、202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年涉军安置人员1名工资及保险绩效目标表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1.严格按照标准计算退役军人工资、养老保险、医疗保险、工伤保险。</w:t>
            </w:r>
          </w:p>
          <w:p>
            <w:pPr>
              <w:pStyle w:val="14"/>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支付人数</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促进区域经济发展</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≥50%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2"/>
        <w:gridCol w:w="1154"/>
        <w:gridCol w:w="1616"/>
        <w:gridCol w:w="2550"/>
        <w:gridCol w:w="4261"/>
        <w:gridCol w:w="1309"/>
        <w:gridCol w:w="529"/>
        <w:gridCol w:w="605"/>
        <w:gridCol w:w="1466"/>
        <w:gridCol w:w="11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spacing w:before="0" w:after="0"/>
              <w:ind w:firstLine="560"/>
              <w:jc w:val="left"/>
              <w:outlineLvl w:val="9"/>
              <w:rPr>
                <w:rFonts w:hint="eastAsia" w:ascii="宋体" w:hAnsi="宋体" w:eastAsia="宋体" w:cs="宋体"/>
                <w:b/>
                <w:bCs/>
                <w:i w:val="0"/>
                <w:iCs w:val="0"/>
                <w:color w:val="000000"/>
                <w:sz w:val="43"/>
                <w:szCs w:val="43"/>
                <w:u w:val="none"/>
              </w:rPr>
            </w:pPr>
            <w:r>
              <w:rPr>
                <w:rFonts w:hint="eastAsia" w:ascii="方正仿宋_GBK" w:hAnsi="方正仿宋_GBK" w:eastAsia="方正仿宋_GBK" w:cs="方正仿宋_GBK"/>
                <w:b/>
                <w:color w:val="000000"/>
                <w:sz w:val="28"/>
                <w:lang w:val="en-US" w:eastAsia="zh-CN"/>
              </w:rPr>
              <w:t>4、【130528210XXHIKA4QD58K】扶贫农产品及名优特农产品巡展</w:t>
            </w:r>
            <w:r>
              <w:rPr>
                <w:rFonts w:ascii="方正仿宋_GBK" w:hAnsi="方正仿宋_GBK" w:eastAsia="方正仿宋_GBK" w:cs="方正仿宋_GBK"/>
                <w:b/>
                <w:color w:val="000000"/>
                <w:sz w:val="28"/>
              </w:rPr>
              <w:t>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62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项目编码及名称：[130528210XXHIKA4QD58K]扶贫农产品及名优特农产品巡展</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87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280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130528210XXHIKA4QD58K</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项目名称</w:t>
            </w:r>
          </w:p>
        </w:tc>
        <w:tc>
          <w:tcPr>
            <w:tcW w:w="125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扶贫农产品及名优特农产品巡展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88"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项目绩效模板</w:t>
            </w:r>
          </w:p>
        </w:tc>
        <w:tc>
          <w:tcPr>
            <w:tcW w:w="168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资金用途</w:t>
            </w:r>
          </w:p>
        </w:tc>
        <w:tc>
          <w:tcPr>
            <w:tcW w:w="4491"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在成都、西安、南京、西宁、沈阳举办10场扶贫农产品巡展活动，现申请扶贫农产品巡展费50万元，具体如下1.巡展费10场，2.宣传片制作，3.宣传册制作，4.交通差旅费及补助，5.运费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13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8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3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8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8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绩效目标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395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展示推介我县农产品特色，扩大特色农产品影响力、知名度。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395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增强农企知名度，通过特色农产品销售增加可支配利润。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95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84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141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绩效指标描述（指标内容）</w:t>
            </w:r>
          </w:p>
        </w:tc>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评（扣）分标准</w:t>
            </w:r>
          </w:p>
        </w:tc>
        <w:tc>
          <w:tcPr>
            <w:tcW w:w="86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84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41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产出指标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参展农产品数量</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参展农产品数量</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新增量</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根据省人民政府《关于深入开展消费</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扶贫助力打赢脱贫攻坚战的实施意见</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》、《省推进消费扶贫行动实施方案</w:t>
            </w:r>
          </w:p>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》文件精神及县委县领导主要领导指</w:t>
            </w:r>
          </w:p>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提升农产品知名度质量</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提升农产品质量</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品牌数量</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组织参展企业数量</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仿真复制、展览设计制作、宣传等总成本</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根据省人民政府《关于深入开展消费扶贫助力打赢脱贫攻坚战的实施意见》、《省推进消费扶贫行动实施方案》文件精神及县委县政府主要领导指示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展览成本</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组织参展企业数量</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节约率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效益指标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推广绿色种植养殖，可持续发展</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推广先进、绿色种植、养殖技术模式，促进农业可持续发展</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发展时限</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展览期间洽谈新结实的客商数数</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展览期间进行过洽谈或新结实的客商数</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增收率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品牌形象</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品牌形象</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促进生态文明建设，推动绿色发展和绿色生活方式</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促进率</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根据省人民政府《关于深入开展消费扶贫助力打赢脱贫攻坚战的实施意见》、《省推进消费扶贫行动实施方案》文件精神及县委县政府主要领导指示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满意度指标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根据省人民政府《关于深入开展消费扶贫助力打赢脱贫攻坚战的实施意见》、《省推进消费扶贫行动实施方案》文件精神及县委县领导主要领导指示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8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4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r>
    </w:tbl>
    <w:p>
      <w:p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w:t>
            </w:r>
            <w:r>
              <w:rPr>
                <w:rFonts w:hint="eastAsia"/>
                <w:lang w:val="en-US"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AEDDC92-1AB9-42D7-A4EF-E4DFBF6C561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embedRegular r:id="rId2" w:fontKey="{D03D8AE6-A157-4ED4-9733-133F6B74EB7D}"/>
  </w:font>
  <w:font w:name="方正小标宋_GBK">
    <w:panose1 w:val="02000000000000000000"/>
    <w:charset w:val="86"/>
    <w:family w:val="auto"/>
    <w:pitch w:val="default"/>
    <w:sig w:usb0="A00002BF" w:usb1="38CF7CFA" w:usb2="00082016" w:usb3="00000000" w:csb0="00040001" w:csb1="00000000"/>
    <w:embedRegular r:id="rId3" w:fontKey="{758DD42F-7CAE-46E6-958D-EB2083A918B1}"/>
  </w:font>
  <w:font w:name="方正书宋_GBK">
    <w:altName w:val="微软雅黑"/>
    <w:panose1 w:val="00000000000000000000"/>
    <w:charset w:val="00"/>
    <w:family w:val="auto"/>
    <w:pitch w:val="default"/>
    <w:sig w:usb0="00000000" w:usb1="00000000" w:usb2="00000000" w:usb3="00000000" w:csb0="00000000" w:csb1="00000000"/>
    <w:embedRegular r:id="rId4" w:fontKey="{94814BC2-533E-4322-9F53-412BDD83F55C}"/>
  </w:font>
  <w:font w:name="方正楷体_GBK">
    <w:altName w:val="微软雅黑"/>
    <w:panose1 w:val="00000000000000000000"/>
    <w:charset w:val="00"/>
    <w:family w:val="auto"/>
    <w:pitch w:val="default"/>
    <w:sig w:usb0="00000000" w:usb1="00000000" w:usb2="00000000" w:usb3="00000000" w:csb0="00000000" w:csb1="00000000"/>
    <w:embedRegular r:id="rId5" w:fontKey="{9F5EB50B-4DB8-4F02-A386-F015141B2912}"/>
  </w:font>
  <w:font w:name="Microsoft Sans Serif">
    <w:panose1 w:val="020B0604020202020204"/>
    <w:charset w:val="00"/>
    <w:family w:val="auto"/>
    <w:pitch w:val="default"/>
    <w:sig w:usb0="E5002EFF" w:usb1="C000605B" w:usb2="00000029" w:usb3="00000000" w:csb0="200101FF" w:csb1="20280000"/>
    <w:embedRegular r:id="rId6" w:fontKey="{1DD24B9D-6995-4F21-83E5-00C7B0D305E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2D1603"/>
    <w:multiLevelType w:val="singleLevel"/>
    <w:tmpl w:val="C72D160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172A27"/>
    <w:rsid w:val="00005E42"/>
    <w:rsid w:val="006B0B13"/>
    <w:rsid w:val="00847DE1"/>
    <w:rsid w:val="025F4CED"/>
    <w:rsid w:val="02EE7B6C"/>
    <w:rsid w:val="035F6345"/>
    <w:rsid w:val="03B3418E"/>
    <w:rsid w:val="05B37A08"/>
    <w:rsid w:val="069A3EBB"/>
    <w:rsid w:val="07342561"/>
    <w:rsid w:val="0781407A"/>
    <w:rsid w:val="07CC4965"/>
    <w:rsid w:val="07CF31BA"/>
    <w:rsid w:val="081B54CF"/>
    <w:rsid w:val="08D77648"/>
    <w:rsid w:val="08ED5A4F"/>
    <w:rsid w:val="0A3B6154"/>
    <w:rsid w:val="0A953B3A"/>
    <w:rsid w:val="0B3440D4"/>
    <w:rsid w:val="0B66017E"/>
    <w:rsid w:val="0BF7590B"/>
    <w:rsid w:val="0C484578"/>
    <w:rsid w:val="0C9C0A71"/>
    <w:rsid w:val="0CA02447"/>
    <w:rsid w:val="0CBC3713"/>
    <w:rsid w:val="0D32523E"/>
    <w:rsid w:val="0DE011D7"/>
    <w:rsid w:val="0EB42B57"/>
    <w:rsid w:val="10C9235E"/>
    <w:rsid w:val="11AF4A68"/>
    <w:rsid w:val="11E93F48"/>
    <w:rsid w:val="12732F5E"/>
    <w:rsid w:val="137B21E9"/>
    <w:rsid w:val="13B862C8"/>
    <w:rsid w:val="13CB55A9"/>
    <w:rsid w:val="13DD188A"/>
    <w:rsid w:val="13F90AEB"/>
    <w:rsid w:val="14977C8B"/>
    <w:rsid w:val="159F14ED"/>
    <w:rsid w:val="15D1541F"/>
    <w:rsid w:val="163C3130"/>
    <w:rsid w:val="177E126D"/>
    <w:rsid w:val="18AA1DD2"/>
    <w:rsid w:val="1A330456"/>
    <w:rsid w:val="1B542D7A"/>
    <w:rsid w:val="1D064A15"/>
    <w:rsid w:val="1D97461D"/>
    <w:rsid w:val="1E2702D2"/>
    <w:rsid w:val="1E7B4163"/>
    <w:rsid w:val="1E7D1E03"/>
    <w:rsid w:val="1EA7145D"/>
    <w:rsid w:val="1F933745"/>
    <w:rsid w:val="207D242B"/>
    <w:rsid w:val="20A7394C"/>
    <w:rsid w:val="20D64231"/>
    <w:rsid w:val="21126C04"/>
    <w:rsid w:val="223C4F78"/>
    <w:rsid w:val="22E6258C"/>
    <w:rsid w:val="24200562"/>
    <w:rsid w:val="24374D7E"/>
    <w:rsid w:val="247157D2"/>
    <w:rsid w:val="24FB5A20"/>
    <w:rsid w:val="256724EA"/>
    <w:rsid w:val="258318D8"/>
    <w:rsid w:val="25B763DF"/>
    <w:rsid w:val="26207ED6"/>
    <w:rsid w:val="268A639F"/>
    <w:rsid w:val="26FB67A0"/>
    <w:rsid w:val="280D54E0"/>
    <w:rsid w:val="28363EF6"/>
    <w:rsid w:val="28A15125"/>
    <w:rsid w:val="28CA467C"/>
    <w:rsid w:val="28D177B8"/>
    <w:rsid w:val="29030004"/>
    <w:rsid w:val="29091265"/>
    <w:rsid w:val="2957138D"/>
    <w:rsid w:val="29957E85"/>
    <w:rsid w:val="2A487558"/>
    <w:rsid w:val="2AF26F65"/>
    <w:rsid w:val="2C6C0949"/>
    <w:rsid w:val="2D2E55AF"/>
    <w:rsid w:val="2D5563DA"/>
    <w:rsid w:val="2D91314B"/>
    <w:rsid w:val="2E3F7846"/>
    <w:rsid w:val="2EA4771D"/>
    <w:rsid w:val="2F9D4D3B"/>
    <w:rsid w:val="2FA33530"/>
    <w:rsid w:val="30E057EF"/>
    <w:rsid w:val="31124E12"/>
    <w:rsid w:val="311D5B50"/>
    <w:rsid w:val="317258B0"/>
    <w:rsid w:val="32A52080"/>
    <w:rsid w:val="334B0167"/>
    <w:rsid w:val="33FF54B4"/>
    <w:rsid w:val="345F7A4B"/>
    <w:rsid w:val="34D348B8"/>
    <w:rsid w:val="35FE3BB6"/>
    <w:rsid w:val="376E7E98"/>
    <w:rsid w:val="38107583"/>
    <w:rsid w:val="39736669"/>
    <w:rsid w:val="39AA5FF6"/>
    <w:rsid w:val="39F03816"/>
    <w:rsid w:val="3A853CFC"/>
    <w:rsid w:val="3AAF4C7B"/>
    <w:rsid w:val="3BC2022B"/>
    <w:rsid w:val="3C767483"/>
    <w:rsid w:val="3D053BD7"/>
    <w:rsid w:val="3D4015F6"/>
    <w:rsid w:val="3EDF0C38"/>
    <w:rsid w:val="3F340649"/>
    <w:rsid w:val="3F592485"/>
    <w:rsid w:val="41CA5710"/>
    <w:rsid w:val="41D02A92"/>
    <w:rsid w:val="41F0295D"/>
    <w:rsid w:val="42422FA7"/>
    <w:rsid w:val="42F57B14"/>
    <w:rsid w:val="430501E8"/>
    <w:rsid w:val="43AE02ED"/>
    <w:rsid w:val="44272136"/>
    <w:rsid w:val="449C71E3"/>
    <w:rsid w:val="44EF6BA2"/>
    <w:rsid w:val="450D500B"/>
    <w:rsid w:val="45886FF9"/>
    <w:rsid w:val="459E681C"/>
    <w:rsid w:val="46636A21"/>
    <w:rsid w:val="466D270F"/>
    <w:rsid w:val="47BC5C53"/>
    <w:rsid w:val="485215F2"/>
    <w:rsid w:val="48A50654"/>
    <w:rsid w:val="48E57002"/>
    <w:rsid w:val="49173D8D"/>
    <w:rsid w:val="4A30338E"/>
    <w:rsid w:val="4A3630B8"/>
    <w:rsid w:val="4A37760B"/>
    <w:rsid w:val="4B397532"/>
    <w:rsid w:val="4B9507FD"/>
    <w:rsid w:val="4BC0573E"/>
    <w:rsid w:val="4C416153"/>
    <w:rsid w:val="4C49408D"/>
    <w:rsid w:val="4CA95BD2"/>
    <w:rsid w:val="4E210CC2"/>
    <w:rsid w:val="4E3304EA"/>
    <w:rsid w:val="504A1A7A"/>
    <w:rsid w:val="543079D2"/>
    <w:rsid w:val="54EA5C43"/>
    <w:rsid w:val="5606767B"/>
    <w:rsid w:val="59080725"/>
    <w:rsid w:val="59BA1FB3"/>
    <w:rsid w:val="5A261BEB"/>
    <w:rsid w:val="5BDD7DAA"/>
    <w:rsid w:val="5C677ECC"/>
    <w:rsid w:val="5CD1707F"/>
    <w:rsid w:val="5DA84284"/>
    <w:rsid w:val="5DC82230"/>
    <w:rsid w:val="5DFD4CF1"/>
    <w:rsid w:val="5E110AC0"/>
    <w:rsid w:val="5EF516FA"/>
    <w:rsid w:val="5F8059BE"/>
    <w:rsid w:val="5F8B79B9"/>
    <w:rsid w:val="5F8C1DD9"/>
    <w:rsid w:val="5F8F74AA"/>
    <w:rsid w:val="604047FB"/>
    <w:rsid w:val="60934FD2"/>
    <w:rsid w:val="60AF592A"/>
    <w:rsid w:val="60C96203"/>
    <w:rsid w:val="612401DE"/>
    <w:rsid w:val="61A85188"/>
    <w:rsid w:val="626943E0"/>
    <w:rsid w:val="64A51813"/>
    <w:rsid w:val="65382FF4"/>
    <w:rsid w:val="665E0CB6"/>
    <w:rsid w:val="66B2541B"/>
    <w:rsid w:val="66BF3B66"/>
    <w:rsid w:val="673E05F4"/>
    <w:rsid w:val="677C577A"/>
    <w:rsid w:val="682A65B5"/>
    <w:rsid w:val="6933537B"/>
    <w:rsid w:val="69D6494B"/>
    <w:rsid w:val="6AD82EFC"/>
    <w:rsid w:val="6B3501CF"/>
    <w:rsid w:val="6B801890"/>
    <w:rsid w:val="6BD34BC2"/>
    <w:rsid w:val="6D056FFD"/>
    <w:rsid w:val="6DBC3951"/>
    <w:rsid w:val="6DE1774E"/>
    <w:rsid w:val="6DF130DE"/>
    <w:rsid w:val="6E0C4B18"/>
    <w:rsid w:val="6E2337BB"/>
    <w:rsid w:val="6FA6361B"/>
    <w:rsid w:val="708A1519"/>
    <w:rsid w:val="71891414"/>
    <w:rsid w:val="721455EC"/>
    <w:rsid w:val="721B16E4"/>
    <w:rsid w:val="74AC77DB"/>
    <w:rsid w:val="74FD4A5E"/>
    <w:rsid w:val="750E562D"/>
    <w:rsid w:val="75125595"/>
    <w:rsid w:val="76105F53"/>
    <w:rsid w:val="763F1B55"/>
    <w:rsid w:val="764A3CD3"/>
    <w:rsid w:val="764D65D1"/>
    <w:rsid w:val="76D67314"/>
    <w:rsid w:val="77346F92"/>
    <w:rsid w:val="79752E15"/>
    <w:rsid w:val="7984703D"/>
    <w:rsid w:val="79BC212E"/>
    <w:rsid w:val="79E20B56"/>
    <w:rsid w:val="7A283B0D"/>
    <w:rsid w:val="7A341ED6"/>
    <w:rsid w:val="7A430914"/>
    <w:rsid w:val="7B1117C8"/>
    <w:rsid w:val="7B3E36DA"/>
    <w:rsid w:val="7BB66F9A"/>
    <w:rsid w:val="7C1D1DCF"/>
    <w:rsid w:val="7CBF0797"/>
    <w:rsid w:val="7D284642"/>
    <w:rsid w:val="7D297CC2"/>
    <w:rsid w:val="7E024E93"/>
    <w:rsid w:val="7E134063"/>
    <w:rsid w:val="7E9E48DD"/>
    <w:rsid w:val="7EC5418F"/>
    <w:rsid w:val="7F3B240A"/>
    <w:rsid w:val="7F5D1F6A"/>
    <w:rsid w:val="7F5D4A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customXml/item1.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2022-06-17T18:04:05Z</dcterms:created>
  <dcterms:modified xsi:type="dcterms:W3CDTF">2022-06-17T10:04:05Z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Props1.xml><?xml version="1.0" encoding="utf-8"?>
<ds:datastoreItem xmlns:ds="http://schemas.openxmlformats.org/officeDocument/2006/customXml" ds:itemID="{fea01dbd-af16-49b6-be3e-53ea4cc7bcb5}">
  <ds:schemaRefs/>
</ds:datastoreItem>
</file>

<file path=customXml/itemProps10.xml><?xml version="1.0" encoding="utf-8"?>
<ds:datastoreItem xmlns:ds="http://schemas.openxmlformats.org/officeDocument/2006/customXml" ds:itemID="{07fa3ad4-c3bd-473c-a705-89d8c4306f79}">
  <ds:schemaRefs/>
</ds:datastoreItem>
</file>

<file path=customXml/itemProps11.xml><?xml version="1.0" encoding="utf-8"?>
<ds:datastoreItem xmlns:ds="http://schemas.openxmlformats.org/officeDocument/2006/customXml" ds:itemID="{9ca702c0-029d-4aa0-af6e-dbb09eef4baa}">
  <ds:schemaRefs/>
</ds:datastoreItem>
</file>

<file path=customXml/itemProps12.xml><?xml version="1.0" encoding="utf-8"?>
<ds:datastoreItem xmlns:ds="http://schemas.openxmlformats.org/officeDocument/2006/customXml" ds:itemID="{b864a61d-5ce5-4089-b8c5-1181f94b9310}">
  <ds:schemaRefs/>
</ds:datastoreItem>
</file>

<file path=customXml/itemProps13.xml><?xml version="1.0" encoding="utf-8"?>
<ds:datastoreItem xmlns:ds="http://schemas.openxmlformats.org/officeDocument/2006/customXml" ds:itemID="{198c42f1-4adf-4865-80a6-ad849c6e6cc4}">
  <ds:schemaRefs/>
</ds:datastoreItem>
</file>

<file path=customXml/itemProps14.xml><?xml version="1.0" encoding="utf-8"?>
<ds:datastoreItem xmlns:ds="http://schemas.openxmlformats.org/officeDocument/2006/customXml" ds:itemID="{4582f2af-9787-42a2-85e1-f4b646fab20d}">
  <ds:schemaRefs/>
</ds:datastoreItem>
</file>

<file path=customXml/itemProps15.xml><?xml version="1.0" encoding="utf-8"?>
<ds:datastoreItem xmlns:ds="http://schemas.openxmlformats.org/officeDocument/2006/customXml" ds:itemID="{aead8626-d1d1-4aa7-a0d2-e20541e2a2f5}">
  <ds:schemaRefs/>
</ds:datastoreItem>
</file>

<file path=customXml/itemProps16.xml><?xml version="1.0" encoding="utf-8"?>
<ds:datastoreItem xmlns:ds="http://schemas.openxmlformats.org/officeDocument/2006/customXml" ds:itemID="{56564e90-71b3-4ca5-a506-337a6eb49f72}">
  <ds:schemaRefs/>
</ds:datastoreItem>
</file>

<file path=customXml/itemProps17.xml><?xml version="1.0" encoding="utf-8"?>
<ds:datastoreItem xmlns:ds="http://schemas.openxmlformats.org/officeDocument/2006/customXml" ds:itemID="{c246477c-8d7c-489f-8399-ca2936156ec8}">
  <ds:schemaRefs/>
</ds:datastoreItem>
</file>

<file path=customXml/itemProps18.xml><?xml version="1.0" encoding="utf-8"?>
<ds:datastoreItem xmlns:ds="http://schemas.openxmlformats.org/officeDocument/2006/customXml" ds:itemID="{0af4bdb1-58ba-4a05-bed4-ce0c783a4f64}">
  <ds:schemaRefs/>
</ds:datastoreItem>
</file>

<file path=customXml/itemProps19.xml><?xml version="1.0" encoding="utf-8"?>
<ds:datastoreItem xmlns:ds="http://schemas.openxmlformats.org/officeDocument/2006/customXml" ds:itemID="{4beb1b9e-9a46-46b6-9849-76faafed5be0}">
  <ds:schemaRefs/>
</ds:datastoreItem>
</file>

<file path=customXml/itemProps2.xml><?xml version="1.0" encoding="utf-8"?>
<ds:datastoreItem xmlns:ds="http://schemas.openxmlformats.org/officeDocument/2006/customXml" ds:itemID="{f338bab5-f1bb-400a-b68e-cf03936102b7}">
  <ds:schemaRefs/>
</ds:datastoreItem>
</file>

<file path=customXml/itemProps20.xml><?xml version="1.0" encoding="utf-8"?>
<ds:datastoreItem xmlns:ds="http://schemas.openxmlformats.org/officeDocument/2006/customXml" ds:itemID="{6eab85f8-5663-431b-ab5f-9de3ef9cbf4d}">
  <ds:schemaRefs/>
</ds:datastoreItem>
</file>

<file path=customXml/itemProps21.xml><?xml version="1.0" encoding="utf-8"?>
<ds:datastoreItem xmlns:ds="http://schemas.openxmlformats.org/officeDocument/2006/customXml" ds:itemID="{879755a1-99da-4421-a9ae-2da798449df5}">
  <ds:schemaRefs/>
</ds:datastoreItem>
</file>

<file path=customXml/itemProps22.xml><?xml version="1.0" encoding="utf-8"?>
<ds:datastoreItem xmlns:ds="http://schemas.openxmlformats.org/officeDocument/2006/customXml" ds:itemID="{9ea2be5d-1614-4c43-bab8-93e0e10a2281}">
  <ds:schemaRefs/>
</ds:datastoreItem>
</file>

<file path=customXml/itemProps3.xml><?xml version="1.0" encoding="utf-8"?>
<ds:datastoreItem xmlns:ds="http://schemas.openxmlformats.org/officeDocument/2006/customXml" ds:itemID="{42653839-44a2-4716-b58c-dc88c5f519aa}">
  <ds:schemaRefs/>
</ds:datastoreItem>
</file>

<file path=customXml/itemProps4.xml><?xml version="1.0" encoding="utf-8"?>
<ds:datastoreItem xmlns:ds="http://schemas.openxmlformats.org/officeDocument/2006/customXml" ds:itemID="{d51a4a32-7c12-4d66-b7fd-b4c9db0d823d}">
  <ds:schemaRefs/>
</ds:datastoreItem>
</file>

<file path=customXml/itemProps5.xml><?xml version="1.0" encoding="utf-8"?>
<ds:datastoreItem xmlns:ds="http://schemas.openxmlformats.org/officeDocument/2006/customXml" ds:itemID="{cf23c8da-5654-4363-8b85-9b6f03313405}">
  <ds:schemaRefs/>
</ds:datastoreItem>
</file>

<file path=customXml/itemProps6.xml><?xml version="1.0" encoding="utf-8"?>
<ds:datastoreItem xmlns:ds="http://schemas.openxmlformats.org/officeDocument/2006/customXml" ds:itemID="{a963d291-214b-477b-8e65-6f5102f8bdef}">
  <ds:schemaRefs/>
</ds:datastoreItem>
</file>

<file path=customXml/itemProps7.xml><?xml version="1.0" encoding="utf-8"?>
<ds:datastoreItem xmlns:ds="http://schemas.openxmlformats.org/officeDocument/2006/customXml" ds:itemID="{df5dd5fc-f32d-4526-a4fd-05296bd1214a}">
  <ds:schemaRefs/>
</ds:datastoreItem>
</file>

<file path=customXml/itemProps8.xml><?xml version="1.0" encoding="utf-8"?>
<ds:datastoreItem xmlns:ds="http://schemas.openxmlformats.org/officeDocument/2006/customXml" ds:itemID="{826bf7d2-e9a7-4c38-ad38-568cdfe0bdf8}">
  <ds:schemaRefs/>
</ds:datastoreItem>
</file>

<file path=customXml/itemProps9.xml><?xml version="1.0" encoding="utf-8"?>
<ds:datastoreItem xmlns:ds="http://schemas.openxmlformats.org/officeDocument/2006/customXml" ds:itemID="{a0e265e4-17d8-4b61-826a-aae9126cbc2e}">
  <ds:schemaRefs/>
</ds:datastoreItem>
</file>

<file path=docProps/app.xml><?xml version="1.0" encoding="utf-8"?>
<Properties xmlns="http://schemas.openxmlformats.org/officeDocument/2006/extended-properties" xmlns:vt="http://schemas.openxmlformats.org/officeDocument/2006/docPropsVTypes">
  <Pages>57</Pages>
  <Words>18224</Words>
  <Characters>21102</Characters>
  <TotalTime>3</TotalTime>
  <ScaleCrop>false</ScaleCrop>
  <LinksUpToDate>false</LinksUpToDate>
  <CharactersWithSpaces>21299</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2022-06-17T18:04:00Z</dcterms:created>
  <dc:creator>Administrator</dc:creator>
  <cp:lastModifiedBy>Hopefully</cp:lastModifiedBy>
  <dcterms:modified xsi:type="dcterms:W3CDTF">2024-03-12T08:18:51Z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C3DFF43DBC58406A9E7369177C69F60B</vt:lpwstr>
  </property>
</Properties>
</file>