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obfuscatedFont" PartName="/word/fonts/font1.odttf"/>
  <Override ContentType="application/vnd.openxmlformats-officedocument.obfuscatedFont" PartName="/word/fonts/font2.odttf"/>
  <Override ContentType="application/vnd.openxmlformats-officedocument.obfuscatedFont" PartName="/word/fonts/font3.odttf"/>
  <Override ContentType="application/vnd.openxmlformats-officedocument.obfuscatedFont" PartName="/word/fonts/font4.odttf"/>
  <Override ContentType="application/vnd.openxmlformats-officedocument.obfuscatedFont" PartName="/word/fonts/font5.odttf"/>
  <Override ContentType="application/vnd.openxmlformats-officedocument.obfuscatedFont" PartName="/word/fonts/font6.odttf"/>
  <Override ContentType="application/vnd.openxmlformats-officedocument.obfuscatedFont" PartName="/word/fonts/font7.odttf"/>
  <Override ContentType="application/vnd.openxmlformats-officedocument.obfuscatedFont" PartName="/word/fonts/font8.odttf"/>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ind w:firstLine="0"/>
        <w:jc w:val="center"/>
      </w:pPr>
      <w:r>
        <w:rPr>
          <w:rFonts w:ascii="宋体" w:hAnsi="宋体" w:eastAsia="宋体" w:cs="宋体"/>
          <w:color w:val="000000"/>
          <w:sz w:val="21"/>
        </w:rPr>
        <w:t xml:space="preserve"> </w:t>
      </w:r>
    </w:p>
    <w:p>
      <w:pPr>
        <w:spacing w:before="0" w:after="0"/>
        <w:ind w:firstLine="0"/>
        <w:jc w:val="center"/>
      </w:pPr>
      <w:r>
        <w:rPr>
          <w:rFonts w:ascii="宋体" w:hAnsi="宋体" w:eastAsia="宋体" w:cs="宋体"/>
          <w:color w:val="000000"/>
          <w:sz w:val="21"/>
        </w:rPr>
        <w:t xml:space="preserve"> </w:t>
      </w:r>
    </w:p>
    <w:p>
      <w:pPr>
        <w:spacing w:before="0" w:after="0"/>
        <w:ind w:firstLine="0"/>
        <w:jc w:val="center"/>
      </w:pPr>
      <w:r>
        <w:rPr>
          <w:rFonts w:ascii="宋体" w:hAnsi="宋体" w:eastAsia="宋体" w:cs="宋体"/>
          <w:color w:val="000000"/>
          <w:sz w:val="21"/>
        </w:rPr>
        <w:t xml:space="preserve"> </w:t>
      </w:r>
    </w:p>
    <w:p>
      <w:pPr>
        <w:spacing w:before="0" w:after="0"/>
        <w:ind w:firstLine="0"/>
        <w:jc w:val="center"/>
      </w:pPr>
      <w:r>
        <w:rPr>
          <w:rFonts w:ascii="宋体" w:hAnsi="宋体" w:eastAsia="宋体" w:cs="宋体"/>
          <w:color w:val="000000"/>
          <w:sz w:val="21"/>
        </w:rPr>
        <w:t xml:space="preserve"> </w:t>
      </w:r>
    </w:p>
    <w:p>
      <w:pPr>
        <w:spacing w:before="0" w:after="0"/>
        <w:ind w:firstLine="0"/>
        <w:jc w:val="center"/>
      </w:pPr>
      <w:r>
        <w:rPr>
          <w:rFonts w:ascii="宋体" w:hAnsi="宋体" w:eastAsia="宋体" w:cs="宋体"/>
          <w:color w:val="000000"/>
          <w:sz w:val="21"/>
        </w:rPr>
        <w:t xml:space="preserve"> </w:t>
      </w:r>
    </w:p>
    <w:p>
      <w:pPr>
        <w:spacing w:before="0" w:after="0"/>
        <w:ind w:firstLine="0"/>
        <w:jc w:val="center"/>
      </w:pPr>
      <w:r>
        <w:rPr>
          <w:rFonts w:ascii="宋体" w:hAnsi="宋体" w:eastAsia="宋体" w:cs="宋体"/>
          <w:color w:val="000000"/>
          <w:sz w:val="21"/>
        </w:rPr>
        <w:t xml:space="preserve"> </w:t>
      </w:r>
    </w:p>
    <w:p>
      <w:pPr>
        <w:spacing w:before="0" w:after="0" w:line="240" w:lineRule="auto"/>
        <w:ind w:firstLine="0"/>
        <w:jc w:val="center"/>
        <w:rPr>
          <w:sz w:val="24"/>
          <w:szCs w:val="24"/>
        </w:rPr>
      </w:pPr>
      <w:r>
        <w:rPr>
          <w:rFonts w:ascii="方正小标宋_GBK" w:hAnsi="方正小标宋_GBK" w:eastAsia="方正小标宋_GBK" w:cs="方正小标宋_GBK"/>
          <w:color w:val="000000"/>
          <w:sz w:val="72"/>
          <w:szCs w:val="24"/>
        </w:rPr>
        <w:t>中国共产党宁晋县委员会组织部</w:t>
      </w:r>
    </w:p>
    <w:p>
      <w:pPr>
        <w:spacing w:before="0" w:after="0" w:line="240" w:lineRule="auto"/>
        <w:ind w:firstLine="0"/>
        <w:jc w:val="center"/>
      </w:pPr>
      <w:r>
        <w:rPr>
          <w:rFonts w:ascii="方正小标宋_GBK" w:hAnsi="方正小标宋_GBK" w:eastAsia="方正小标宋_GBK" w:cs="方正小标宋_GBK"/>
          <w:color w:val="000000"/>
          <w:sz w:val="72"/>
        </w:rPr>
        <w:t>2022年部门预算</w:t>
      </w:r>
    </w:p>
    <w:p>
      <w:pPr>
        <w:spacing w:before="0" w:after="0" w:line="240" w:lineRule="auto"/>
        <w:ind w:firstLine="0"/>
        <w:jc w:val="center"/>
      </w:pPr>
      <w:r>
        <w:rPr>
          <w:rFonts w:ascii="宋体" w:hAnsi="宋体" w:eastAsia="宋体" w:cs="宋体"/>
          <w:color w:val="000000"/>
          <w:sz w:val="21"/>
        </w:rPr>
        <w:t xml:space="preserve"> </w:t>
      </w:r>
    </w:p>
    <w:p>
      <w:pPr>
        <w:spacing w:before="0" w:after="0" w:line="240" w:lineRule="auto"/>
        <w:ind w:firstLine="0"/>
        <w:jc w:val="center"/>
      </w:pPr>
      <w:r>
        <w:rPr>
          <w:rFonts w:ascii="宋体" w:hAnsi="宋体" w:eastAsia="宋体" w:cs="宋体"/>
          <w:color w:val="000000"/>
          <w:sz w:val="21"/>
        </w:rPr>
        <w:t xml:space="preserve"> </w:t>
      </w:r>
    </w:p>
    <w:p>
      <w:pPr>
        <w:spacing w:before="0" w:after="0" w:line="240" w:lineRule="auto"/>
        <w:ind w:firstLine="0"/>
        <w:jc w:val="center"/>
      </w:pPr>
      <w:r>
        <w:rPr>
          <w:rFonts w:ascii="宋体" w:hAnsi="宋体" w:eastAsia="宋体" w:cs="宋体"/>
          <w:color w:val="000000"/>
          <w:sz w:val="21"/>
        </w:rPr>
        <w:t xml:space="preserve"> </w:t>
      </w:r>
    </w:p>
    <w:p>
      <w:pPr>
        <w:spacing w:before="0" w:after="0" w:line="240" w:lineRule="auto"/>
        <w:ind w:firstLine="0"/>
        <w:jc w:val="center"/>
      </w:pPr>
      <w:r>
        <w:rPr>
          <w:rFonts w:ascii="宋体" w:hAnsi="宋体" w:eastAsia="宋体" w:cs="宋体"/>
          <w:color w:val="000000"/>
          <w:sz w:val="21"/>
        </w:rPr>
        <w:t xml:space="preserve"> </w:t>
      </w:r>
    </w:p>
    <w:p>
      <w:pPr>
        <w:spacing w:before="0" w:after="0" w:line="240" w:lineRule="auto"/>
        <w:ind w:firstLine="0"/>
        <w:jc w:val="center"/>
      </w:pPr>
      <w:r>
        <w:rPr>
          <w:rFonts w:ascii="宋体" w:hAnsi="宋体" w:eastAsia="宋体" w:cs="宋体"/>
          <w:color w:val="000000"/>
          <w:sz w:val="21"/>
        </w:rPr>
        <w:t xml:space="preserve"> </w:t>
      </w:r>
    </w:p>
    <w:p>
      <w:pPr>
        <w:spacing w:before="0" w:after="0" w:line="240" w:lineRule="auto"/>
        <w:ind w:firstLine="0"/>
        <w:jc w:val="center"/>
      </w:pPr>
      <w:r>
        <w:rPr>
          <w:rFonts w:ascii="宋体" w:hAnsi="宋体" w:eastAsia="宋体" w:cs="宋体"/>
          <w:color w:val="000000"/>
          <w:sz w:val="21"/>
        </w:rPr>
        <w:t xml:space="preserve"> </w:t>
      </w:r>
    </w:p>
    <w:p>
      <w:pPr>
        <w:spacing w:before="0" w:after="0" w:line="240" w:lineRule="auto"/>
        <w:ind w:firstLine="0"/>
        <w:jc w:val="center"/>
      </w:pPr>
      <w:r>
        <w:rPr>
          <w:rFonts w:ascii="宋体" w:hAnsi="宋体" w:eastAsia="宋体" w:cs="宋体"/>
          <w:color w:val="000000"/>
          <w:sz w:val="21"/>
        </w:rPr>
        <w:t xml:space="preserve"> </w:t>
      </w:r>
    </w:p>
    <w:p>
      <w:pPr>
        <w:spacing w:before="0" w:after="0" w:line="240" w:lineRule="auto"/>
        <w:ind w:firstLine="0"/>
        <w:jc w:val="center"/>
      </w:pPr>
      <w:r>
        <w:rPr>
          <w:rFonts w:ascii="宋体" w:hAnsi="宋体" w:eastAsia="宋体" w:cs="宋体"/>
          <w:color w:val="000000"/>
          <w:sz w:val="21"/>
        </w:rPr>
        <w:t xml:space="preserve"> </w:t>
      </w:r>
    </w:p>
    <w:p>
      <w:pPr>
        <w:spacing w:before="0" w:after="0" w:line="240" w:lineRule="auto"/>
        <w:ind w:firstLine="0"/>
        <w:jc w:val="center"/>
      </w:pPr>
      <w:r>
        <w:rPr>
          <w:rFonts w:ascii="宋体" w:hAnsi="宋体" w:eastAsia="宋体" w:cs="宋体"/>
          <w:color w:val="000000"/>
          <w:sz w:val="21"/>
        </w:rPr>
        <w:t xml:space="preserve"> </w:t>
      </w:r>
    </w:p>
    <w:p>
      <w:pPr>
        <w:spacing w:before="0" w:after="0" w:line="240" w:lineRule="auto"/>
        <w:ind w:firstLine="0"/>
        <w:jc w:val="center"/>
      </w:pPr>
      <w:r>
        <w:rPr>
          <w:rFonts w:ascii="宋体" w:hAnsi="宋体" w:eastAsia="宋体" w:cs="宋体"/>
          <w:color w:val="000000"/>
          <w:sz w:val="21"/>
        </w:rPr>
        <w:t xml:space="preserve"> </w:t>
      </w:r>
    </w:p>
    <w:p>
      <w:pPr>
        <w:spacing w:before="0" w:after="0" w:line="240" w:lineRule="auto"/>
        <w:ind w:firstLine="0"/>
        <w:jc w:val="center"/>
      </w:pPr>
      <w:r>
        <w:rPr>
          <w:rFonts w:ascii="宋体" w:hAnsi="宋体" w:eastAsia="宋体" w:cs="宋体"/>
          <w:color w:val="000000"/>
          <w:sz w:val="21"/>
        </w:rPr>
        <w:t xml:space="preserve"> </w:t>
      </w:r>
    </w:p>
    <w:p>
      <w:pPr>
        <w:spacing w:before="0" w:after="0" w:line="240" w:lineRule="auto"/>
        <w:ind w:firstLine="0"/>
        <w:jc w:val="center"/>
      </w:pPr>
      <w:r>
        <w:rPr>
          <w:rFonts w:ascii="宋体" w:hAnsi="宋体" w:eastAsia="宋体" w:cs="宋体"/>
          <w:color w:val="000000"/>
          <w:sz w:val="21"/>
        </w:rPr>
        <w:t xml:space="preserve"> </w:t>
      </w:r>
    </w:p>
    <w:p>
      <w:pPr>
        <w:spacing w:before="0" w:after="0" w:line="240" w:lineRule="auto"/>
        <w:ind w:firstLine="0"/>
        <w:jc w:val="center"/>
      </w:pPr>
      <w:r>
        <w:rPr>
          <w:rFonts w:ascii="宋体" w:hAnsi="宋体" w:eastAsia="宋体" w:cs="宋体"/>
          <w:color w:val="000000"/>
          <w:sz w:val="21"/>
        </w:rPr>
        <w:t xml:space="preserve"> </w:t>
      </w:r>
    </w:p>
    <w:p>
      <w:pPr>
        <w:spacing w:before="0" w:after="0" w:line="240" w:lineRule="auto"/>
        <w:ind w:firstLine="0"/>
        <w:jc w:val="center"/>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pPr>
      <w:r>
        <w:rPr>
          <w:rFonts w:ascii="Times New Roman" w:hAnsi="Times New Roman" w:eastAsia="方正楷体_GBK" w:cs="Times New Roman"/>
          <w:b/>
          <w:color w:val="000000"/>
          <w:sz w:val="32"/>
        </w:rPr>
        <w:t>中国共产党宁晋县委员会组织部编制</w:t>
      </w:r>
    </w:p>
    <w:p>
      <w:pPr>
        <w:spacing w:before="0" w:after="0" w:line="240" w:lineRule="auto"/>
        <w:ind w:firstLine="0"/>
        <w:jc w:val="center"/>
        <w:sectPr>
          <w:pgSz w:w="11900" w:h="16840"/>
          <w:pgMar w:top="1587" w:right="1134" w:bottom="1361" w:left="1134" w:header="720" w:footer="720" w:gutter="0"/>
          <w:cols w:space="720" w:num="1"/>
          <w:titlePg/>
        </w:sectPr>
      </w:pPr>
      <w:r>
        <w:rPr>
          <w:rFonts w:ascii="Times New Roman" w:hAnsi="Times New Roman" w:eastAsia="方正楷体_GBK" w:cs="Times New Roman"/>
          <w:b/>
          <w:color w:val="000000"/>
          <w:sz w:val="32"/>
        </w:rPr>
        <w:t>宁晋县财政局审核</w:t>
      </w:r>
    </w:p>
    <w:p>
      <w:pPr>
        <w:keepNext w:val="0"/>
        <w:keepLines w:val="0"/>
        <w:pageBreakBefore w:val="0"/>
        <w:widowControl w:val="0"/>
        <w:kinsoku/>
        <w:wordWrap/>
        <w:overflowPunct/>
        <w:topLinePunct w:val="0"/>
        <w:bidi w:val="0"/>
        <w:snapToGrid/>
        <w:spacing w:line="560" w:lineRule="exact"/>
        <w:jc w:val="center"/>
        <w:textAlignment w:val="auto"/>
        <w:rPr>
          <w:rFonts w:hint="eastAsia" w:ascii="宋体-方正超大字符集" w:hAnsi="宋体-方正超大字符集" w:eastAsia="宋体-方正超大字符集" w:cs="宋体-方正超大字符集"/>
          <w:b/>
          <w:bCs/>
          <w:sz w:val="44"/>
          <w:szCs w:val="44"/>
          <w:lang w:eastAsia="zh-CN"/>
        </w:rPr>
      </w:pPr>
      <w:r>
        <w:rPr>
          <w:rFonts w:hint="eastAsia" w:ascii="宋体-方正超大字符集" w:hAnsi="宋体-方正超大字符集" w:eastAsia="宋体-方正超大字符集" w:cs="宋体-方正超大字符集"/>
          <w:b/>
          <w:bCs/>
          <w:sz w:val="44"/>
          <w:szCs w:val="44"/>
          <w:lang w:eastAsia="zh-CN"/>
        </w:rPr>
        <w:t>中共宁晋县委组织部</w:t>
      </w:r>
    </w:p>
    <w:p>
      <w:pPr>
        <w:keepNext w:val="0"/>
        <w:keepLines w:val="0"/>
        <w:pageBreakBefore w:val="0"/>
        <w:widowControl w:val="0"/>
        <w:kinsoku/>
        <w:wordWrap/>
        <w:overflowPunct/>
        <w:topLinePunct w:val="0"/>
        <w:bidi w:val="0"/>
        <w:snapToGrid/>
        <w:spacing w:line="560" w:lineRule="exact"/>
        <w:jc w:val="center"/>
        <w:textAlignment w:val="auto"/>
        <w:rPr>
          <w:rFonts w:hint="eastAsia"/>
          <w:b/>
          <w:bCs/>
          <w:sz w:val="44"/>
          <w:szCs w:val="44"/>
        </w:rPr>
      </w:pPr>
      <w:r>
        <w:rPr>
          <w:rFonts w:hint="eastAsia" w:ascii="宋体-方正超大字符集" w:hAnsi="宋体-方正超大字符集" w:eastAsia="宋体-方正超大字符集" w:cs="宋体-方正超大字符集"/>
          <w:b/>
          <w:bCs/>
          <w:sz w:val="44"/>
          <w:szCs w:val="44"/>
        </w:rPr>
        <w:t>20</w:t>
      </w:r>
      <w:r>
        <w:rPr>
          <w:rFonts w:hint="eastAsia" w:ascii="宋体-方正超大字符集" w:hAnsi="宋体-方正超大字符集" w:eastAsia="宋体-方正超大字符集" w:cs="宋体-方正超大字符集"/>
          <w:b/>
          <w:bCs/>
          <w:sz w:val="44"/>
          <w:szCs w:val="44"/>
          <w:lang w:val="en-US" w:eastAsia="zh-CN"/>
        </w:rPr>
        <w:t>22</w:t>
      </w:r>
      <w:r>
        <w:rPr>
          <w:rFonts w:hint="eastAsia" w:ascii="宋体-方正超大字符集" w:hAnsi="宋体-方正超大字符集" w:eastAsia="宋体-方正超大字符集" w:cs="宋体-方正超大字符集"/>
          <w:b/>
          <w:bCs/>
          <w:sz w:val="44"/>
          <w:szCs w:val="44"/>
        </w:rPr>
        <w:t>年部门预算信息公开目录</w:t>
      </w:r>
    </w:p>
    <w:p>
      <w:pPr>
        <w:keepNext w:val="0"/>
        <w:keepLines w:val="0"/>
        <w:pageBreakBefore w:val="0"/>
        <w:widowControl w:val="0"/>
        <w:kinsoku/>
        <w:wordWrap/>
        <w:overflowPunct/>
        <w:topLinePunct w:val="0"/>
        <w:bidi w:val="0"/>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一、20</w:t>
      </w:r>
      <w:r>
        <w:rPr>
          <w:rFonts w:hint="eastAsia" w:ascii="仿宋_GB2312" w:hAnsi="仿宋_GB2312" w:cs="仿宋_GB2312"/>
          <w:sz w:val="32"/>
          <w:szCs w:val="32"/>
          <w:lang w:val="en-US" w:eastAsia="zh-CN"/>
        </w:rPr>
        <w:t>22</w:t>
      </w:r>
      <w:r>
        <w:rPr>
          <w:rFonts w:hint="eastAsia" w:ascii="仿宋_GB2312" w:hAnsi="仿宋_GB2312" w:eastAsia="仿宋_GB2312" w:cs="仿宋_GB2312"/>
          <w:sz w:val="32"/>
          <w:szCs w:val="32"/>
        </w:rPr>
        <w:t>年部门预算公开表</w:t>
      </w:r>
    </w:p>
    <w:p>
      <w:pPr>
        <w:keepNext w:val="0"/>
        <w:keepLines w:val="0"/>
        <w:pageBreakBefore w:val="0"/>
        <w:widowControl w:val="0"/>
        <w:numPr>
          <w:ilvl w:val="0"/>
          <w:numId w:val="1"/>
        </w:numPr>
        <w:kinsoku/>
        <w:wordWrap/>
        <w:overflowPunct/>
        <w:topLinePunct w:val="0"/>
        <w:bidi w:val="0"/>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部门预算收支总表</w:t>
      </w:r>
    </w:p>
    <w:p>
      <w:pPr>
        <w:keepNext w:val="0"/>
        <w:keepLines w:val="0"/>
        <w:pageBreakBefore w:val="0"/>
        <w:widowControl w:val="0"/>
        <w:numPr>
          <w:ilvl w:val="0"/>
          <w:numId w:val="1"/>
        </w:numPr>
        <w:kinsoku/>
        <w:wordWrap/>
        <w:overflowPunct/>
        <w:topLinePunct w:val="0"/>
        <w:bidi w:val="0"/>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部门预算收入总表</w:t>
      </w:r>
    </w:p>
    <w:p>
      <w:pPr>
        <w:keepNext w:val="0"/>
        <w:keepLines w:val="0"/>
        <w:pageBreakBefore w:val="0"/>
        <w:widowControl w:val="0"/>
        <w:numPr>
          <w:ilvl w:val="0"/>
          <w:numId w:val="1"/>
        </w:numPr>
        <w:kinsoku/>
        <w:wordWrap/>
        <w:overflowPunct/>
        <w:topLinePunct w:val="0"/>
        <w:bidi w:val="0"/>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部门预算支出总表</w:t>
      </w:r>
    </w:p>
    <w:p>
      <w:pPr>
        <w:keepNext w:val="0"/>
        <w:keepLines w:val="0"/>
        <w:pageBreakBefore w:val="0"/>
        <w:widowControl w:val="0"/>
        <w:numPr>
          <w:ilvl w:val="0"/>
          <w:numId w:val="1"/>
        </w:numPr>
        <w:kinsoku/>
        <w:wordWrap/>
        <w:overflowPunct/>
        <w:topLinePunct w:val="0"/>
        <w:bidi w:val="0"/>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部门预算财政拨款收支总表</w:t>
      </w:r>
    </w:p>
    <w:p>
      <w:pPr>
        <w:keepNext w:val="0"/>
        <w:keepLines w:val="0"/>
        <w:pageBreakBefore w:val="0"/>
        <w:widowControl w:val="0"/>
        <w:numPr>
          <w:ilvl w:val="0"/>
          <w:numId w:val="1"/>
        </w:numPr>
        <w:kinsoku/>
        <w:wordWrap/>
        <w:overflowPunct/>
        <w:topLinePunct w:val="0"/>
        <w:bidi w:val="0"/>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部门预算一般公共预算财政拨款支出表</w:t>
      </w:r>
    </w:p>
    <w:p>
      <w:pPr>
        <w:keepNext w:val="0"/>
        <w:keepLines w:val="0"/>
        <w:pageBreakBefore w:val="0"/>
        <w:widowControl w:val="0"/>
        <w:numPr>
          <w:ilvl w:val="0"/>
          <w:numId w:val="1"/>
        </w:numPr>
        <w:kinsoku/>
        <w:wordWrap/>
        <w:overflowPunct/>
        <w:topLinePunct w:val="0"/>
        <w:bidi w:val="0"/>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部门预算一般公共预算财政拨款基本支出表</w:t>
      </w:r>
    </w:p>
    <w:p>
      <w:pPr>
        <w:keepNext w:val="0"/>
        <w:keepLines w:val="0"/>
        <w:pageBreakBefore w:val="0"/>
        <w:widowControl w:val="0"/>
        <w:numPr>
          <w:ilvl w:val="0"/>
          <w:numId w:val="1"/>
        </w:numPr>
        <w:kinsoku/>
        <w:wordWrap/>
        <w:overflowPunct/>
        <w:topLinePunct w:val="0"/>
        <w:bidi w:val="0"/>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部门预算政府基金预算财政拨款支出表</w:t>
      </w:r>
    </w:p>
    <w:p>
      <w:pPr>
        <w:keepNext w:val="0"/>
        <w:keepLines w:val="0"/>
        <w:pageBreakBefore w:val="0"/>
        <w:widowControl w:val="0"/>
        <w:numPr>
          <w:ilvl w:val="0"/>
          <w:numId w:val="1"/>
        </w:numPr>
        <w:kinsoku/>
        <w:wordWrap/>
        <w:overflowPunct/>
        <w:topLinePunct w:val="0"/>
        <w:bidi w:val="0"/>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部门预算国有资本经营预算财政拨款支出表</w:t>
      </w:r>
    </w:p>
    <w:p>
      <w:pPr>
        <w:keepNext w:val="0"/>
        <w:keepLines w:val="0"/>
        <w:pageBreakBefore w:val="0"/>
        <w:widowControl w:val="0"/>
        <w:numPr>
          <w:ilvl w:val="0"/>
          <w:numId w:val="1"/>
        </w:numPr>
        <w:kinsoku/>
        <w:wordWrap/>
        <w:overflowPunct/>
        <w:topLinePunct w:val="0"/>
        <w:bidi w:val="0"/>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部门预算财政拨款“三公”经费支出表</w:t>
      </w:r>
    </w:p>
    <w:p>
      <w:pPr>
        <w:keepNext w:val="0"/>
        <w:keepLines w:val="0"/>
        <w:pageBreakBefore w:val="0"/>
        <w:widowControl w:val="0"/>
        <w:kinsoku/>
        <w:wordWrap/>
        <w:overflowPunct/>
        <w:topLinePunct w:val="0"/>
        <w:bidi w:val="0"/>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二、20</w:t>
      </w:r>
      <w:r>
        <w:rPr>
          <w:rFonts w:hint="eastAsia" w:ascii="仿宋_GB2312" w:hAnsi="仿宋_GB2312" w:cs="仿宋_GB2312"/>
          <w:sz w:val="32"/>
          <w:szCs w:val="32"/>
          <w:lang w:val="en-US" w:eastAsia="zh-CN"/>
        </w:rPr>
        <w:t>22</w:t>
      </w:r>
      <w:r>
        <w:rPr>
          <w:rFonts w:hint="eastAsia" w:ascii="仿宋_GB2312" w:hAnsi="仿宋_GB2312" w:eastAsia="仿宋_GB2312" w:cs="仿宋_GB2312"/>
          <w:sz w:val="32"/>
          <w:szCs w:val="32"/>
        </w:rPr>
        <w:t>年预算说明</w:t>
      </w:r>
    </w:p>
    <w:p>
      <w:pPr>
        <w:keepNext w:val="0"/>
        <w:keepLines w:val="0"/>
        <w:pageBreakBefore w:val="0"/>
        <w:widowControl w:val="0"/>
        <w:numPr>
          <w:ilvl w:val="0"/>
          <w:numId w:val="2"/>
        </w:numPr>
        <w:kinsoku/>
        <w:wordWrap/>
        <w:overflowPunct/>
        <w:topLinePunct w:val="0"/>
        <w:bidi w:val="0"/>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部门职责及机构设置情况</w:t>
      </w:r>
    </w:p>
    <w:p>
      <w:pPr>
        <w:keepNext w:val="0"/>
        <w:keepLines w:val="0"/>
        <w:pageBreakBefore w:val="0"/>
        <w:widowControl w:val="0"/>
        <w:kinsoku/>
        <w:wordWrap/>
        <w:overflowPunct/>
        <w:topLinePunct w:val="0"/>
        <w:bidi w:val="0"/>
        <w:snapToGrid/>
        <w:spacing w:line="560" w:lineRule="exact"/>
        <w:ind w:firstLine="64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2、部门预算安排的总体情况</w:t>
      </w:r>
    </w:p>
    <w:p>
      <w:pPr>
        <w:keepNext w:val="0"/>
        <w:keepLines w:val="0"/>
        <w:pageBreakBefore w:val="0"/>
        <w:widowControl w:val="0"/>
        <w:kinsoku/>
        <w:wordWrap/>
        <w:overflowPunct/>
        <w:topLinePunct w:val="0"/>
        <w:bidi w:val="0"/>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3、机关运行经费安排情况</w:t>
      </w:r>
    </w:p>
    <w:p>
      <w:pPr>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4、财政拨款“三公”经费预算情况及增减变化原因</w:t>
      </w:r>
    </w:p>
    <w:p>
      <w:pPr>
        <w:keepNext w:val="0"/>
        <w:keepLines w:val="0"/>
        <w:pageBreakBefore w:val="0"/>
        <w:widowControl w:val="0"/>
        <w:kinsoku/>
        <w:wordWrap/>
        <w:overflowPunct/>
        <w:topLinePunct w:val="0"/>
        <w:autoSpaceDE w:val="0"/>
        <w:autoSpaceDN w:val="0"/>
        <w:bidi w:val="0"/>
        <w:adjustRightInd w:val="0"/>
        <w:snapToGrid/>
        <w:spacing w:line="560" w:lineRule="exact"/>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5、绩效预算信息</w:t>
      </w:r>
    </w:p>
    <w:p>
      <w:pPr>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6、政府采购预算情况</w:t>
      </w:r>
    </w:p>
    <w:p>
      <w:pPr>
        <w:keepNext w:val="0"/>
        <w:keepLines w:val="0"/>
        <w:pageBreakBefore w:val="0"/>
        <w:widowControl w:val="0"/>
        <w:kinsoku/>
        <w:wordWrap/>
        <w:overflowPunct/>
        <w:topLinePunct w:val="0"/>
        <w:autoSpaceDE w:val="0"/>
        <w:autoSpaceDN w:val="0"/>
        <w:bidi w:val="0"/>
        <w:adjustRightInd w:val="0"/>
        <w:snapToGrid/>
        <w:spacing w:line="560" w:lineRule="exact"/>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7、国有资产信息</w:t>
      </w:r>
    </w:p>
    <w:p>
      <w:pPr>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8、名词解释</w:t>
      </w:r>
      <w:r>
        <w:rPr>
          <w:rFonts w:hint="eastAsia" w:ascii="仿宋_GB2312" w:hAnsi="仿宋_GB2312" w:eastAsia="仿宋_GB2312" w:cs="仿宋_GB2312"/>
          <w:sz w:val="32"/>
          <w:szCs w:val="32"/>
          <w:lang w:val="en-US" w:eastAsia="zh-CN"/>
        </w:rPr>
        <w:t xml:space="preserve"> </w:t>
      </w:r>
    </w:p>
    <w:p>
      <w:pPr>
        <w:keepNext w:val="0"/>
        <w:keepLines w:val="0"/>
        <w:pageBreakBefore w:val="0"/>
        <w:widowControl w:val="0"/>
        <w:kinsoku/>
        <w:wordWrap/>
        <w:overflowPunct/>
        <w:topLinePunct w:val="0"/>
        <w:autoSpaceDE w:val="0"/>
        <w:autoSpaceDN w:val="0"/>
        <w:bidi w:val="0"/>
        <w:adjustRightInd w:val="0"/>
        <w:snapToGrid/>
        <w:spacing w:line="560" w:lineRule="exact"/>
        <w:ind w:firstLine="600"/>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9、其他需要说明的事</w:t>
      </w:r>
      <w:r>
        <w:rPr>
          <w:rFonts w:hint="eastAsia" w:ascii="仿宋_GB2312" w:hAnsi="仿宋_GB2312" w:eastAsia="仿宋_GB2312" w:cs="仿宋_GB2312"/>
          <w:sz w:val="32"/>
          <w:szCs w:val="32"/>
          <w:lang w:eastAsia="zh-CN"/>
        </w:rPr>
        <w:t>项</w:t>
      </w:r>
    </w:p>
    <w:p>
      <w:pP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br w:type="page"/>
      </w:r>
    </w:p>
    <w:p>
      <w:pPr>
        <w:pStyle w:val="2"/>
        <w:rPr>
          <w:rFonts w:hint="eastAsia"/>
          <w:lang w:eastAsia="zh-CN"/>
        </w:rPr>
        <w:sectPr>
          <w:pgSz w:w="11900" w:h="16840"/>
          <w:pgMar w:top="1531" w:right="1134" w:bottom="1474" w:left="1134" w:header="720" w:footer="720" w:gutter="0"/>
          <w:cols w:space="720" w:num="1"/>
          <w:titlePg/>
        </w:sectPr>
      </w:pPr>
    </w:p>
    <w:tbl>
      <w:tblPr>
        <w:tblStyle w:val="10"/>
        <w:tblW w:w="13944"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49"/>
        <w:gridCol w:w="3373"/>
        <w:gridCol w:w="2636"/>
        <w:gridCol w:w="3826"/>
        <w:gridCol w:w="336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3944" w:type="dxa"/>
            <w:gridSpan w:val="5"/>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32"/>
                <w:szCs w:val="32"/>
                <w:u w:val="none"/>
                <w:lang w:val="en-US" w:eastAsia="zh-CN" w:bidi="ar"/>
              </w:rPr>
              <w:t>1、部门预算收支总表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758" w:type="dxa"/>
            <w:gridSpan w:val="3"/>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预算单位编码及名称：203中国共产党宁晋县委员会组织部</w:t>
            </w:r>
          </w:p>
        </w:tc>
        <w:tc>
          <w:tcPr>
            <w:tcW w:w="382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336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749"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600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收入</w:t>
            </w:r>
          </w:p>
        </w:tc>
        <w:tc>
          <w:tcPr>
            <w:tcW w:w="718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7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26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预算数</w:t>
            </w:r>
          </w:p>
        </w:tc>
        <w:tc>
          <w:tcPr>
            <w:tcW w:w="38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26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38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一、一般公共预算拨款收入</w:t>
            </w:r>
          </w:p>
        </w:tc>
        <w:tc>
          <w:tcPr>
            <w:tcW w:w="263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6765.78</w:t>
            </w:r>
          </w:p>
        </w:tc>
        <w:tc>
          <w:tcPr>
            <w:tcW w:w="382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一、一般公共服务支出</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1052.04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二、政府性基金预算拨款收入</w:t>
            </w:r>
          </w:p>
        </w:tc>
        <w:tc>
          <w:tcPr>
            <w:tcW w:w="263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82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二、外交支出</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三、国有资本经营预算拨款收入</w:t>
            </w:r>
          </w:p>
        </w:tc>
        <w:tc>
          <w:tcPr>
            <w:tcW w:w="263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82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三、国防支出</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四、财政专户管理资金收入</w:t>
            </w:r>
          </w:p>
        </w:tc>
        <w:tc>
          <w:tcPr>
            <w:tcW w:w="263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82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四、公共安全支出</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五、事业收入</w:t>
            </w:r>
          </w:p>
        </w:tc>
        <w:tc>
          <w:tcPr>
            <w:tcW w:w="263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82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五、教育支出</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六、事业单位经营收入</w:t>
            </w:r>
          </w:p>
        </w:tc>
        <w:tc>
          <w:tcPr>
            <w:tcW w:w="263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82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六、科学技术支出</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七、上级补助收入</w:t>
            </w:r>
          </w:p>
        </w:tc>
        <w:tc>
          <w:tcPr>
            <w:tcW w:w="263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82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七、文化旅游体育与传媒支出</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八、附属单位上缴收入</w:t>
            </w:r>
          </w:p>
        </w:tc>
        <w:tc>
          <w:tcPr>
            <w:tcW w:w="263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82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八、社会保障和就业支出</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608.36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九、其他收入</w:t>
            </w:r>
          </w:p>
        </w:tc>
        <w:tc>
          <w:tcPr>
            <w:tcW w:w="263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82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九、社会保险基金支出</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63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82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十、卫生健康支出</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27.72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63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82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十一、节能环保支出</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63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82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十二、城乡社区支出</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63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82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十三、农林水支出</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5031.45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63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82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十四、交通运输支出</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63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82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十五、资源勘探工业信息等支出</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63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82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十六、商业服务业等支出</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63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82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十七、金融支出</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18</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63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82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十八、援助其他地区支出</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63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82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十九、自然资源海洋气象等支出</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63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82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二十、住房保障支出</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46.20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63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82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二十一、粮油物资储备支出</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63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82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二十二、国有资本经营预算支出</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23</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63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82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二十三、灾害防治及应急管理支出</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63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82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二十四、预备费</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25</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63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82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二十五、其他支出</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63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82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二十六、转移性支出</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63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82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二十七、灾害防治及应急管理共同财政事权转移支付支出</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63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82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二十八、债务还本支出</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29</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63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82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二十九、债务付息支出</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63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82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三十、债务发行费用支出</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63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82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三十一、抗疫特别国债安排的支出</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32</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本年收入合计</w:t>
            </w:r>
          </w:p>
        </w:tc>
        <w:tc>
          <w:tcPr>
            <w:tcW w:w="263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6765.78</w:t>
            </w:r>
          </w:p>
        </w:tc>
        <w:tc>
          <w:tcPr>
            <w:tcW w:w="382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本年支出合计</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6765.78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33</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上年结转结余</w:t>
            </w:r>
          </w:p>
        </w:tc>
        <w:tc>
          <w:tcPr>
            <w:tcW w:w="263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82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年终结转结余</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34</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收入总计</w:t>
            </w:r>
          </w:p>
        </w:tc>
        <w:tc>
          <w:tcPr>
            <w:tcW w:w="263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6765.78</w:t>
            </w:r>
          </w:p>
        </w:tc>
        <w:tc>
          <w:tcPr>
            <w:tcW w:w="382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支出总计</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6765.78</w:t>
            </w:r>
          </w:p>
        </w:tc>
      </w:tr>
    </w:tbl>
    <w:p>
      <w:pPr>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br w:type="page"/>
      </w:r>
    </w:p>
    <w:tbl>
      <w:tblPr>
        <w:tblStyle w:val="10"/>
        <w:tblW w:w="14476"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37"/>
        <w:gridCol w:w="1134"/>
        <w:gridCol w:w="1634"/>
        <w:gridCol w:w="1200"/>
        <w:gridCol w:w="1518"/>
        <w:gridCol w:w="1528"/>
        <w:gridCol w:w="919"/>
        <w:gridCol w:w="796"/>
        <w:gridCol w:w="848"/>
        <w:gridCol w:w="945"/>
        <w:gridCol w:w="1284"/>
        <w:gridCol w:w="750"/>
        <w:gridCol w:w="108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4476" w:type="dxa"/>
            <w:gridSpan w:val="13"/>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32"/>
                <w:szCs w:val="32"/>
                <w:u w:val="none"/>
                <w:lang w:val="en-US" w:eastAsia="zh-CN" w:bidi="ar"/>
              </w:rPr>
              <w:t>2、部门预算收入总表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0414" w:type="dxa"/>
            <w:gridSpan w:val="9"/>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预算单位编码及名称：203中国共产党宁晋县委员会组织部</w:t>
            </w:r>
          </w:p>
        </w:tc>
        <w:tc>
          <w:tcPr>
            <w:tcW w:w="2229" w:type="dxa"/>
            <w:gridSpan w:val="2"/>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1833" w:type="dxa"/>
            <w:gridSpan w:val="2"/>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37"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276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功能分类科目</w:t>
            </w:r>
          </w:p>
        </w:tc>
        <w:tc>
          <w:tcPr>
            <w:tcW w:w="1200"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8588" w:type="dxa"/>
            <w:gridSpan w:val="8"/>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本年收入</w:t>
            </w:r>
          </w:p>
        </w:tc>
        <w:tc>
          <w:tcPr>
            <w:tcW w:w="1083"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上年结转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837"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16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51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小计</w:t>
            </w:r>
          </w:p>
        </w:tc>
        <w:tc>
          <w:tcPr>
            <w:tcW w:w="15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财政拨款收入</w:t>
            </w:r>
          </w:p>
        </w:tc>
        <w:tc>
          <w:tcPr>
            <w:tcW w:w="9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财政专户收入</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事业收入</w:t>
            </w:r>
          </w:p>
        </w:tc>
        <w:tc>
          <w:tcPr>
            <w:tcW w:w="8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经营收入</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上级补助收入</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附属单位上缴收入</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其他收入</w:t>
            </w:r>
          </w:p>
        </w:tc>
        <w:tc>
          <w:tcPr>
            <w:tcW w:w="108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6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5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7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163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合计</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6765.78</w:t>
            </w:r>
          </w:p>
        </w:tc>
        <w:tc>
          <w:tcPr>
            <w:tcW w:w="151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6765.78</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6765.78</w:t>
            </w: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201</w:t>
            </w:r>
          </w:p>
        </w:tc>
        <w:tc>
          <w:tcPr>
            <w:tcW w:w="163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一般公共服务支出</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1052.04</w:t>
            </w:r>
          </w:p>
        </w:tc>
        <w:tc>
          <w:tcPr>
            <w:tcW w:w="151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1052.04</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1052.04</w:t>
            </w: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20132</w:t>
            </w:r>
          </w:p>
        </w:tc>
        <w:tc>
          <w:tcPr>
            <w:tcW w:w="163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组织事务</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1052.04</w:t>
            </w:r>
          </w:p>
        </w:tc>
        <w:tc>
          <w:tcPr>
            <w:tcW w:w="151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1052.04</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1052.04</w:t>
            </w: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2013201</w:t>
            </w:r>
          </w:p>
        </w:tc>
        <w:tc>
          <w:tcPr>
            <w:tcW w:w="163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行政运行</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604.68</w:t>
            </w:r>
          </w:p>
        </w:tc>
        <w:tc>
          <w:tcPr>
            <w:tcW w:w="151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604.68</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604.68</w:t>
            </w: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2013202</w:t>
            </w:r>
          </w:p>
        </w:tc>
        <w:tc>
          <w:tcPr>
            <w:tcW w:w="163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一般行政管理事务</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447.36</w:t>
            </w:r>
          </w:p>
        </w:tc>
        <w:tc>
          <w:tcPr>
            <w:tcW w:w="151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447.36</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447.36</w:t>
            </w: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w:t>
            </w:r>
          </w:p>
        </w:tc>
        <w:tc>
          <w:tcPr>
            <w:tcW w:w="163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社会保障和就业支出</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608.36</w:t>
            </w:r>
          </w:p>
        </w:tc>
        <w:tc>
          <w:tcPr>
            <w:tcW w:w="151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608.36</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608.36</w:t>
            </w: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w:t>
            </w:r>
          </w:p>
        </w:tc>
        <w:tc>
          <w:tcPr>
            <w:tcW w:w="163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行政事业单位养老支出</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593.43</w:t>
            </w:r>
          </w:p>
        </w:tc>
        <w:tc>
          <w:tcPr>
            <w:tcW w:w="151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593.43</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593.43</w:t>
            </w: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2080501</w:t>
            </w:r>
          </w:p>
        </w:tc>
        <w:tc>
          <w:tcPr>
            <w:tcW w:w="163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行政单位离退休</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16.22</w:t>
            </w:r>
          </w:p>
        </w:tc>
        <w:tc>
          <w:tcPr>
            <w:tcW w:w="151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16.22</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16.22</w:t>
            </w: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2080503</w:t>
            </w:r>
          </w:p>
        </w:tc>
        <w:tc>
          <w:tcPr>
            <w:tcW w:w="163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离退休人员管理机构</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515.60</w:t>
            </w:r>
          </w:p>
        </w:tc>
        <w:tc>
          <w:tcPr>
            <w:tcW w:w="151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515.60</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515.60</w:t>
            </w: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2080505</w:t>
            </w:r>
          </w:p>
        </w:tc>
        <w:tc>
          <w:tcPr>
            <w:tcW w:w="163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机关事业单位基本养老保险缴费支出</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61.61</w:t>
            </w:r>
          </w:p>
        </w:tc>
        <w:tc>
          <w:tcPr>
            <w:tcW w:w="151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61.61</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61.61</w:t>
            </w: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20808</w:t>
            </w:r>
          </w:p>
        </w:tc>
        <w:tc>
          <w:tcPr>
            <w:tcW w:w="163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抚恤</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13.00</w:t>
            </w:r>
          </w:p>
        </w:tc>
        <w:tc>
          <w:tcPr>
            <w:tcW w:w="151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13.00</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13.00</w:t>
            </w: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2080801</w:t>
            </w:r>
          </w:p>
        </w:tc>
        <w:tc>
          <w:tcPr>
            <w:tcW w:w="163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死亡抚恤</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13.00</w:t>
            </w:r>
          </w:p>
        </w:tc>
        <w:tc>
          <w:tcPr>
            <w:tcW w:w="151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13.00</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13.00</w:t>
            </w: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20827</w:t>
            </w:r>
          </w:p>
        </w:tc>
        <w:tc>
          <w:tcPr>
            <w:tcW w:w="163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财政对其他社会保险基金的补助</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1.93</w:t>
            </w:r>
          </w:p>
        </w:tc>
        <w:tc>
          <w:tcPr>
            <w:tcW w:w="151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1.93</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1.93</w:t>
            </w: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2082702</w:t>
            </w:r>
          </w:p>
        </w:tc>
        <w:tc>
          <w:tcPr>
            <w:tcW w:w="163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财政对工伤保险基金的补助</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1.93</w:t>
            </w:r>
          </w:p>
        </w:tc>
        <w:tc>
          <w:tcPr>
            <w:tcW w:w="151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1.93</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1.93</w:t>
            </w: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w:t>
            </w:r>
          </w:p>
        </w:tc>
        <w:tc>
          <w:tcPr>
            <w:tcW w:w="163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卫生健康支出</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27.72</w:t>
            </w:r>
          </w:p>
        </w:tc>
        <w:tc>
          <w:tcPr>
            <w:tcW w:w="151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27.72</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27.72</w:t>
            </w: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21011</w:t>
            </w:r>
          </w:p>
        </w:tc>
        <w:tc>
          <w:tcPr>
            <w:tcW w:w="163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行政事业单位医疗</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27.72</w:t>
            </w:r>
          </w:p>
        </w:tc>
        <w:tc>
          <w:tcPr>
            <w:tcW w:w="151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27.72</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27.72</w:t>
            </w: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2101101</w:t>
            </w:r>
          </w:p>
        </w:tc>
        <w:tc>
          <w:tcPr>
            <w:tcW w:w="163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行政单位医疗</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27.72</w:t>
            </w:r>
          </w:p>
        </w:tc>
        <w:tc>
          <w:tcPr>
            <w:tcW w:w="151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27.72</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27.72</w:t>
            </w: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18</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213</w:t>
            </w:r>
          </w:p>
        </w:tc>
        <w:tc>
          <w:tcPr>
            <w:tcW w:w="163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农林水支出</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5031.45</w:t>
            </w:r>
          </w:p>
        </w:tc>
        <w:tc>
          <w:tcPr>
            <w:tcW w:w="151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5031.45</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5031.45</w:t>
            </w: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21307</w:t>
            </w:r>
          </w:p>
        </w:tc>
        <w:tc>
          <w:tcPr>
            <w:tcW w:w="163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农村综合改革</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5031.45</w:t>
            </w:r>
          </w:p>
        </w:tc>
        <w:tc>
          <w:tcPr>
            <w:tcW w:w="151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5031.45</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5031.45</w:t>
            </w: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2130705</w:t>
            </w:r>
          </w:p>
        </w:tc>
        <w:tc>
          <w:tcPr>
            <w:tcW w:w="163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对村民委员会和村党支部的补助</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5031.45</w:t>
            </w:r>
          </w:p>
        </w:tc>
        <w:tc>
          <w:tcPr>
            <w:tcW w:w="151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5031.45</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5031.45</w:t>
            </w: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w:t>
            </w:r>
          </w:p>
        </w:tc>
        <w:tc>
          <w:tcPr>
            <w:tcW w:w="163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住房保障支出</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46.20</w:t>
            </w:r>
          </w:p>
        </w:tc>
        <w:tc>
          <w:tcPr>
            <w:tcW w:w="151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46.20</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46.20</w:t>
            </w: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22102</w:t>
            </w:r>
          </w:p>
        </w:tc>
        <w:tc>
          <w:tcPr>
            <w:tcW w:w="163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住房改革支出</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46.20</w:t>
            </w:r>
          </w:p>
        </w:tc>
        <w:tc>
          <w:tcPr>
            <w:tcW w:w="151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46.20</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46.20</w:t>
            </w: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23</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2210201</w:t>
            </w:r>
          </w:p>
        </w:tc>
        <w:tc>
          <w:tcPr>
            <w:tcW w:w="163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住房公积金</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46.20</w:t>
            </w:r>
          </w:p>
        </w:tc>
        <w:tc>
          <w:tcPr>
            <w:tcW w:w="151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46.20</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46.20</w:t>
            </w: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bl>
    <w:p>
      <w:pPr>
        <w:spacing w:before="0" w:after="0" w:line="240" w:lineRule="auto"/>
        <w:ind w:firstLine="0"/>
        <w:jc w:val="both"/>
        <w:outlineLvl w:val="0"/>
        <w:rPr>
          <w:rFonts w:ascii="方正小标宋_GBK" w:hAnsi="方正小标宋_GBK" w:eastAsia="方正小标宋_GBK" w:cs="方正小标宋_GBK"/>
          <w:color w:val="000000"/>
          <w:sz w:val="44"/>
        </w:rPr>
      </w:pPr>
    </w:p>
    <w:p>
      <w:pPr>
        <w:spacing w:before="0" w:after="0" w:line="240" w:lineRule="auto"/>
        <w:ind w:firstLine="0"/>
        <w:jc w:val="both"/>
        <w:outlineLvl w:val="0"/>
        <w:rPr>
          <w:rFonts w:ascii="方正小标宋_GBK" w:hAnsi="方正小标宋_GBK" w:eastAsia="方正小标宋_GBK" w:cs="方正小标宋_GBK"/>
          <w:color w:val="000000"/>
          <w:sz w:val="44"/>
        </w:rPr>
      </w:pPr>
    </w:p>
    <w:p>
      <w:pPr>
        <w:spacing w:before="0" w:after="0" w:line="240" w:lineRule="auto"/>
        <w:ind w:firstLine="0"/>
        <w:jc w:val="both"/>
        <w:outlineLvl w:val="0"/>
        <w:rPr>
          <w:rFonts w:ascii="方正小标宋_GBK" w:hAnsi="方正小标宋_GBK" w:eastAsia="方正小标宋_GBK" w:cs="方正小标宋_GBK"/>
          <w:color w:val="000000"/>
          <w:sz w:val="44"/>
        </w:rPr>
      </w:pPr>
    </w:p>
    <w:p>
      <w:pPr>
        <w:spacing w:before="0" w:after="0" w:line="240" w:lineRule="auto"/>
        <w:ind w:firstLine="0"/>
        <w:jc w:val="both"/>
        <w:outlineLvl w:val="0"/>
        <w:rPr>
          <w:rFonts w:ascii="方正小标宋_GBK" w:hAnsi="方正小标宋_GBK" w:eastAsia="方正小标宋_GBK" w:cs="方正小标宋_GBK"/>
          <w:color w:val="000000"/>
          <w:sz w:val="44"/>
        </w:rPr>
      </w:pPr>
    </w:p>
    <w:p>
      <w:pPr>
        <w:spacing w:before="0" w:after="0" w:line="240" w:lineRule="auto"/>
        <w:ind w:firstLine="0"/>
        <w:jc w:val="both"/>
        <w:outlineLvl w:val="0"/>
        <w:rPr>
          <w:rFonts w:ascii="方正小标宋_GBK" w:hAnsi="方正小标宋_GBK" w:eastAsia="方正小标宋_GBK" w:cs="方正小标宋_GBK"/>
          <w:color w:val="000000"/>
          <w:sz w:val="44"/>
        </w:rPr>
      </w:pPr>
    </w:p>
    <w:p>
      <w:pPr>
        <w:spacing w:before="0" w:after="0" w:line="240" w:lineRule="auto"/>
        <w:ind w:firstLine="0"/>
        <w:jc w:val="both"/>
        <w:outlineLvl w:val="0"/>
        <w:rPr>
          <w:rFonts w:ascii="方正小标宋_GBK" w:hAnsi="方正小标宋_GBK" w:eastAsia="方正小标宋_GBK" w:cs="方正小标宋_GBK"/>
          <w:color w:val="000000"/>
          <w:sz w:val="44"/>
        </w:rPr>
      </w:pPr>
    </w:p>
    <w:p>
      <w:pPr>
        <w:spacing w:before="0" w:after="0" w:line="240" w:lineRule="auto"/>
        <w:ind w:firstLine="0"/>
        <w:jc w:val="both"/>
        <w:outlineLvl w:val="0"/>
        <w:rPr>
          <w:rFonts w:ascii="方正小标宋_GBK" w:hAnsi="方正小标宋_GBK" w:eastAsia="方正小标宋_GBK" w:cs="方正小标宋_GBK"/>
          <w:color w:val="000000"/>
          <w:sz w:val="44"/>
        </w:rPr>
      </w:pPr>
    </w:p>
    <w:p>
      <w:pPr>
        <w:pStyle w:val="2"/>
      </w:pPr>
    </w:p>
    <w:p/>
    <w:p>
      <w:pPr>
        <w:pStyle w:val="2"/>
      </w:pPr>
    </w:p>
    <w:p/>
    <w:p>
      <w:pPr>
        <w:pStyle w:val="2"/>
      </w:pPr>
    </w:p>
    <w:p/>
    <w:p>
      <w:pPr>
        <w:pStyle w:val="2"/>
        <w:rPr>
          <w:rFonts w:hint="eastAsia" w:eastAsia="宋体"/>
          <w:lang w:eastAsia="zh-CN"/>
        </w:rPr>
      </w:pPr>
    </w:p>
    <w:tbl>
      <w:tblPr>
        <w:tblStyle w:val="10"/>
        <w:tblW w:w="14100"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70"/>
        <w:gridCol w:w="2309"/>
        <w:gridCol w:w="2309"/>
        <w:gridCol w:w="1248"/>
        <w:gridCol w:w="1260"/>
        <w:gridCol w:w="1284"/>
        <w:gridCol w:w="1089"/>
        <w:gridCol w:w="1935"/>
        <w:gridCol w:w="189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4100" w:type="dxa"/>
            <w:gridSpan w:val="9"/>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32"/>
                <w:szCs w:val="32"/>
                <w:u w:val="none"/>
                <w:lang w:val="en-US" w:eastAsia="zh-CN" w:bidi="ar"/>
              </w:rPr>
              <w:t>3、部门预算支出总表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0269" w:type="dxa"/>
            <w:gridSpan w:val="7"/>
            <w:tcBorders>
              <w:top w:val="nil"/>
              <w:left w:val="nil"/>
              <w:bottom w:val="nil"/>
              <w:right w:val="nil"/>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预算单位编码及名称：203中国共产党宁晋县委员会组织部</w:t>
            </w:r>
          </w:p>
        </w:tc>
        <w:tc>
          <w:tcPr>
            <w:tcW w:w="1935" w:type="dxa"/>
            <w:tcBorders>
              <w:top w:val="nil"/>
              <w:left w:val="nil"/>
              <w:bottom w:val="nil"/>
              <w:right w:val="nil"/>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1896" w:type="dxa"/>
            <w:tcBorders>
              <w:top w:val="nil"/>
              <w:left w:val="nil"/>
              <w:bottom w:val="nil"/>
              <w:right w:val="nil"/>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7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461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支出功能分类科目</w:t>
            </w:r>
          </w:p>
        </w:tc>
        <w:tc>
          <w:tcPr>
            <w:tcW w:w="124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本年支出合计</w:t>
            </w:r>
          </w:p>
        </w:tc>
        <w:tc>
          <w:tcPr>
            <w:tcW w:w="12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128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c>
          <w:tcPr>
            <w:tcW w:w="108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经营支出</w:t>
            </w:r>
          </w:p>
        </w:tc>
        <w:tc>
          <w:tcPr>
            <w:tcW w:w="19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上缴上级支出</w:t>
            </w:r>
          </w:p>
        </w:tc>
        <w:tc>
          <w:tcPr>
            <w:tcW w:w="18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7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2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28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8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8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7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2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合计</w:t>
            </w:r>
          </w:p>
        </w:tc>
        <w:tc>
          <w:tcPr>
            <w:tcW w:w="124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6765.78</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771.36</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5994.42</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201</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一般公共服务支出</w:t>
            </w:r>
          </w:p>
        </w:tc>
        <w:tc>
          <w:tcPr>
            <w:tcW w:w="124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927.44</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604.68</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447.36</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20132</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组织事务</w:t>
            </w:r>
          </w:p>
        </w:tc>
        <w:tc>
          <w:tcPr>
            <w:tcW w:w="124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927.44</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604.68</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447.36</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2013201</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行政运行</w:t>
            </w:r>
          </w:p>
        </w:tc>
        <w:tc>
          <w:tcPr>
            <w:tcW w:w="124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480.08</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604.68</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2013202</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一般行政管理事务</w:t>
            </w:r>
          </w:p>
        </w:tc>
        <w:tc>
          <w:tcPr>
            <w:tcW w:w="124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447.36</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447.36</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社会保障和就业支出</w:t>
            </w:r>
          </w:p>
        </w:tc>
        <w:tc>
          <w:tcPr>
            <w:tcW w:w="124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608.36</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92.76</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515.60</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行政事业单位养老支出</w:t>
            </w:r>
          </w:p>
        </w:tc>
        <w:tc>
          <w:tcPr>
            <w:tcW w:w="124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593.43</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77.83</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515.60</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2080501</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行政单位离退休</w:t>
            </w:r>
          </w:p>
        </w:tc>
        <w:tc>
          <w:tcPr>
            <w:tcW w:w="124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16.22</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16.22</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2080503</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离退休人员管理机构</w:t>
            </w:r>
          </w:p>
        </w:tc>
        <w:tc>
          <w:tcPr>
            <w:tcW w:w="124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515.60</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515.60</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2080505</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机关事业单位基本养老保险缴费支出</w:t>
            </w:r>
          </w:p>
        </w:tc>
        <w:tc>
          <w:tcPr>
            <w:tcW w:w="124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61.61</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61.61</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20808</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抚恤</w:t>
            </w:r>
          </w:p>
        </w:tc>
        <w:tc>
          <w:tcPr>
            <w:tcW w:w="124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13.00</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13.00</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2080801</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死亡抚恤</w:t>
            </w:r>
          </w:p>
        </w:tc>
        <w:tc>
          <w:tcPr>
            <w:tcW w:w="124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13.00</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13.00</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20827</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财政对其他社会保险基金的补助</w:t>
            </w:r>
          </w:p>
        </w:tc>
        <w:tc>
          <w:tcPr>
            <w:tcW w:w="124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1.93</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1.93</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2082702</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财政对工伤保险基金的补助</w:t>
            </w:r>
          </w:p>
        </w:tc>
        <w:tc>
          <w:tcPr>
            <w:tcW w:w="124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1.93</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1.93</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卫生健康支出</w:t>
            </w:r>
          </w:p>
        </w:tc>
        <w:tc>
          <w:tcPr>
            <w:tcW w:w="124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27.72</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27.72</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21011</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行政事业单位医疗</w:t>
            </w:r>
          </w:p>
        </w:tc>
        <w:tc>
          <w:tcPr>
            <w:tcW w:w="124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27.72</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27.72</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2101101</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行政单位医疗</w:t>
            </w:r>
          </w:p>
        </w:tc>
        <w:tc>
          <w:tcPr>
            <w:tcW w:w="124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27.72</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27.72</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18</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213</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农林水支出</w:t>
            </w:r>
          </w:p>
        </w:tc>
        <w:tc>
          <w:tcPr>
            <w:tcW w:w="124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5031.45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5031.45</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21307</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农村综合改革</w:t>
            </w:r>
          </w:p>
        </w:tc>
        <w:tc>
          <w:tcPr>
            <w:tcW w:w="124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5031.45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5031.45</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2130705</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对村民委员会和村党支部的补助</w:t>
            </w:r>
          </w:p>
        </w:tc>
        <w:tc>
          <w:tcPr>
            <w:tcW w:w="124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5031.45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5031.45</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住房保障支出</w:t>
            </w:r>
          </w:p>
        </w:tc>
        <w:tc>
          <w:tcPr>
            <w:tcW w:w="124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46.20</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46.20</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22102</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住房改革支出</w:t>
            </w:r>
          </w:p>
        </w:tc>
        <w:tc>
          <w:tcPr>
            <w:tcW w:w="124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46.20</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46.20</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23</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2210201</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住房公积金</w:t>
            </w:r>
          </w:p>
        </w:tc>
        <w:tc>
          <w:tcPr>
            <w:tcW w:w="124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46.20</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46.20</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bl>
    <w:p>
      <w:pPr>
        <w:spacing w:before="0" w:after="0" w:line="240" w:lineRule="auto"/>
        <w:ind w:firstLine="0"/>
        <w:jc w:val="both"/>
        <w:outlineLvl w:val="0"/>
        <w:rPr>
          <w:rFonts w:ascii="方正小标宋_GBK" w:hAnsi="方正小标宋_GBK" w:eastAsia="方正小标宋_GBK" w:cs="方正小标宋_GBK"/>
          <w:color w:val="000000"/>
          <w:sz w:val="44"/>
        </w:rPr>
      </w:pPr>
    </w:p>
    <w:p>
      <w:pPr>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br w:type="page"/>
      </w:r>
    </w:p>
    <w:tbl>
      <w:tblPr>
        <w:tblStyle w:val="10"/>
        <w:tblW w:w="13213"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69"/>
        <w:gridCol w:w="2737"/>
        <w:gridCol w:w="1398"/>
        <w:gridCol w:w="2765"/>
        <w:gridCol w:w="1524"/>
        <w:gridCol w:w="1312"/>
        <w:gridCol w:w="1270"/>
        <w:gridCol w:w="143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13213" w:type="dxa"/>
            <w:gridSpan w:val="8"/>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32"/>
                <w:szCs w:val="32"/>
                <w:u w:val="none"/>
                <w:lang w:val="en-US" w:eastAsia="zh-CN" w:bidi="ar"/>
              </w:rPr>
            </w:pPr>
            <w:r>
              <w:rPr>
                <w:rFonts w:hint="eastAsia" w:ascii="宋体" w:hAnsi="宋体" w:eastAsia="宋体" w:cs="宋体"/>
                <w:i w:val="0"/>
                <w:iCs w:val="0"/>
                <w:color w:val="000000"/>
                <w:kern w:val="0"/>
                <w:sz w:val="32"/>
                <w:szCs w:val="32"/>
                <w:u w:val="none"/>
                <w:lang w:val="en-US" w:eastAsia="zh-CN" w:bidi="ar"/>
              </w:rPr>
              <w:t>4、部门预算财政拨款收支总表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trPr>
        <w:tc>
          <w:tcPr>
            <w:tcW w:w="10505" w:type="dxa"/>
            <w:gridSpan w:val="6"/>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预算单位编码及名称：203中国共产党宁晋县委员会组织部</w:t>
            </w:r>
          </w:p>
        </w:tc>
        <w:tc>
          <w:tcPr>
            <w:tcW w:w="1270" w:type="dxa"/>
            <w:tcBorders>
              <w:top w:val="nil"/>
              <w:left w:val="nil"/>
              <w:bottom w:val="nil"/>
              <w:right w:val="nil"/>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1438" w:type="dxa"/>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76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41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收入</w:t>
            </w:r>
          </w:p>
        </w:tc>
        <w:tc>
          <w:tcPr>
            <w:tcW w:w="8309"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trPr>
        <w:tc>
          <w:tcPr>
            <w:tcW w:w="76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w:t>
            </w: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一般公共预算财政拨款</w:t>
            </w: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政府性基金预算财政拨款</w:t>
            </w: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一、一般公共预算拨款</w:t>
            </w: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6765.78</w:t>
            </w: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一、一般公共服务支出</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1052.04</w:t>
            </w: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1052.04</w:t>
            </w: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二、政府性基金预算拨款</w:t>
            </w: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二、外交支出</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三、国有资本经营预算拨款</w:t>
            </w: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三、国防支出</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四、公共安全支出</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五、教育支出</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六、科学技术支出</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七、文化旅游体育与传媒支出</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八、社会保障和就业支出</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608.36</w:t>
            </w: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608.36</w:t>
            </w: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九、社会保险基金支出</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十、卫生健康支出</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27.72</w:t>
            </w: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27.72</w:t>
            </w: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十一、节能环保支出</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十二、城乡社区支出</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十三、农林水支出</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5031.45</w:t>
            </w: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5031.45</w:t>
            </w: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十四、交通运输支出</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十五、资源勘探工业信息等支出</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十六、商业服务业等支出</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十七、金融支出</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18</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十八、援助其他地区支出</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十九、自然资源海洋气象等支出</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二十、住房保障支出</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46.20</w:t>
            </w: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46.20</w:t>
            </w: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二十一、粮油物资储备支出</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二十二、国有资本经营预算支出</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23</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二十三、灾害防治及应急管理支出</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二十四、预备费</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25</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二十五、其他支出</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二十六、转移性支出</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二十七、灾害防治及应急管理共同财政事权转移支付支出</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二十八、债务还本支出</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29</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二十九、债务付息支出</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三十、债务发行费用支出</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三十一、抗疫特别国债安排的支出</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32</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本年收入合计</w:t>
            </w: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6765.78</w:t>
            </w: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本年支出合计</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6765.78</w:t>
            </w: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6765.78</w:t>
            </w: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33</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年初财政拨款结转和结余</w:t>
            </w: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年末财政拨款结转和结余</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34</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一、一般公共预算拨款</w:t>
            </w: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35</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二、政府性基金预算拨款</w:t>
            </w: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36</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三、国有资本经营预算拨款</w:t>
            </w: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37</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收入总计</w:t>
            </w: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6765.78</w:t>
            </w: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支出总计</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6765.78</w:t>
            </w: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6765.78</w:t>
            </w: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bl>
    <w:p>
      <w:pPr>
        <w:pStyle w:val="2"/>
        <w:ind w:left="0" w:leftChars="0" w:firstLine="0" w:firstLineChars="0"/>
      </w:pPr>
    </w:p>
    <w:p>
      <w:pPr>
        <w:spacing w:before="0" w:after="0" w:line="240" w:lineRule="auto"/>
        <w:ind w:firstLine="0"/>
        <w:jc w:val="both"/>
        <w:outlineLvl w:val="0"/>
        <w:rPr>
          <w:rFonts w:ascii="方正小标宋_GBK" w:hAnsi="方正小标宋_GBK" w:eastAsia="方正小标宋_GBK" w:cs="方正小标宋_GBK"/>
          <w:color w:val="000000"/>
          <w:sz w:val="44"/>
        </w:rPr>
      </w:pPr>
    </w:p>
    <w:tbl>
      <w:tblPr>
        <w:tblStyle w:val="10"/>
        <w:tblW w:w="14025"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58"/>
        <w:gridCol w:w="917"/>
        <w:gridCol w:w="90"/>
        <w:gridCol w:w="93"/>
        <w:gridCol w:w="1017"/>
        <w:gridCol w:w="1380"/>
        <w:gridCol w:w="1605"/>
        <w:gridCol w:w="630"/>
        <w:gridCol w:w="360"/>
        <w:gridCol w:w="240"/>
        <w:gridCol w:w="1695"/>
        <w:gridCol w:w="150"/>
        <w:gridCol w:w="330"/>
        <w:gridCol w:w="885"/>
        <w:gridCol w:w="975"/>
        <w:gridCol w:w="345"/>
        <w:gridCol w:w="585"/>
        <w:gridCol w:w="1875"/>
        <w:gridCol w:w="135"/>
        <w:gridCol w:w="6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4025" w:type="dxa"/>
            <w:gridSpan w:val="20"/>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32"/>
                <w:szCs w:val="32"/>
                <w:u w:val="none"/>
                <w:lang w:val="en-US" w:eastAsia="zh-CN" w:bidi="ar"/>
              </w:rPr>
              <w:t>5、部门预算一般公共预算财政拨款支出表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10050" w:type="dxa"/>
            <w:gridSpan w:val="14"/>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预算单位编码及名称：203中国共产党宁晋县委员会组织部</w:t>
            </w:r>
          </w:p>
        </w:tc>
        <w:tc>
          <w:tcPr>
            <w:tcW w:w="1905" w:type="dxa"/>
            <w:gridSpan w:val="3"/>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2070" w:type="dxa"/>
            <w:gridSpan w:val="3"/>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58"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5102"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支出功能分类科目</w:t>
            </w:r>
          </w:p>
        </w:tc>
        <w:tc>
          <w:tcPr>
            <w:tcW w:w="123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4965"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207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5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1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4002"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23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小计</w:t>
            </w:r>
          </w:p>
        </w:tc>
        <w:tc>
          <w:tcPr>
            <w:tcW w:w="13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人员经费</w:t>
            </w:r>
          </w:p>
        </w:tc>
        <w:tc>
          <w:tcPr>
            <w:tcW w:w="1905"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公用经费</w:t>
            </w:r>
          </w:p>
        </w:tc>
        <w:tc>
          <w:tcPr>
            <w:tcW w:w="207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11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02"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23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3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905"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207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11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4002"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合计</w:t>
            </w:r>
          </w:p>
        </w:tc>
        <w:tc>
          <w:tcPr>
            <w:tcW w:w="123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6765.78</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771.36</w:t>
            </w:r>
          </w:p>
        </w:tc>
        <w:tc>
          <w:tcPr>
            <w:tcW w:w="13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707.97</w:t>
            </w:r>
          </w:p>
        </w:tc>
        <w:tc>
          <w:tcPr>
            <w:tcW w:w="190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63.39</w:t>
            </w:r>
          </w:p>
        </w:tc>
        <w:tc>
          <w:tcPr>
            <w:tcW w:w="207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5994.42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11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201</w:t>
            </w:r>
          </w:p>
        </w:tc>
        <w:tc>
          <w:tcPr>
            <w:tcW w:w="4002"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一般公共服务支出</w:t>
            </w:r>
          </w:p>
        </w:tc>
        <w:tc>
          <w:tcPr>
            <w:tcW w:w="123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1052.04</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604.68</w:t>
            </w:r>
          </w:p>
        </w:tc>
        <w:tc>
          <w:tcPr>
            <w:tcW w:w="13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541.29</w:t>
            </w:r>
          </w:p>
        </w:tc>
        <w:tc>
          <w:tcPr>
            <w:tcW w:w="190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63.39</w:t>
            </w:r>
          </w:p>
        </w:tc>
        <w:tc>
          <w:tcPr>
            <w:tcW w:w="207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447.36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11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20132</w:t>
            </w:r>
          </w:p>
        </w:tc>
        <w:tc>
          <w:tcPr>
            <w:tcW w:w="4002"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组织事务</w:t>
            </w:r>
          </w:p>
        </w:tc>
        <w:tc>
          <w:tcPr>
            <w:tcW w:w="123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1052.04</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604.68</w:t>
            </w:r>
          </w:p>
        </w:tc>
        <w:tc>
          <w:tcPr>
            <w:tcW w:w="13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541.29</w:t>
            </w:r>
          </w:p>
        </w:tc>
        <w:tc>
          <w:tcPr>
            <w:tcW w:w="190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63.39</w:t>
            </w:r>
          </w:p>
        </w:tc>
        <w:tc>
          <w:tcPr>
            <w:tcW w:w="207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447.36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11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2013201</w:t>
            </w:r>
          </w:p>
        </w:tc>
        <w:tc>
          <w:tcPr>
            <w:tcW w:w="4002"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行政运行</w:t>
            </w:r>
          </w:p>
        </w:tc>
        <w:tc>
          <w:tcPr>
            <w:tcW w:w="123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604.68</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604.68</w:t>
            </w:r>
          </w:p>
        </w:tc>
        <w:tc>
          <w:tcPr>
            <w:tcW w:w="13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541.29</w:t>
            </w:r>
          </w:p>
        </w:tc>
        <w:tc>
          <w:tcPr>
            <w:tcW w:w="190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63.39</w:t>
            </w:r>
          </w:p>
        </w:tc>
        <w:tc>
          <w:tcPr>
            <w:tcW w:w="207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11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2013202</w:t>
            </w:r>
          </w:p>
        </w:tc>
        <w:tc>
          <w:tcPr>
            <w:tcW w:w="4002"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一般行政管理事务</w:t>
            </w:r>
          </w:p>
        </w:tc>
        <w:tc>
          <w:tcPr>
            <w:tcW w:w="123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447.36</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3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90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07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447.36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11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w:t>
            </w:r>
          </w:p>
        </w:tc>
        <w:tc>
          <w:tcPr>
            <w:tcW w:w="4002"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社会保障和就业支出</w:t>
            </w:r>
          </w:p>
        </w:tc>
        <w:tc>
          <w:tcPr>
            <w:tcW w:w="123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608.36</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92.76</w:t>
            </w:r>
          </w:p>
        </w:tc>
        <w:tc>
          <w:tcPr>
            <w:tcW w:w="13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92.76</w:t>
            </w:r>
          </w:p>
        </w:tc>
        <w:tc>
          <w:tcPr>
            <w:tcW w:w="190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07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515.60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11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w:t>
            </w:r>
          </w:p>
        </w:tc>
        <w:tc>
          <w:tcPr>
            <w:tcW w:w="4002"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行政事业单位养老支出</w:t>
            </w:r>
          </w:p>
        </w:tc>
        <w:tc>
          <w:tcPr>
            <w:tcW w:w="123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593.43</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77.83</w:t>
            </w:r>
          </w:p>
        </w:tc>
        <w:tc>
          <w:tcPr>
            <w:tcW w:w="13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77.83</w:t>
            </w:r>
          </w:p>
        </w:tc>
        <w:tc>
          <w:tcPr>
            <w:tcW w:w="190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07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515.60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11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2080501</w:t>
            </w:r>
          </w:p>
        </w:tc>
        <w:tc>
          <w:tcPr>
            <w:tcW w:w="4002"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行政单位离退休</w:t>
            </w:r>
          </w:p>
        </w:tc>
        <w:tc>
          <w:tcPr>
            <w:tcW w:w="123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16.22</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16.22</w:t>
            </w:r>
          </w:p>
        </w:tc>
        <w:tc>
          <w:tcPr>
            <w:tcW w:w="13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16.22</w:t>
            </w:r>
          </w:p>
        </w:tc>
        <w:tc>
          <w:tcPr>
            <w:tcW w:w="190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07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11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2080503</w:t>
            </w:r>
          </w:p>
        </w:tc>
        <w:tc>
          <w:tcPr>
            <w:tcW w:w="4002"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离退休人员管理机构</w:t>
            </w:r>
          </w:p>
        </w:tc>
        <w:tc>
          <w:tcPr>
            <w:tcW w:w="123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515.60</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3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90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07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515.60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11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2080505</w:t>
            </w:r>
          </w:p>
        </w:tc>
        <w:tc>
          <w:tcPr>
            <w:tcW w:w="4002"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机关事业单位基本养老保险缴费支出</w:t>
            </w:r>
          </w:p>
        </w:tc>
        <w:tc>
          <w:tcPr>
            <w:tcW w:w="123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61.61</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61.61</w:t>
            </w:r>
          </w:p>
        </w:tc>
        <w:tc>
          <w:tcPr>
            <w:tcW w:w="13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61.61</w:t>
            </w:r>
          </w:p>
        </w:tc>
        <w:tc>
          <w:tcPr>
            <w:tcW w:w="190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07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11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20808</w:t>
            </w:r>
          </w:p>
        </w:tc>
        <w:tc>
          <w:tcPr>
            <w:tcW w:w="4002"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抚恤</w:t>
            </w:r>
          </w:p>
        </w:tc>
        <w:tc>
          <w:tcPr>
            <w:tcW w:w="123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13.00</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13.00</w:t>
            </w:r>
          </w:p>
        </w:tc>
        <w:tc>
          <w:tcPr>
            <w:tcW w:w="13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13.00</w:t>
            </w:r>
          </w:p>
        </w:tc>
        <w:tc>
          <w:tcPr>
            <w:tcW w:w="190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07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w:t>
            </w:r>
          </w:p>
        </w:tc>
        <w:tc>
          <w:tcPr>
            <w:tcW w:w="11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2080801</w:t>
            </w:r>
          </w:p>
        </w:tc>
        <w:tc>
          <w:tcPr>
            <w:tcW w:w="4002"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死亡抚恤</w:t>
            </w:r>
          </w:p>
        </w:tc>
        <w:tc>
          <w:tcPr>
            <w:tcW w:w="123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13.00</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13.00</w:t>
            </w:r>
          </w:p>
        </w:tc>
        <w:tc>
          <w:tcPr>
            <w:tcW w:w="13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13.00</w:t>
            </w:r>
          </w:p>
        </w:tc>
        <w:tc>
          <w:tcPr>
            <w:tcW w:w="190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07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w:t>
            </w:r>
          </w:p>
        </w:tc>
        <w:tc>
          <w:tcPr>
            <w:tcW w:w="11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20827</w:t>
            </w:r>
          </w:p>
        </w:tc>
        <w:tc>
          <w:tcPr>
            <w:tcW w:w="4002"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财政对其他社会保险基金的补助</w:t>
            </w:r>
          </w:p>
        </w:tc>
        <w:tc>
          <w:tcPr>
            <w:tcW w:w="123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1.93</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1.93</w:t>
            </w:r>
          </w:p>
        </w:tc>
        <w:tc>
          <w:tcPr>
            <w:tcW w:w="13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1.93</w:t>
            </w:r>
          </w:p>
        </w:tc>
        <w:tc>
          <w:tcPr>
            <w:tcW w:w="190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07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w:t>
            </w:r>
          </w:p>
        </w:tc>
        <w:tc>
          <w:tcPr>
            <w:tcW w:w="11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2082702</w:t>
            </w:r>
          </w:p>
        </w:tc>
        <w:tc>
          <w:tcPr>
            <w:tcW w:w="4002"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财政对工伤保险基金的补助</w:t>
            </w:r>
          </w:p>
        </w:tc>
        <w:tc>
          <w:tcPr>
            <w:tcW w:w="123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1.93</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1.93</w:t>
            </w:r>
          </w:p>
        </w:tc>
        <w:tc>
          <w:tcPr>
            <w:tcW w:w="13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1.93</w:t>
            </w:r>
          </w:p>
        </w:tc>
        <w:tc>
          <w:tcPr>
            <w:tcW w:w="190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07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w:t>
            </w:r>
          </w:p>
        </w:tc>
        <w:tc>
          <w:tcPr>
            <w:tcW w:w="11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w:t>
            </w:r>
          </w:p>
        </w:tc>
        <w:tc>
          <w:tcPr>
            <w:tcW w:w="4002"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卫生健康支出</w:t>
            </w:r>
          </w:p>
        </w:tc>
        <w:tc>
          <w:tcPr>
            <w:tcW w:w="123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27.72</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27.72</w:t>
            </w:r>
          </w:p>
        </w:tc>
        <w:tc>
          <w:tcPr>
            <w:tcW w:w="13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27.72</w:t>
            </w:r>
          </w:p>
        </w:tc>
        <w:tc>
          <w:tcPr>
            <w:tcW w:w="190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07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w:t>
            </w:r>
          </w:p>
        </w:tc>
        <w:tc>
          <w:tcPr>
            <w:tcW w:w="11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21011</w:t>
            </w:r>
          </w:p>
        </w:tc>
        <w:tc>
          <w:tcPr>
            <w:tcW w:w="4002"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行政事业单位医疗</w:t>
            </w:r>
          </w:p>
        </w:tc>
        <w:tc>
          <w:tcPr>
            <w:tcW w:w="123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27.72</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27.72</w:t>
            </w:r>
          </w:p>
        </w:tc>
        <w:tc>
          <w:tcPr>
            <w:tcW w:w="13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27.72</w:t>
            </w:r>
          </w:p>
        </w:tc>
        <w:tc>
          <w:tcPr>
            <w:tcW w:w="190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07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w:t>
            </w:r>
          </w:p>
        </w:tc>
        <w:tc>
          <w:tcPr>
            <w:tcW w:w="11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2101101</w:t>
            </w:r>
          </w:p>
        </w:tc>
        <w:tc>
          <w:tcPr>
            <w:tcW w:w="4002"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行政单位医疗</w:t>
            </w:r>
          </w:p>
        </w:tc>
        <w:tc>
          <w:tcPr>
            <w:tcW w:w="123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27.72</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27.72</w:t>
            </w:r>
          </w:p>
        </w:tc>
        <w:tc>
          <w:tcPr>
            <w:tcW w:w="13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27.72</w:t>
            </w:r>
          </w:p>
        </w:tc>
        <w:tc>
          <w:tcPr>
            <w:tcW w:w="190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07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18</w:t>
            </w:r>
          </w:p>
        </w:tc>
        <w:tc>
          <w:tcPr>
            <w:tcW w:w="11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213</w:t>
            </w:r>
          </w:p>
        </w:tc>
        <w:tc>
          <w:tcPr>
            <w:tcW w:w="4002"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农林水支出</w:t>
            </w:r>
          </w:p>
        </w:tc>
        <w:tc>
          <w:tcPr>
            <w:tcW w:w="123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5031.45</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3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90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07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5031.45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w:t>
            </w:r>
          </w:p>
        </w:tc>
        <w:tc>
          <w:tcPr>
            <w:tcW w:w="11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21307</w:t>
            </w:r>
          </w:p>
        </w:tc>
        <w:tc>
          <w:tcPr>
            <w:tcW w:w="4002"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农村综合改革</w:t>
            </w:r>
          </w:p>
        </w:tc>
        <w:tc>
          <w:tcPr>
            <w:tcW w:w="123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5031.45</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3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90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07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5031.45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w:t>
            </w:r>
          </w:p>
        </w:tc>
        <w:tc>
          <w:tcPr>
            <w:tcW w:w="11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2130705</w:t>
            </w:r>
          </w:p>
        </w:tc>
        <w:tc>
          <w:tcPr>
            <w:tcW w:w="4002"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对村民委员会和村党支部的补助</w:t>
            </w:r>
          </w:p>
        </w:tc>
        <w:tc>
          <w:tcPr>
            <w:tcW w:w="123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5031.45</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3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90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07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5031.45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w:t>
            </w:r>
          </w:p>
        </w:tc>
        <w:tc>
          <w:tcPr>
            <w:tcW w:w="11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w:t>
            </w:r>
          </w:p>
        </w:tc>
        <w:tc>
          <w:tcPr>
            <w:tcW w:w="4002"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住房保障支出</w:t>
            </w:r>
          </w:p>
        </w:tc>
        <w:tc>
          <w:tcPr>
            <w:tcW w:w="123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46.20</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46.20</w:t>
            </w:r>
          </w:p>
        </w:tc>
        <w:tc>
          <w:tcPr>
            <w:tcW w:w="13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46.20</w:t>
            </w:r>
          </w:p>
        </w:tc>
        <w:tc>
          <w:tcPr>
            <w:tcW w:w="190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07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w:t>
            </w:r>
          </w:p>
        </w:tc>
        <w:tc>
          <w:tcPr>
            <w:tcW w:w="11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22102</w:t>
            </w:r>
          </w:p>
        </w:tc>
        <w:tc>
          <w:tcPr>
            <w:tcW w:w="4002"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住房改革支出</w:t>
            </w:r>
          </w:p>
        </w:tc>
        <w:tc>
          <w:tcPr>
            <w:tcW w:w="123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46.20</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46.20</w:t>
            </w:r>
          </w:p>
        </w:tc>
        <w:tc>
          <w:tcPr>
            <w:tcW w:w="13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46.20</w:t>
            </w:r>
          </w:p>
        </w:tc>
        <w:tc>
          <w:tcPr>
            <w:tcW w:w="190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07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23</w:t>
            </w:r>
          </w:p>
        </w:tc>
        <w:tc>
          <w:tcPr>
            <w:tcW w:w="11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2210201</w:t>
            </w:r>
          </w:p>
        </w:tc>
        <w:tc>
          <w:tcPr>
            <w:tcW w:w="4002"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住房公积金</w:t>
            </w:r>
          </w:p>
        </w:tc>
        <w:tc>
          <w:tcPr>
            <w:tcW w:w="123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46.20</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46.20</w:t>
            </w:r>
          </w:p>
        </w:tc>
        <w:tc>
          <w:tcPr>
            <w:tcW w:w="13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46.20</w:t>
            </w:r>
          </w:p>
        </w:tc>
        <w:tc>
          <w:tcPr>
            <w:tcW w:w="190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07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195" w:type="dxa"/>
          <w:trHeight w:val="360" w:hRule="atLeast"/>
        </w:trPr>
        <w:tc>
          <w:tcPr>
            <w:tcW w:w="13830" w:type="dxa"/>
            <w:gridSpan w:val="1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32"/>
                <w:szCs w:val="32"/>
                <w:u w:val="none"/>
                <w:lang w:val="en-US" w:eastAsia="zh-CN" w:bidi="ar"/>
              </w:rPr>
              <w:t>6、部门预算一般公共预算财政拨款基本支出表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195" w:type="dxa"/>
          <w:trHeight w:val="360" w:hRule="atLeast"/>
        </w:trPr>
        <w:tc>
          <w:tcPr>
            <w:tcW w:w="8835" w:type="dxa"/>
            <w:gridSpan w:val="12"/>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预算单位编码及名称：203中国共产党宁晋县委员会组织部</w:t>
            </w:r>
          </w:p>
        </w:tc>
        <w:tc>
          <w:tcPr>
            <w:tcW w:w="2535" w:type="dxa"/>
            <w:gridSpan w:val="4"/>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2460" w:type="dxa"/>
            <w:gridSpan w:val="2"/>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195" w:type="dxa"/>
          <w:trHeight w:val="275" w:hRule="atLeast"/>
        </w:trPr>
        <w:tc>
          <w:tcPr>
            <w:tcW w:w="166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5085"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支出部门经济分类科目</w:t>
            </w:r>
          </w:p>
        </w:tc>
        <w:tc>
          <w:tcPr>
            <w:tcW w:w="7080" w:type="dxa"/>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一般公共预算基本支出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195" w:type="dxa"/>
          <w:trHeight w:val="215" w:hRule="atLeast"/>
        </w:trPr>
        <w:tc>
          <w:tcPr>
            <w:tcW w:w="166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1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3975"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2085"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人员经费</w:t>
            </w:r>
          </w:p>
        </w:tc>
        <w:tc>
          <w:tcPr>
            <w:tcW w:w="246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195" w:type="dxa"/>
          <w:trHeight w:val="275" w:hRule="atLeast"/>
        </w:trPr>
        <w:tc>
          <w:tcPr>
            <w:tcW w:w="16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11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3975"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2085"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246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195" w:type="dxa"/>
          <w:trHeight w:val="200" w:hRule="atLeast"/>
        </w:trPr>
        <w:tc>
          <w:tcPr>
            <w:tcW w:w="16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11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397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合计</w:t>
            </w:r>
          </w:p>
        </w:tc>
        <w:tc>
          <w:tcPr>
            <w:tcW w:w="208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707.97</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707.97</w:t>
            </w:r>
          </w:p>
        </w:tc>
        <w:tc>
          <w:tcPr>
            <w:tcW w:w="246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63.39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195" w:type="dxa"/>
          <w:trHeight w:val="140" w:hRule="atLeast"/>
        </w:trPr>
        <w:tc>
          <w:tcPr>
            <w:tcW w:w="16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11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w:t>
            </w:r>
          </w:p>
        </w:tc>
        <w:tc>
          <w:tcPr>
            <w:tcW w:w="397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工资福利支出</w:t>
            </w:r>
          </w:p>
        </w:tc>
        <w:tc>
          <w:tcPr>
            <w:tcW w:w="208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678.75</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678.75</w:t>
            </w:r>
          </w:p>
        </w:tc>
        <w:tc>
          <w:tcPr>
            <w:tcW w:w="246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195" w:type="dxa"/>
          <w:trHeight w:val="245" w:hRule="atLeast"/>
        </w:trPr>
        <w:tc>
          <w:tcPr>
            <w:tcW w:w="16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11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30101</w:t>
            </w:r>
          </w:p>
        </w:tc>
        <w:tc>
          <w:tcPr>
            <w:tcW w:w="397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基本工资</w:t>
            </w:r>
          </w:p>
        </w:tc>
        <w:tc>
          <w:tcPr>
            <w:tcW w:w="208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220.56</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220.56</w:t>
            </w:r>
          </w:p>
        </w:tc>
        <w:tc>
          <w:tcPr>
            <w:tcW w:w="246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195" w:type="dxa"/>
          <w:trHeight w:val="170" w:hRule="atLeast"/>
        </w:trPr>
        <w:tc>
          <w:tcPr>
            <w:tcW w:w="16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11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30102</w:t>
            </w:r>
          </w:p>
        </w:tc>
        <w:tc>
          <w:tcPr>
            <w:tcW w:w="397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津贴补贴</w:t>
            </w:r>
          </w:p>
        </w:tc>
        <w:tc>
          <w:tcPr>
            <w:tcW w:w="208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145.75</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145.75</w:t>
            </w:r>
          </w:p>
        </w:tc>
        <w:tc>
          <w:tcPr>
            <w:tcW w:w="246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195" w:type="dxa"/>
          <w:trHeight w:val="290" w:hRule="atLeast"/>
        </w:trPr>
        <w:tc>
          <w:tcPr>
            <w:tcW w:w="16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11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30103</w:t>
            </w:r>
          </w:p>
        </w:tc>
        <w:tc>
          <w:tcPr>
            <w:tcW w:w="397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奖金</w:t>
            </w:r>
          </w:p>
        </w:tc>
        <w:tc>
          <w:tcPr>
            <w:tcW w:w="208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18.38</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18.38</w:t>
            </w:r>
          </w:p>
        </w:tc>
        <w:tc>
          <w:tcPr>
            <w:tcW w:w="246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195" w:type="dxa"/>
          <w:trHeight w:val="230" w:hRule="atLeast"/>
        </w:trPr>
        <w:tc>
          <w:tcPr>
            <w:tcW w:w="16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11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30107</w:t>
            </w:r>
          </w:p>
        </w:tc>
        <w:tc>
          <w:tcPr>
            <w:tcW w:w="397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绩效工资</w:t>
            </w:r>
          </w:p>
        </w:tc>
        <w:tc>
          <w:tcPr>
            <w:tcW w:w="208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156.6</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156.6</w:t>
            </w:r>
          </w:p>
        </w:tc>
        <w:tc>
          <w:tcPr>
            <w:tcW w:w="246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195" w:type="dxa"/>
          <w:trHeight w:val="330" w:hRule="atLeast"/>
        </w:trPr>
        <w:tc>
          <w:tcPr>
            <w:tcW w:w="16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11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30108</w:t>
            </w:r>
          </w:p>
        </w:tc>
        <w:tc>
          <w:tcPr>
            <w:tcW w:w="397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机关事业单位基本养老保险缴费</w:t>
            </w:r>
          </w:p>
        </w:tc>
        <w:tc>
          <w:tcPr>
            <w:tcW w:w="208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61.61</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61.61</w:t>
            </w:r>
          </w:p>
        </w:tc>
        <w:tc>
          <w:tcPr>
            <w:tcW w:w="246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195" w:type="dxa"/>
          <w:trHeight w:val="170" w:hRule="atLeast"/>
        </w:trPr>
        <w:tc>
          <w:tcPr>
            <w:tcW w:w="16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11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30110</w:t>
            </w:r>
          </w:p>
        </w:tc>
        <w:tc>
          <w:tcPr>
            <w:tcW w:w="397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城镇职工基本医疗保险缴费</w:t>
            </w:r>
          </w:p>
        </w:tc>
        <w:tc>
          <w:tcPr>
            <w:tcW w:w="208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27.72</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27.72</w:t>
            </w:r>
          </w:p>
        </w:tc>
        <w:tc>
          <w:tcPr>
            <w:tcW w:w="246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195" w:type="dxa"/>
          <w:trHeight w:val="215" w:hRule="atLeast"/>
        </w:trPr>
        <w:tc>
          <w:tcPr>
            <w:tcW w:w="16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11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30112</w:t>
            </w:r>
          </w:p>
        </w:tc>
        <w:tc>
          <w:tcPr>
            <w:tcW w:w="397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其他社会保障缴费</w:t>
            </w:r>
          </w:p>
        </w:tc>
        <w:tc>
          <w:tcPr>
            <w:tcW w:w="208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1.93</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1.93</w:t>
            </w:r>
          </w:p>
        </w:tc>
        <w:tc>
          <w:tcPr>
            <w:tcW w:w="246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195" w:type="dxa"/>
          <w:trHeight w:val="215" w:hRule="atLeast"/>
        </w:trPr>
        <w:tc>
          <w:tcPr>
            <w:tcW w:w="16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11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30113</w:t>
            </w:r>
          </w:p>
        </w:tc>
        <w:tc>
          <w:tcPr>
            <w:tcW w:w="397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住房公积金</w:t>
            </w:r>
          </w:p>
        </w:tc>
        <w:tc>
          <w:tcPr>
            <w:tcW w:w="208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46.20</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46.20</w:t>
            </w:r>
          </w:p>
        </w:tc>
        <w:tc>
          <w:tcPr>
            <w:tcW w:w="246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195" w:type="dxa"/>
          <w:trHeight w:val="200" w:hRule="atLeast"/>
        </w:trPr>
        <w:tc>
          <w:tcPr>
            <w:tcW w:w="16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11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w:t>
            </w:r>
          </w:p>
        </w:tc>
        <w:tc>
          <w:tcPr>
            <w:tcW w:w="397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商品和服务支出</w:t>
            </w:r>
          </w:p>
        </w:tc>
        <w:tc>
          <w:tcPr>
            <w:tcW w:w="208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63.39</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46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63.39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195" w:type="dxa"/>
          <w:trHeight w:val="200" w:hRule="atLeast"/>
        </w:trPr>
        <w:tc>
          <w:tcPr>
            <w:tcW w:w="16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w:t>
            </w:r>
          </w:p>
        </w:tc>
        <w:tc>
          <w:tcPr>
            <w:tcW w:w="11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30201</w:t>
            </w:r>
          </w:p>
        </w:tc>
        <w:tc>
          <w:tcPr>
            <w:tcW w:w="397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办公费</w:t>
            </w:r>
          </w:p>
        </w:tc>
        <w:tc>
          <w:tcPr>
            <w:tcW w:w="208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9.68</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46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9.68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195" w:type="dxa"/>
          <w:trHeight w:val="185" w:hRule="atLeast"/>
        </w:trPr>
        <w:tc>
          <w:tcPr>
            <w:tcW w:w="16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w:t>
            </w:r>
          </w:p>
        </w:tc>
        <w:tc>
          <w:tcPr>
            <w:tcW w:w="11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30205</w:t>
            </w:r>
          </w:p>
        </w:tc>
        <w:tc>
          <w:tcPr>
            <w:tcW w:w="397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水费</w:t>
            </w:r>
          </w:p>
        </w:tc>
        <w:tc>
          <w:tcPr>
            <w:tcW w:w="208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0.31</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46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0.31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195" w:type="dxa"/>
          <w:trHeight w:val="275" w:hRule="atLeast"/>
        </w:trPr>
        <w:tc>
          <w:tcPr>
            <w:tcW w:w="16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w:t>
            </w:r>
          </w:p>
        </w:tc>
        <w:tc>
          <w:tcPr>
            <w:tcW w:w="11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30206</w:t>
            </w:r>
          </w:p>
        </w:tc>
        <w:tc>
          <w:tcPr>
            <w:tcW w:w="397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电费</w:t>
            </w:r>
          </w:p>
        </w:tc>
        <w:tc>
          <w:tcPr>
            <w:tcW w:w="208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0.56</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46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0.56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195" w:type="dxa"/>
          <w:trHeight w:val="330" w:hRule="atLeast"/>
        </w:trPr>
        <w:tc>
          <w:tcPr>
            <w:tcW w:w="16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w:t>
            </w:r>
          </w:p>
        </w:tc>
        <w:tc>
          <w:tcPr>
            <w:tcW w:w="11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30207</w:t>
            </w:r>
          </w:p>
        </w:tc>
        <w:tc>
          <w:tcPr>
            <w:tcW w:w="397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邮电费</w:t>
            </w:r>
          </w:p>
        </w:tc>
        <w:tc>
          <w:tcPr>
            <w:tcW w:w="208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10.88</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46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10.88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195" w:type="dxa"/>
          <w:trHeight w:val="330" w:hRule="atLeast"/>
        </w:trPr>
        <w:tc>
          <w:tcPr>
            <w:tcW w:w="16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w:t>
            </w:r>
          </w:p>
        </w:tc>
        <w:tc>
          <w:tcPr>
            <w:tcW w:w="11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30211</w:t>
            </w:r>
          </w:p>
        </w:tc>
        <w:tc>
          <w:tcPr>
            <w:tcW w:w="397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差旅费</w:t>
            </w:r>
          </w:p>
        </w:tc>
        <w:tc>
          <w:tcPr>
            <w:tcW w:w="208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4.15</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46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195" w:type="dxa"/>
          <w:trHeight w:val="330" w:hRule="atLeast"/>
        </w:trPr>
        <w:tc>
          <w:tcPr>
            <w:tcW w:w="16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w:t>
            </w:r>
          </w:p>
        </w:tc>
        <w:tc>
          <w:tcPr>
            <w:tcW w:w="11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30213</w:t>
            </w:r>
          </w:p>
        </w:tc>
        <w:tc>
          <w:tcPr>
            <w:tcW w:w="397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维修(护)费</w:t>
            </w:r>
          </w:p>
        </w:tc>
        <w:tc>
          <w:tcPr>
            <w:tcW w:w="208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0.37</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46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0.37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195" w:type="dxa"/>
          <w:trHeight w:val="330" w:hRule="atLeast"/>
        </w:trPr>
        <w:tc>
          <w:tcPr>
            <w:tcW w:w="16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18</w:t>
            </w:r>
          </w:p>
        </w:tc>
        <w:tc>
          <w:tcPr>
            <w:tcW w:w="11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30215</w:t>
            </w:r>
          </w:p>
        </w:tc>
        <w:tc>
          <w:tcPr>
            <w:tcW w:w="397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会议费</w:t>
            </w:r>
          </w:p>
        </w:tc>
        <w:tc>
          <w:tcPr>
            <w:tcW w:w="208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1.74</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46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195" w:type="dxa"/>
          <w:trHeight w:val="330" w:hRule="atLeast"/>
        </w:trPr>
        <w:tc>
          <w:tcPr>
            <w:tcW w:w="16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w:t>
            </w:r>
          </w:p>
        </w:tc>
        <w:tc>
          <w:tcPr>
            <w:tcW w:w="11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30228</w:t>
            </w:r>
          </w:p>
        </w:tc>
        <w:tc>
          <w:tcPr>
            <w:tcW w:w="397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工会经费</w:t>
            </w:r>
          </w:p>
        </w:tc>
        <w:tc>
          <w:tcPr>
            <w:tcW w:w="208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3.00</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46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195" w:type="dxa"/>
          <w:trHeight w:val="330" w:hRule="atLeast"/>
        </w:trPr>
        <w:tc>
          <w:tcPr>
            <w:tcW w:w="16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w:t>
            </w:r>
          </w:p>
        </w:tc>
        <w:tc>
          <w:tcPr>
            <w:tcW w:w="11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30229</w:t>
            </w:r>
          </w:p>
        </w:tc>
        <w:tc>
          <w:tcPr>
            <w:tcW w:w="397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福利费</w:t>
            </w:r>
          </w:p>
        </w:tc>
        <w:tc>
          <w:tcPr>
            <w:tcW w:w="208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4.50</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46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195" w:type="dxa"/>
          <w:trHeight w:val="330" w:hRule="atLeast"/>
        </w:trPr>
        <w:tc>
          <w:tcPr>
            <w:tcW w:w="16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w:t>
            </w:r>
          </w:p>
        </w:tc>
        <w:tc>
          <w:tcPr>
            <w:tcW w:w="11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30231</w:t>
            </w:r>
          </w:p>
        </w:tc>
        <w:tc>
          <w:tcPr>
            <w:tcW w:w="397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公务用车运行维护费</w:t>
            </w:r>
          </w:p>
        </w:tc>
        <w:tc>
          <w:tcPr>
            <w:tcW w:w="208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8.00</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46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195" w:type="dxa"/>
          <w:trHeight w:val="330" w:hRule="atLeast"/>
        </w:trPr>
        <w:tc>
          <w:tcPr>
            <w:tcW w:w="16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w:t>
            </w:r>
          </w:p>
        </w:tc>
        <w:tc>
          <w:tcPr>
            <w:tcW w:w="11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30239</w:t>
            </w:r>
          </w:p>
        </w:tc>
        <w:tc>
          <w:tcPr>
            <w:tcW w:w="397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其他交通费用</w:t>
            </w:r>
          </w:p>
        </w:tc>
        <w:tc>
          <w:tcPr>
            <w:tcW w:w="208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20.20</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46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195" w:type="dxa"/>
          <w:trHeight w:val="330" w:hRule="atLeast"/>
        </w:trPr>
        <w:tc>
          <w:tcPr>
            <w:tcW w:w="16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23</w:t>
            </w:r>
          </w:p>
        </w:tc>
        <w:tc>
          <w:tcPr>
            <w:tcW w:w="11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303</w:t>
            </w:r>
          </w:p>
        </w:tc>
        <w:tc>
          <w:tcPr>
            <w:tcW w:w="397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对个人和家庭的补助</w:t>
            </w:r>
          </w:p>
        </w:tc>
        <w:tc>
          <w:tcPr>
            <w:tcW w:w="208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29.22</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29.22</w:t>
            </w:r>
          </w:p>
        </w:tc>
        <w:tc>
          <w:tcPr>
            <w:tcW w:w="246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195" w:type="dxa"/>
          <w:trHeight w:val="330" w:hRule="atLeast"/>
        </w:trPr>
        <w:tc>
          <w:tcPr>
            <w:tcW w:w="16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w:t>
            </w:r>
          </w:p>
        </w:tc>
        <w:tc>
          <w:tcPr>
            <w:tcW w:w="11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30302</w:t>
            </w:r>
          </w:p>
        </w:tc>
        <w:tc>
          <w:tcPr>
            <w:tcW w:w="397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退休费</w:t>
            </w:r>
          </w:p>
        </w:tc>
        <w:tc>
          <w:tcPr>
            <w:tcW w:w="208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16.22</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16.22</w:t>
            </w:r>
          </w:p>
        </w:tc>
        <w:tc>
          <w:tcPr>
            <w:tcW w:w="246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195" w:type="dxa"/>
          <w:trHeight w:val="330" w:hRule="atLeast"/>
        </w:trPr>
        <w:tc>
          <w:tcPr>
            <w:tcW w:w="16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25</w:t>
            </w:r>
          </w:p>
        </w:tc>
        <w:tc>
          <w:tcPr>
            <w:tcW w:w="11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30304</w:t>
            </w:r>
          </w:p>
        </w:tc>
        <w:tc>
          <w:tcPr>
            <w:tcW w:w="397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抚恤金</w:t>
            </w:r>
          </w:p>
        </w:tc>
        <w:tc>
          <w:tcPr>
            <w:tcW w:w="208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13.00</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13.00</w:t>
            </w:r>
          </w:p>
        </w:tc>
        <w:tc>
          <w:tcPr>
            <w:tcW w:w="246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60" w:type="dxa"/>
          <w:trHeight w:val="360" w:hRule="atLeast"/>
        </w:trPr>
        <w:tc>
          <w:tcPr>
            <w:tcW w:w="13965" w:type="dxa"/>
            <w:gridSpan w:val="19"/>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32"/>
                <w:szCs w:val="32"/>
                <w:u w:val="none"/>
                <w:lang w:val="en-US" w:eastAsia="zh-CN" w:bidi="ar"/>
              </w:rPr>
              <w:t>7、部门预算政府基金预算财政拨款支出表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60" w:type="dxa"/>
          <w:trHeight w:val="360" w:hRule="atLeast"/>
        </w:trPr>
        <w:tc>
          <w:tcPr>
            <w:tcW w:w="9165" w:type="dxa"/>
            <w:gridSpan w:val="13"/>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预算单位编码及名称：203中国共产党宁晋县委员会组织部</w:t>
            </w:r>
          </w:p>
        </w:tc>
        <w:tc>
          <w:tcPr>
            <w:tcW w:w="1860" w:type="dxa"/>
            <w:gridSpan w:val="2"/>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2940" w:type="dxa"/>
            <w:gridSpan w:val="4"/>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0" w:type="dxa"/>
          <w:trHeight w:val="360" w:hRule="atLeast"/>
        </w:trPr>
        <w:tc>
          <w:tcPr>
            <w:tcW w:w="157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4815"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支出功能分类科目</w:t>
            </w:r>
          </w:p>
        </w:tc>
        <w:tc>
          <w:tcPr>
            <w:tcW w:w="2775" w:type="dxa"/>
            <w:gridSpan w:val="5"/>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186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2940" w:type="dxa"/>
            <w:gridSpan w:val="4"/>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60" w:type="dxa"/>
          <w:trHeight w:val="360" w:hRule="atLeast"/>
        </w:trPr>
        <w:tc>
          <w:tcPr>
            <w:tcW w:w="15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2580"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223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2775"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86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2940"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0" w:type="dxa"/>
          <w:trHeight w:val="360" w:hRule="atLeast"/>
        </w:trPr>
        <w:tc>
          <w:tcPr>
            <w:tcW w:w="157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2580"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223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2775"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86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2940"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60" w:type="dxa"/>
          <w:trHeight w:val="288" w:hRule="atLeast"/>
        </w:trPr>
        <w:tc>
          <w:tcPr>
            <w:tcW w:w="1575" w:type="dxa"/>
            <w:gridSpan w:val="2"/>
            <w:tcBorders>
              <w:top w:val="nil"/>
              <w:left w:val="nil"/>
              <w:bottom w:val="nil"/>
              <w:right w:val="nil"/>
            </w:tcBorders>
            <w:shd w:val="clear" w:color="auto" w:fill="auto"/>
            <w:noWrap/>
            <w:vAlign w:val="top"/>
          </w:tcPr>
          <w:p>
            <w:pPr>
              <w:jc w:val="center"/>
              <w:rPr>
                <w:rFonts w:hint="eastAsia" w:ascii="Calibri" w:hAnsi="Calibri" w:eastAsia="宋体" w:cs="Calibri"/>
                <w:i w:val="0"/>
                <w:iCs w:val="0"/>
                <w:color w:val="000000"/>
                <w:sz w:val="22"/>
                <w:szCs w:val="22"/>
                <w:u w:val="none"/>
              </w:rPr>
            </w:pPr>
          </w:p>
        </w:tc>
        <w:tc>
          <w:tcPr>
            <w:tcW w:w="2580" w:type="dxa"/>
            <w:gridSpan w:val="4"/>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注：无部门预算国有资本经营预算，空表列示。</w:t>
            </w:r>
          </w:p>
        </w:tc>
        <w:tc>
          <w:tcPr>
            <w:tcW w:w="2235" w:type="dxa"/>
            <w:gridSpan w:val="2"/>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775" w:type="dxa"/>
            <w:gridSpan w:val="5"/>
            <w:tcBorders>
              <w:top w:val="nil"/>
              <w:left w:val="nil"/>
              <w:bottom w:val="nil"/>
              <w:right w:val="nil"/>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860" w:type="dxa"/>
            <w:gridSpan w:val="2"/>
            <w:tcBorders>
              <w:top w:val="nil"/>
              <w:left w:val="nil"/>
              <w:bottom w:val="nil"/>
              <w:right w:val="nil"/>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940" w:type="dxa"/>
            <w:gridSpan w:val="4"/>
            <w:tcBorders>
              <w:top w:val="nil"/>
              <w:left w:val="nil"/>
              <w:bottom w:val="nil"/>
              <w:right w:val="nil"/>
            </w:tcBorders>
            <w:shd w:val="clear" w:color="auto" w:fill="auto"/>
            <w:noWrap/>
            <w:vAlign w:val="top"/>
          </w:tcPr>
          <w:p>
            <w:pPr>
              <w:jc w:val="right"/>
              <w:rPr>
                <w:rFonts w:hint="default" w:ascii="Calibri" w:hAnsi="Calibri" w:eastAsia="宋体" w:cs="Calibri"/>
                <w:i w:val="0"/>
                <w:iCs w:val="0"/>
                <w:color w:val="000000"/>
                <w:sz w:val="22"/>
                <w:szCs w:val="22"/>
                <w:u w:val="none"/>
              </w:rPr>
            </w:pPr>
          </w:p>
        </w:tc>
      </w:tr>
    </w:tbl>
    <w:p>
      <w:pPr>
        <w:pStyle w:val="2"/>
        <w:ind w:left="0" w:leftChars="0" w:firstLine="0" w:firstLineChars="0"/>
      </w:pPr>
    </w:p>
    <w:p/>
    <w:p>
      <w:pPr>
        <w:pStyle w:val="2"/>
      </w:pPr>
    </w:p>
    <w:p/>
    <w:p>
      <w:pPr>
        <w:pStyle w:val="2"/>
      </w:pPr>
    </w:p>
    <w:p/>
    <w:p>
      <w:pPr>
        <w:pStyle w:val="2"/>
      </w:pPr>
    </w:p>
    <w:tbl>
      <w:tblPr>
        <w:tblStyle w:val="10"/>
        <w:tblW w:w="13995"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665"/>
        <w:gridCol w:w="2475"/>
        <w:gridCol w:w="2250"/>
        <w:gridCol w:w="2790"/>
        <w:gridCol w:w="1663"/>
        <w:gridCol w:w="315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3995" w:type="dxa"/>
            <w:gridSpan w:val="6"/>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32"/>
                <w:szCs w:val="32"/>
                <w:u w:val="none"/>
                <w:lang w:val="en-US" w:eastAsia="zh-CN" w:bidi="ar"/>
              </w:rPr>
              <w:t>8、部门预算国有资本经营预算财政拨款支出表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9180" w:type="dxa"/>
            <w:gridSpan w:val="4"/>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预算单位编码及名称：203中国共产党宁晋县委员会组织部</w:t>
            </w:r>
          </w:p>
        </w:tc>
        <w:tc>
          <w:tcPr>
            <w:tcW w:w="1663" w:type="dxa"/>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3152" w:type="dxa"/>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665"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472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支出功能分类科目</w:t>
            </w:r>
          </w:p>
        </w:tc>
        <w:tc>
          <w:tcPr>
            <w:tcW w:w="2790"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1663"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3152"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66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2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22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279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66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315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2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22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27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6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31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1665" w:type="dxa"/>
            <w:tcBorders>
              <w:top w:val="nil"/>
              <w:left w:val="nil"/>
              <w:bottom w:val="nil"/>
              <w:right w:val="nil"/>
            </w:tcBorders>
            <w:shd w:val="clear" w:color="auto" w:fill="auto"/>
            <w:noWrap/>
            <w:vAlign w:val="top"/>
          </w:tcPr>
          <w:p>
            <w:pPr>
              <w:jc w:val="center"/>
              <w:rPr>
                <w:rFonts w:hint="eastAsia" w:ascii="Calibri" w:hAnsi="Calibri" w:eastAsia="宋体" w:cs="Calibri"/>
                <w:i w:val="0"/>
                <w:iCs w:val="0"/>
                <w:color w:val="000000"/>
                <w:sz w:val="22"/>
                <w:szCs w:val="22"/>
                <w:u w:val="none"/>
              </w:rPr>
            </w:pPr>
          </w:p>
        </w:tc>
        <w:tc>
          <w:tcPr>
            <w:tcW w:w="247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注：无部门预算国有资本经营预算，空表列示。</w:t>
            </w:r>
          </w:p>
        </w:tc>
        <w:tc>
          <w:tcPr>
            <w:tcW w:w="225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790" w:type="dxa"/>
            <w:tcBorders>
              <w:top w:val="nil"/>
              <w:left w:val="nil"/>
              <w:bottom w:val="nil"/>
              <w:right w:val="nil"/>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663" w:type="dxa"/>
            <w:tcBorders>
              <w:top w:val="nil"/>
              <w:left w:val="nil"/>
              <w:bottom w:val="nil"/>
              <w:right w:val="nil"/>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152" w:type="dxa"/>
            <w:tcBorders>
              <w:top w:val="nil"/>
              <w:left w:val="nil"/>
              <w:bottom w:val="nil"/>
              <w:right w:val="nil"/>
            </w:tcBorders>
            <w:shd w:val="clear" w:color="auto" w:fill="auto"/>
            <w:noWrap/>
            <w:vAlign w:val="top"/>
          </w:tcPr>
          <w:p>
            <w:pPr>
              <w:jc w:val="right"/>
              <w:rPr>
                <w:rFonts w:hint="default" w:ascii="Calibri" w:hAnsi="Calibri" w:eastAsia="宋体" w:cs="Calibri"/>
                <w:i w:val="0"/>
                <w:iCs w:val="0"/>
                <w:color w:val="000000"/>
                <w:sz w:val="22"/>
                <w:szCs w:val="22"/>
                <w:u w:val="none"/>
              </w:rPr>
            </w:pPr>
          </w:p>
        </w:tc>
      </w:tr>
    </w:tbl>
    <w:p>
      <w:pPr>
        <w:spacing w:before="0" w:after="0" w:line="240" w:lineRule="auto"/>
        <w:ind w:firstLine="0"/>
        <w:jc w:val="both"/>
        <w:outlineLvl w:val="0"/>
        <w:rPr>
          <w:rFonts w:ascii="方正小标宋_GBK" w:hAnsi="方正小标宋_GBK" w:eastAsia="方正小标宋_GBK" w:cs="方正小标宋_GBK"/>
          <w:color w:val="000000"/>
          <w:sz w:val="44"/>
        </w:rPr>
      </w:pPr>
    </w:p>
    <w:p>
      <w:pPr>
        <w:pStyle w:val="2"/>
        <w:rPr>
          <w:rFonts w:ascii="方正小标宋_GBK" w:hAnsi="方正小标宋_GBK" w:eastAsia="方正小标宋_GBK" w:cs="方正小标宋_GBK"/>
          <w:color w:val="000000"/>
          <w:sz w:val="44"/>
        </w:rPr>
      </w:pPr>
    </w:p>
    <w:p>
      <w:pPr>
        <w:rPr>
          <w:rFonts w:ascii="方正小标宋_GBK" w:hAnsi="方正小标宋_GBK" w:eastAsia="方正小标宋_GBK" w:cs="方正小标宋_GBK"/>
          <w:color w:val="000000"/>
          <w:sz w:val="44"/>
        </w:rPr>
      </w:pPr>
    </w:p>
    <w:p/>
    <w:tbl>
      <w:tblPr>
        <w:tblStyle w:val="10"/>
        <w:tblW w:w="14025"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12"/>
        <w:gridCol w:w="4173"/>
        <w:gridCol w:w="2025"/>
        <w:gridCol w:w="2370"/>
        <w:gridCol w:w="2100"/>
        <w:gridCol w:w="274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402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32"/>
                <w:szCs w:val="32"/>
                <w:u w:val="none"/>
                <w:lang w:val="en-US" w:eastAsia="zh-CN" w:bidi="ar"/>
              </w:rPr>
              <w:t>9、部门预算财政拨款“三公”经费支出表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918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27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1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417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924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资金性质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61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1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20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一般公共预算财政拨款</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政府性基金财政拨款</w:t>
            </w:r>
          </w:p>
        </w:tc>
        <w:tc>
          <w:tcPr>
            <w:tcW w:w="27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41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20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27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61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417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合计</w:t>
            </w:r>
          </w:p>
        </w:tc>
        <w:tc>
          <w:tcPr>
            <w:tcW w:w="202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8.00</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4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61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417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“三公”经费小计</w:t>
            </w:r>
          </w:p>
        </w:tc>
        <w:tc>
          <w:tcPr>
            <w:tcW w:w="202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8.00</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4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61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417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一、因公出国（境）费</w:t>
            </w:r>
          </w:p>
        </w:tc>
        <w:tc>
          <w:tcPr>
            <w:tcW w:w="202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4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1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417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 xml:space="preserve">  </w:t>
            </w:r>
            <w:r>
              <w:rPr>
                <w:rStyle w:val="24"/>
                <w:lang w:val="en-US" w:eastAsia="zh-CN" w:bidi="ar"/>
              </w:rPr>
              <w:t>其中：教学科研人员因公出国（境）费</w:t>
            </w:r>
          </w:p>
        </w:tc>
        <w:tc>
          <w:tcPr>
            <w:tcW w:w="202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4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61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417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 xml:space="preserve">          其他因公出国（境）费</w:t>
            </w:r>
          </w:p>
        </w:tc>
        <w:tc>
          <w:tcPr>
            <w:tcW w:w="202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4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61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417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二、公务用车购置及运维费</w:t>
            </w:r>
          </w:p>
        </w:tc>
        <w:tc>
          <w:tcPr>
            <w:tcW w:w="202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8.00</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4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61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417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 xml:space="preserve">    其中：公务用车购置费</w:t>
            </w:r>
          </w:p>
        </w:tc>
        <w:tc>
          <w:tcPr>
            <w:tcW w:w="202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4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61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417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 xml:space="preserve">          公务用车运行维护费</w:t>
            </w:r>
          </w:p>
        </w:tc>
        <w:tc>
          <w:tcPr>
            <w:tcW w:w="202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8.00</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4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bl>
    <w:p>
      <w:pPr>
        <w:pStyle w:val="2"/>
      </w:pPr>
    </w:p>
    <w:p>
      <w:pPr>
        <w:rPr>
          <w:rFonts w:ascii="方正小标宋_GBK" w:hAnsi="方正小标宋_GBK" w:eastAsia="方正小标宋_GBK" w:cs="方正小标宋_GBK"/>
          <w:color w:val="000000"/>
          <w:sz w:val="32"/>
        </w:rPr>
      </w:pPr>
      <w:bookmarkStart w:id="0" w:name="_Toc_2_2_0000000002"/>
      <w:r>
        <w:rPr>
          <w:rFonts w:ascii="方正小标宋_GBK" w:hAnsi="方正小标宋_GBK" w:eastAsia="方正小标宋_GBK" w:cs="方正小标宋_GBK"/>
          <w:color w:val="000000"/>
          <w:sz w:val="32"/>
        </w:rPr>
        <w:br w:type="page"/>
      </w:r>
    </w:p>
    <w:p/>
    <w:p>
      <w:pPr>
        <w:pStyle w:val="2"/>
        <w:sectPr>
          <w:footerReference r:id="rId3" w:type="default"/>
          <w:footerReference r:id="rId4" w:type="even"/>
          <w:pgSz w:w="16840" w:h="11900" w:orient="landscape"/>
          <w:pgMar w:top="1020" w:right="1361" w:bottom="1020" w:left="1361" w:header="720" w:footer="720" w:gutter="0"/>
          <w:cols w:space="720" w:num="1"/>
        </w:sectPr>
      </w:pPr>
    </w:p>
    <w:p>
      <w:pPr>
        <w:spacing w:before="0" w:after="0"/>
        <w:ind w:firstLine="0"/>
        <w:jc w:val="both"/>
        <w:outlineLvl w:val="1"/>
        <w:rPr>
          <w:rFonts w:hint="eastAsia" w:ascii="方正小标宋_GBK" w:hAnsi="方正小标宋_GBK" w:eastAsia="方正小标宋_GBK" w:cs="方正小标宋_GBK"/>
          <w:color w:val="000000"/>
          <w:sz w:val="32"/>
          <w:szCs w:val="22"/>
          <w:lang w:eastAsia="zh-CN"/>
        </w:rPr>
      </w:pPr>
      <w:r>
        <w:rPr>
          <w:rFonts w:hint="eastAsia" w:ascii="方正小标宋_GBK" w:hAnsi="方正小标宋_GBK" w:eastAsia="方正小标宋_GBK" w:cs="方正小标宋_GBK"/>
          <w:color w:val="000000"/>
          <w:sz w:val="32"/>
          <w:szCs w:val="22"/>
          <w:lang w:eastAsia="zh-CN"/>
        </w:rPr>
        <w:t>一、部门职责及机构设置情况</w:t>
      </w:r>
    </w:p>
    <w:p>
      <w:pPr>
        <w:spacing w:before="0" w:after="0"/>
        <w:ind w:firstLine="0"/>
        <w:jc w:val="center"/>
        <w:outlineLvl w:val="1"/>
        <w:rPr>
          <w:sz w:val="22"/>
          <w:szCs w:val="22"/>
        </w:rPr>
      </w:pPr>
      <w:r>
        <w:rPr>
          <w:rFonts w:ascii="方正小标宋_GBK" w:hAnsi="方正小标宋_GBK" w:eastAsia="方正小标宋_GBK" w:cs="方正小标宋_GBK"/>
          <w:color w:val="000000"/>
          <w:sz w:val="32"/>
          <w:szCs w:val="22"/>
        </w:rPr>
        <w:t>部 门 职 责</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根据《中国共产党宁晋县委员会组织部职能配置、内设机构和人员编制规定》，中国共产党宁晋县委员会组织部的主要职责是：</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围绕党的重大理论和实践问题调查研究，提出加强全县党的建设的建议，负责党的建设制度改革的宏观指导，综合研究党的组织工作、干部工作、人才工作重要方针政策，制定或参与制定全县性重要政策和制度。</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统筹全县党员队伍建设、组织员队伍建设的宏观指导以及全县党员发展、教育、管理工作。指导全县党的组织制度、党内生活制度建设；协调指导全县党代表大会、党代表会议、人民代表大会、政治协商会议的选举工作；负责全县党代表大会代表的日常管理和服务工作；负责全县党组织建设特别是党的基层组织建设的调查研究、政策制定和宏观指导；负责全县抓党建促脱贫攻坚工作的谋划指导和组织推动；承担县委非公有制经济组织和社会组织工作委员会职责。</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负责各级领导班子和干部队伍建设的宏观管理。研究提出领导班子和领导干部队伍建设规划以及干部管理体制的建议，指导领导班子思想作风建设；负责事业单位领导人员宏观管理；负责提出乡镇（区、街道）、县直各部门以及其他列入县委管理的领导班子调整、配备的建议；负责县委管理干部的考察，办理职务任免、工资、待遇、退休审批手续；综合管理优秀年轻干部队伍，统筹选育管用工作，指导协调妇女干部、少数民族干部和党外干部培养选拔工作；负责对口支援西藏、新疆干部人才的选派管理及有关工作；负责军队转业干部安置工作；负责乡镇（区、街道）、县直部门股级干部的备案工作；负责全县选调生、大学生村官的选拔、管理、培养和宏观指导；负责干部档案工作的宏观指导。</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负责全县干部教育培训的宏观管理、统筹协调、指导检查；研究拟订全县干部教育工作规划，起草有关政策文件；组织实施县委管理干部和一定层次其他干部的培训；承担县委党员干部教育工作领导小组办公室职责。负责组织部门干部监督工作的综合协调和宏观指导；组织开展选人用人工作和执行干部监督制度规定情况的监督检查，处置反映违反干部选拔任用工作政策法规选人用人问题及领导干部相关问题的举报。负责全县干部考核工作的宏观指导和督导检查，组织实施对县委管理领导班子和领导干部的考核工作；指导全县机关目标绩效管理，组织实施县级机关职能绩效目标考核；承担县委干部考核领导小组办公室职责。</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研究拟订公务员、参照公务员法管理事业单位工作人员管理政策规定并组织实施。负责公务员、参照公务员法管理事业单位工作人员录用调配、考核奖惩、培训和工资福利等工作；指导全县公务员、参照公务员法管理事业单位工作人员队伍建设。</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负责全县人才工作和人才队伍建设的牵头抓总、统筹协调、推进落实。负责牵头人才政策规定和规划的制定、实施，推进人才发展体制机制的改革；负责县高端人才、县管优秀专家等高层次人才的联系服务工作；负责县管优秀专家的选拔管理；负责落实京津冀人才一体化发展的决策部署；承担县委人才工作领导小组办公室职责。</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（七）全面贯彻加强党对离退休干部工作集中统一领导要求。负责宣传贯彻落实党中央、</w:t>
      </w:r>
      <w:bookmarkStart w:id="36" w:name="_GoBack"/>
      <w:bookmarkEnd w:id="36"/>
      <w:r>
        <w:rPr>
          <w:rFonts w:hint="eastAsia" w:ascii="仿宋_GB2312" w:hAnsi="仿宋_GB2312" w:eastAsia="仿宋_GB2312" w:cs="仿宋_GB2312"/>
          <w:sz w:val="32"/>
          <w:szCs w:val="32"/>
          <w:lang w:val="en-US" w:eastAsia="zh-CN"/>
        </w:rPr>
        <w:t>国务院、省委省政府、市委市政府、县委县政府关于离退休干部工作的方针政策；拟定或参与拟订全县离退休干部工作有关具体规定和办法；总结宣传全县离退休干部工作和先进典型。负责指导、督促、检查各级各部门离退休干部工作；组织和协调有关部门做好离退休干部工作。加强对全县离退休干部的政治引领和教育管理。组织拟订和研究制定加强新形势下离退休干部党组织建设、做好离退休干部思想政治工作的制度办法和措施；指导和加强对离退休干部党组织书记的教育培训工作。</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负责督促检查各级各部门落实离退休干部的政治和生活待遇，做好走访慰问工作。抓好离休干部“两费”（离休费、医药费）的落实；负责县财政开支离休干部护理待遇相关工作；调查研究离退休干部政治和生活待遇中存在的问题，协调有关部门提出解决办法。</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指导全县老干部活动中心、老年大学（学校）和老干部门诊部等学习活动阵地的建设与管理，指导全县老干部休养所创新发展。指导各级各单位组织离退休干部利用自身优势，在政治、经济、文化和青少年教育等各领域发挥作用，增添正能量。了解离退休干部对医疗保健方面的意见和要求。组织指导离退休干部开展健康科学的文化健身、保健讲座、健康疗养、参观学习等活动。</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十）负责离退休干部的安置工作（包括易地安置）。负责进出县离退休干部易地安置相关工作，协助上级部门办理补发离休荣誉证，协助县政府办理离退休干部优待（先）证。负责回宁老干部探亲访友和外地老干部工作部门到宁的联络接待工作。会同有关部门拟定治丧办法。指导逝世老干部的善后工作，协助承办县委交办的丧葬事宜。承担县老干部工作领导小组的日常工作。承担县委离退休干部工作委员会工作；承担县关心下一代工作委员会工作。                                                                                                                                                                                                                                                                                                                                                                                                                                                                                                                                                                                                                                                                                                                                                                                                                                                                                                                                                                                                                                                                                                                                                                                                                                                                                                                                                                                                                                                                                                                                                                                                                                                                                                  </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（十一）负责全县组织工作的检查督促，及时向县委反映重要情况，提出建议。</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（十二）统一管理县委机构编制委员会办公室。</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（十三）完成县委交办的其他任务。</w:t>
      </w:r>
    </w:p>
    <w:p>
      <w:pPr>
        <w:spacing w:before="0" w:after="0"/>
        <w:ind w:firstLine="0"/>
        <w:jc w:val="center"/>
        <w:outlineLvl w:val="1"/>
        <w:rPr>
          <w:rFonts w:hint="eastAsia" w:ascii="方正小标宋_GBK" w:hAnsi="方正小标宋_GBK" w:eastAsia="方正小标宋_GBK" w:cs="方正小标宋_GBK"/>
          <w:color w:val="000000"/>
          <w:sz w:val="36"/>
          <w:lang w:val="en-US" w:eastAsia="zh-CN"/>
        </w:rPr>
      </w:pPr>
    </w:p>
    <w:p>
      <w:pPr>
        <w:spacing w:before="0" w:after="0"/>
        <w:ind w:firstLine="0"/>
        <w:jc w:val="center"/>
        <w:outlineLvl w:val="1"/>
        <w:rPr>
          <w:rFonts w:hint="eastAsia" w:ascii="方正小标宋_GBK" w:hAnsi="方正小标宋_GBK" w:eastAsia="方正小标宋_GBK" w:cs="方正小标宋_GBK"/>
          <w:color w:val="000000"/>
          <w:sz w:val="36"/>
          <w:lang w:val="en-US" w:eastAsia="zh-CN"/>
        </w:rPr>
      </w:pPr>
      <w:r>
        <w:rPr>
          <w:rFonts w:hint="eastAsia" w:ascii="方正小标宋_GBK" w:hAnsi="方正小标宋_GBK" w:eastAsia="方正小标宋_GBK" w:cs="方正小标宋_GBK"/>
          <w:color w:val="000000"/>
          <w:sz w:val="36"/>
          <w:lang w:val="en-US" w:eastAsia="zh-CN"/>
        </w:rPr>
        <w:t>内设机构</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sz w:val="32"/>
          <w:szCs w:val="32"/>
          <w:lang w:val="en-US" w:eastAsia="zh-CN"/>
        </w:rPr>
        <w:t>根据以上职责内容，宁晋县委组织部设14个内部机构，办公室（研究室、政策法规股） 、组织指导股（组织员办公室）</w:t>
      </w:r>
      <w:r>
        <w:rPr>
          <w:rFonts w:hint="eastAsia" w:ascii="宋体" w:hAnsi="宋体" w:eastAsia="宋体" w:cs="宋体"/>
          <w:sz w:val="24"/>
          <w:szCs w:val="24"/>
          <w:lang w:val="en-US" w:eastAsia="zh-CN"/>
        </w:rPr>
        <w:t>、</w:t>
      </w:r>
      <w:r>
        <w:rPr>
          <w:rFonts w:hint="eastAsia" w:ascii="仿宋_GB2312" w:hAnsi="仿宋_GB2312" w:eastAsia="仿宋_GB2312" w:cs="仿宋_GB2312"/>
          <w:sz w:val="32"/>
          <w:szCs w:val="32"/>
          <w:lang w:val="en-US" w:eastAsia="zh-CN"/>
        </w:rPr>
        <w:t>基层组织股、非公有制经济组织和社会组织党建股、干部监督股、公务员管理指导股</w:t>
      </w:r>
      <w:r>
        <w:rPr>
          <w:rFonts w:hint="eastAsia" w:ascii="Times New Roman" w:hAnsi="Times New Roman" w:eastAsia="仿宋_GB2312"/>
          <w:sz w:val="32"/>
          <w:szCs w:val="32"/>
          <w:lang w:eastAsia="zh-CN"/>
        </w:rPr>
        <w:t>、</w:t>
      </w:r>
      <w:r>
        <w:rPr>
          <w:rFonts w:hint="eastAsia" w:ascii="仿宋_GB2312" w:hAnsi="仿宋_GB2312" w:eastAsia="仿宋_GB2312" w:cs="仿宋_GB2312"/>
          <w:sz w:val="32"/>
          <w:szCs w:val="32"/>
          <w:lang w:val="en-US" w:eastAsia="zh-CN"/>
        </w:rPr>
        <w:t>公务员工资福利股、人才工作股、干部教育股、干部考核股、干部信息中心、</w:t>
      </w:r>
      <w:r>
        <w:rPr>
          <w:rFonts w:hint="eastAsia" w:ascii="仿宋_GB2312" w:hAnsi="仿宋_GB2312" w:eastAsia="仿宋_GB2312" w:cs="仿宋_GB2312"/>
          <w:b w:val="0"/>
          <w:bCs w:val="0"/>
          <w:sz w:val="32"/>
          <w:szCs w:val="32"/>
          <w:lang w:val="en-US" w:eastAsia="zh-CN"/>
        </w:rPr>
        <w:t>离退休干部综合管理股(关心下一代工作委员会办公室)、离退休干部党建指导股(离退休干部党工委办公室)、离退休干部服务股。</w:t>
      </w:r>
    </w:p>
    <w:p>
      <w:pPr>
        <w:spacing w:before="0" w:after="0"/>
        <w:ind w:firstLine="0"/>
        <w:jc w:val="center"/>
        <w:outlineLvl w:val="1"/>
        <w:rPr>
          <w:rFonts w:hint="eastAsia" w:ascii="方正小标宋_GBK" w:hAnsi="方正小标宋_GBK" w:eastAsia="方正小标宋_GBK" w:cs="方正小标宋_GBK"/>
          <w:color w:val="000000"/>
          <w:sz w:val="36"/>
          <w:lang w:val="en-US" w:eastAsia="zh-CN"/>
        </w:rPr>
      </w:pPr>
      <w:r>
        <w:rPr>
          <w:rFonts w:hint="eastAsia" w:ascii="方正小标宋_GBK" w:hAnsi="方正小标宋_GBK" w:eastAsia="方正小标宋_GBK" w:cs="方正小标宋_GBK"/>
          <w:color w:val="000000"/>
          <w:sz w:val="36"/>
          <w:lang w:val="en-US" w:eastAsia="zh-CN"/>
        </w:rPr>
        <w:t>部门预算单位构成</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从预算单位构成看，宁晋委组织部2022年度部门预算包括部门本级预算。</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纳入宁晋县委组织部2022年度部门预算编制范围的单位共1个，详细情况见下表：</w:t>
      </w:r>
    </w:p>
    <w:tbl>
      <w:tblPr>
        <w:tblStyle w:val="10"/>
        <w:tblW w:w="8034" w:type="dxa"/>
        <w:tblInd w:w="624" w:type="dxa"/>
        <w:shd w:val="clear" w:color="auto" w:fill="FFFFFF"/>
        <w:tblLayout w:type="fixed"/>
        <w:tblCellMar>
          <w:top w:w="0" w:type="dxa"/>
          <w:left w:w="0" w:type="dxa"/>
          <w:bottom w:w="0" w:type="dxa"/>
          <w:right w:w="0" w:type="dxa"/>
        </w:tblCellMar>
      </w:tblPr>
      <w:tblGrid>
        <w:gridCol w:w="3090"/>
        <w:gridCol w:w="1442"/>
        <w:gridCol w:w="1545"/>
        <w:gridCol w:w="1957"/>
      </w:tblGrid>
      <w:tr>
        <w:tblPrEx>
          <w:shd w:val="clear" w:color="auto" w:fill="FFFFFF"/>
          <w:tblCellMar>
            <w:top w:w="0" w:type="dxa"/>
            <w:left w:w="0" w:type="dxa"/>
            <w:bottom w:w="0" w:type="dxa"/>
            <w:right w:w="0" w:type="dxa"/>
          </w:tblCellMar>
        </w:tblPrEx>
        <w:trPr>
          <w:trHeight w:val="600" w:hRule="exact"/>
        </w:trPr>
        <w:tc>
          <w:tcPr>
            <w:tcW w:w="3090" w:type="dxa"/>
            <w:tcBorders>
              <w:top w:val="single" w:color="auto" w:sz="8" w:space="0"/>
              <w:left w:val="single" w:color="auto" w:sz="4" w:space="0"/>
              <w:bottom w:val="single" w:color="auto" w:sz="4" w:space="0"/>
              <w:right w:val="single" w:color="auto" w:sz="4" w:space="0"/>
            </w:tcBorders>
            <w:shd w:val="clear" w:color="auto" w:fill="FFFFFF"/>
            <w:tcMar>
              <w:top w:w="0" w:type="dxa"/>
              <w:left w:w="108" w:type="dxa"/>
              <w:bottom w:w="0" w:type="dxa"/>
              <w:right w:w="108" w:type="dxa"/>
            </w:tcMar>
            <w:vAlign w:val="center"/>
          </w:tcPr>
          <w:p>
            <w:pPr>
              <w:jc w:val="center"/>
              <w:rPr>
                <w:rFonts w:hint="eastAsia" w:ascii="宋体" w:hAnsi="宋体"/>
                <w:b/>
                <w:color w:val="auto"/>
                <w:sz w:val="28"/>
                <w:szCs w:val="28"/>
              </w:rPr>
            </w:pPr>
            <w:r>
              <w:rPr>
                <w:rFonts w:hint="eastAsia" w:ascii="宋体" w:hAnsi="宋体"/>
                <w:b/>
                <w:color w:val="auto"/>
                <w:sz w:val="28"/>
                <w:szCs w:val="28"/>
              </w:rPr>
              <w:t>单位名称</w:t>
            </w:r>
          </w:p>
        </w:tc>
        <w:tc>
          <w:tcPr>
            <w:tcW w:w="1442" w:type="dxa"/>
            <w:tcBorders>
              <w:top w:val="single" w:color="auto" w:sz="8" w:space="0"/>
              <w:left w:val="single" w:color="auto" w:sz="4" w:space="0"/>
              <w:bottom w:val="single" w:color="auto" w:sz="4" w:space="0"/>
              <w:right w:val="single" w:color="auto" w:sz="4" w:space="0"/>
            </w:tcBorders>
            <w:shd w:val="clear" w:color="auto" w:fill="FFFFFF"/>
            <w:tcMar>
              <w:top w:w="0" w:type="dxa"/>
              <w:left w:w="108" w:type="dxa"/>
              <w:bottom w:w="0" w:type="dxa"/>
              <w:right w:w="108" w:type="dxa"/>
            </w:tcMar>
            <w:vAlign w:val="center"/>
          </w:tcPr>
          <w:p>
            <w:pPr>
              <w:jc w:val="center"/>
              <w:rPr>
                <w:rFonts w:hint="eastAsia" w:ascii="宋体" w:hAnsi="宋体"/>
                <w:b/>
                <w:color w:val="auto"/>
                <w:sz w:val="28"/>
                <w:szCs w:val="28"/>
              </w:rPr>
            </w:pPr>
            <w:r>
              <w:rPr>
                <w:rFonts w:hint="eastAsia" w:ascii="宋体" w:hAnsi="宋体"/>
                <w:b/>
                <w:color w:val="auto"/>
                <w:sz w:val="28"/>
                <w:szCs w:val="28"/>
              </w:rPr>
              <w:t>单位性质</w:t>
            </w:r>
          </w:p>
        </w:tc>
        <w:tc>
          <w:tcPr>
            <w:tcW w:w="1545" w:type="dxa"/>
            <w:tcBorders>
              <w:top w:val="single" w:color="auto" w:sz="8" w:space="0"/>
              <w:left w:val="single" w:color="auto" w:sz="4" w:space="0"/>
              <w:bottom w:val="single" w:color="auto" w:sz="4" w:space="0"/>
              <w:right w:val="single" w:color="auto" w:sz="4" w:space="0"/>
            </w:tcBorders>
            <w:shd w:val="clear" w:color="auto" w:fill="FFFFFF"/>
            <w:tcMar>
              <w:top w:w="0" w:type="dxa"/>
              <w:left w:w="108" w:type="dxa"/>
              <w:bottom w:w="0" w:type="dxa"/>
              <w:right w:w="108" w:type="dxa"/>
            </w:tcMar>
            <w:vAlign w:val="center"/>
          </w:tcPr>
          <w:p>
            <w:pPr>
              <w:jc w:val="center"/>
              <w:rPr>
                <w:rFonts w:hint="eastAsia" w:ascii="宋体" w:hAnsi="宋体"/>
                <w:b/>
                <w:color w:val="auto"/>
                <w:sz w:val="28"/>
                <w:szCs w:val="28"/>
              </w:rPr>
            </w:pPr>
            <w:r>
              <w:rPr>
                <w:rFonts w:hint="eastAsia" w:ascii="宋体" w:hAnsi="宋体"/>
                <w:b/>
                <w:color w:val="auto"/>
                <w:sz w:val="28"/>
                <w:szCs w:val="28"/>
              </w:rPr>
              <w:t>单位规格</w:t>
            </w:r>
          </w:p>
        </w:tc>
        <w:tc>
          <w:tcPr>
            <w:tcW w:w="1957" w:type="dxa"/>
            <w:tcBorders>
              <w:top w:val="single" w:color="auto" w:sz="8" w:space="0"/>
              <w:left w:val="single" w:color="auto" w:sz="4" w:space="0"/>
              <w:bottom w:val="single" w:color="auto" w:sz="4" w:space="0"/>
              <w:right w:val="single" w:color="auto" w:sz="8" w:space="0"/>
            </w:tcBorders>
            <w:shd w:val="clear" w:color="auto" w:fill="FFFFFF"/>
            <w:tcMar>
              <w:top w:w="0" w:type="dxa"/>
              <w:left w:w="108" w:type="dxa"/>
              <w:bottom w:w="0" w:type="dxa"/>
              <w:right w:w="108" w:type="dxa"/>
            </w:tcMar>
            <w:vAlign w:val="center"/>
          </w:tcPr>
          <w:p>
            <w:pPr>
              <w:jc w:val="center"/>
              <w:rPr>
                <w:rFonts w:hint="eastAsia" w:ascii="宋体" w:hAnsi="宋体"/>
                <w:b/>
                <w:color w:val="auto"/>
                <w:sz w:val="28"/>
                <w:szCs w:val="28"/>
              </w:rPr>
            </w:pPr>
            <w:r>
              <w:rPr>
                <w:rFonts w:hint="eastAsia" w:ascii="宋体" w:hAnsi="宋体"/>
                <w:b/>
                <w:color w:val="auto"/>
                <w:sz w:val="28"/>
                <w:szCs w:val="28"/>
              </w:rPr>
              <w:t>经费保障形式</w:t>
            </w:r>
          </w:p>
        </w:tc>
      </w:tr>
      <w:tr>
        <w:tblPrEx>
          <w:shd w:val="clear" w:color="auto" w:fill="FFFFFF"/>
          <w:tblCellMar>
            <w:top w:w="0" w:type="dxa"/>
            <w:left w:w="0" w:type="dxa"/>
            <w:bottom w:w="0" w:type="dxa"/>
            <w:right w:w="0" w:type="dxa"/>
          </w:tblCellMar>
        </w:tblPrEx>
        <w:trPr>
          <w:trHeight w:val="862" w:hRule="exact"/>
        </w:trPr>
        <w:tc>
          <w:tcPr>
            <w:tcW w:w="3090" w:type="dxa"/>
            <w:tcBorders>
              <w:top w:val="single" w:color="auto" w:sz="4" w:space="0"/>
              <w:left w:val="single" w:color="auto" w:sz="4" w:space="0"/>
              <w:bottom w:val="single" w:color="auto" w:sz="4" w:space="0"/>
              <w:right w:val="single" w:color="auto" w:sz="4" w:space="0"/>
            </w:tcBorders>
            <w:shd w:val="clear" w:color="auto" w:fill="FFFFFF"/>
            <w:tcMar>
              <w:top w:w="0" w:type="dxa"/>
              <w:left w:w="108" w:type="dxa"/>
              <w:bottom w:w="0" w:type="dxa"/>
              <w:right w:w="108" w:type="dxa"/>
            </w:tcMar>
            <w:vAlign w:val="center"/>
          </w:tcPr>
          <w:p>
            <w:pPr>
              <w:jc w:val="center"/>
              <w:rPr>
                <w:rFonts w:hint="eastAsia" w:ascii="宋体" w:hAnsi="宋体"/>
                <w:color w:val="auto"/>
                <w:sz w:val="28"/>
                <w:szCs w:val="28"/>
              </w:rPr>
            </w:pPr>
            <w:r>
              <w:rPr>
                <w:rFonts w:hint="eastAsia" w:ascii="宋体" w:hAnsi="宋体"/>
                <w:color w:val="auto"/>
                <w:sz w:val="28"/>
                <w:szCs w:val="28"/>
              </w:rPr>
              <w:t>宁晋县委组织部本级</w:t>
            </w:r>
          </w:p>
        </w:tc>
        <w:tc>
          <w:tcPr>
            <w:tcW w:w="1442" w:type="dxa"/>
            <w:tcBorders>
              <w:top w:val="single" w:color="auto" w:sz="4" w:space="0"/>
              <w:left w:val="single" w:color="auto" w:sz="4" w:space="0"/>
              <w:bottom w:val="single" w:color="auto" w:sz="4" w:space="0"/>
              <w:right w:val="single" w:color="auto" w:sz="4" w:space="0"/>
            </w:tcBorders>
            <w:shd w:val="clear" w:color="auto" w:fill="FFFFFF"/>
            <w:tcMar>
              <w:top w:w="0" w:type="dxa"/>
              <w:left w:w="108" w:type="dxa"/>
              <w:bottom w:w="0" w:type="dxa"/>
              <w:right w:w="108" w:type="dxa"/>
            </w:tcMar>
            <w:vAlign w:val="center"/>
          </w:tcPr>
          <w:p>
            <w:pPr>
              <w:jc w:val="center"/>
              <w:rPr>
                <w:rFonts w:hint="eastAsia" w:ascii="宋体" w:hAnsi="宋体"/>
                <w:color w:val="auto"/>
                <w:sz w:val="28"/>
                <w:szCs w:val="28"/>
              </w:rPr>
            </w:pPr>
            <w:r>
              <w:rPr>
                <w:rFonts w:hint="eastAsia" w:ascii="宋体" w:hAnsi="宋体"/>
                <w:color w:val="auto"/>
                <w:sz w:val="28"/>
                <w:szCs w:val="28"/>
              </w:rPr>
              <w:t>行政</w:t>
            </w:r>
          </w:p>
        </w:tc>
        <w:tc>
          <w:tcPr>
            <w:tcW w:w="1545" w:type="dxa"/>
            <w:tcBorders>
              <w:top w:val="single" w:color="auto" w:sz="4" w:space="0"/>
              <w:left w:val="single" w:color="auto" w:sz="4" w:space="0"/>
              <w:bottom w:val="single" w:color="auto" w:sz="4" w:space="0"/>
              <w:right w:val="single" w:color="auto" w:sz="4" w:space="0"/>
            </w:tcBorders>
            <w:shd w:val="clear" w:color="auto" w:fill="FFFFFF"/>
            <w:tcMar>
              <w:top w:w="0" w:type="dxa"/>
              <w:left w:w="108" w:type="dxa"/>
              <w:bottom w:w="0" w:type="dxa"/>
              <w:right w:w="108" w:type="dxa"/>
            </w:tcMar>
            <w:vAlign w:val="center"/>
          </w:tcPr>
          <w:p>
            <w:pPr>
              <w:jc w:val="center"/>
              <w:rPr>
                <w:rFonts w:hint="eastAsia" w:ascii="宋体" w:hAnsi="宋体"/>
                <w:color w:val="auto"/>
                <w:sz w:val="28"/>
                <w:szCs w:val="28"/>
              </w:rPr>
            </w:pPr>
            <w:r>
              <w:rPr>
                <w:rFonts w:hint="eastAsia" w:ascii="宋体" w:hAnsi="宋体"/>
                <w:color w:val="auto"/>
                <w:sz w:val="28"/>
                <w:szCs w:val="28"/>
              </w:rPr>
              <w:t>正科</w:t>
            </w:r>
          </w:p>
        </w:tc>
        <w:tc>
          <w:tcPr>
            <w:tcW w:w="1957" w:type="dxa"/>
            <w:tcBorders>
              <w:top w:val="single" w:color="auto" w:sz="4" w:space="0"/>
              <w:left w:val="single" w:color="auto" w:sz="4" w:space="0"/>
              <w:bottom w:val="single" w:color="auto" w:sz="4" w:space="0"/>
              <w:right w:val="single" w:color="auto" w:sz="8" w:space="0"/>
            </w:tcBorders>
            <w:shd w:val="clear" w:color="auto" w:fill="FFFFFF"/>
            <w:tcMar>
              <w:top w:w="0" w:type="dxa"/>
              <w:left w:w="108" w:type="dxa"/>
              <w:bottom w:w="0" w:type="dxa"/>
              <w:right w:w="108" w:type="dxa"/>
            </w:tcMar>
            <w:vAlign w:val="center"/>
          </w:tcPr>
          <w:p>
            <w:pPr>
              <w:jc w:val="center"/>
              <w:rPr>
                <w:rFonts w:hint="eastAsia" w:ascii="宋体" w:hAnsi="宋体"/>
                <w:color w:val="auto"/>
                <w:sz w:val="28"/>
                <w:szCs w:val="28"/>
              </w:rPr>
            </w:pPr>
            <w:r>
              <w:rPr>
                <w:rFonts w:hint="eastAsia" w:ascii="宋体" w:hAnsi="宋体"/>
                <w:color w:val="auto"/>
                <w:sz w:val="28"/>
                <w:szCs w:val="28"/>
              </w:rPr>
              <w:t>财政拨款</w:t>
            </w:r>
          </w:p>
        </w:tc>
      </w:tr>
    </w:tbl>
    <w:p>
      <w:pPr>
        <w:spacing w:before="0" w:after="0"/>
        <w:ind w:firstLine="0"/>
        <w:jc w:val="center"/>
        <w:outlineLvl w:val="1"/>
        <w:rPr>
          <w:rFonts w:hint="eastAsia" w:ascii="方正小标宋_GBK" w:hAnsi="方正小标宋_GBK" w:eastAsia="方正小标宋_GBK" w:cs="方正小标宋_GBK"/>
          <w:color w:val="000000"/>
          <w:sz w:val="36"/>
          <w:lang w:val="en-US" w:eastAsia="zh-CN"/>
        </w:rPr>
      </w:pPr>
    </w:p>
    <w:p>
      <w:pPr>
        <w:spacing w:before="0" w:after="0"/>
        <w:ind w:firstLine="0"/>
        <w:jc w:val="center"/>
        <w:outlineLvl w:val="1"/>
        <w:rPr>
          <w:rFonts w:hint="eastAsia" w:ascii="方正小标宋_GBK" w:hAnsi="方正小标宋_GBK" w:eastAsia="方正小标宋_GBK" w:cs="方正小标宋_GBK"/>
          <w:color w:val="000000"/>
          <w:sz w:val="36"/>
          <w:lang w:val="en-US" w:eastAsia="zh-CN"/>
        </w:rPr>
      </w:pPr>
    </w:p>
    <w:p>
      <w:pPr>
        <w:spacing w:before="0" w:after="0"/>
        <w:ind w:firstLine="0"/>
        <w:jc w:val="center"/>
        <w:outlineLvl w:val="1"/>
        <w:rPr>
          <w:rFonts w:hint="eastAsia" w:ascii="方正小标宋_GBK" w:hAnsi="方正小标宋_GBK" w:eastAsia="方正小标宋_GBK" w:cs="方正小标宋_GBK"/>
          <w:color w:val="000000"/>
          <w:sz w:val="36"/>
          <w:lang w:val="en-US" w:eastAsia="zh-CN"/>
        </w:rPr>
      </w:pPr>
    </w:p>
    <w:p>
      <w:pPr>
        <w:spacing w:before="0" w:after="0"/>
        <w:ind w:firstLine="0"/>
        <w:jc w:val="center"/>
        <w:outlineLvl w:val="1"/>
        <w:rPr>
          <w:rFonts w:hint="eastAsia" w:ascii="方正小标宋_GBK" w:hAnsi="方正小标宋_GBK" w:eastAsia="方正小标宋_GBK" w:cs="方正小标宋_GBK"/>
          <w:color w:val="000000"/>
          <w:sz w:val="36"/>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both"/>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二、部门预算安排的总体情况</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按照预算管理有关规定，目前我县部门预算的编制实行综合预算制度，即全部收入和支出都反映的预算中。</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both"/>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 xml:space="preserve">1.收入说明 </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反应本部门当年全部收入，2022年预算收入6765.78万元，其中一般公共预算拨款6765.78万元,基金预算收入0万元，财政专户核拨收入0万元，其他来源收入0万元。</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both"/>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2.支出说明</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收支预算总表支出栏、基本支出表、项目支出表按经济分类和支出功能分类科目编制，反映中共宁晋县委组织部年度部门预算中支出预算的总体情况。2022年部门支出预算为6765.78万元，其中基本支出771.36万元，包括人员经费707.97万元和日常公用经费63.39万元；项目支出5994.42万元，全部为本级支出。</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both"/>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3.比上年增减情况</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2022年部门预算较2021年减少306.22万元，其中：基本支出增加147.85万元，主要是增加人员经费和日常公用经费；项目支出减少454.07万元，主要是减少农村后备干部财政培养补贴、中华人民共和国成立前老党员生活补贴等项目资金减少。</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both"/>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三、机关运行经费安排情况</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2022年度宁晋县委组织部机关运行经费63.39万元，比2021年增加2.37万元，其中办公费6.85万元，水费0.31万元，电费0.56万元，办公取暖费1.36万元，邮电费0.95万元，差旅费4.15万元，会议费1.74万元，维修费0.37万元，报刊费0.51万元，公务用车运行维护费8万元。</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both"/>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四、财政拨款“三公”经费预算情况</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2022年“三公”经费预算数为8万元，公务用车购置及运维费8万元（其中：公务用车购置费0万元，公务用车运行维护费8万元）。2022年“三公”经费预算与2021年持平。2021年、2022年均未安排因公出国经费及公车购置费。</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both"/>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五、绩效预算信息情况</w:t>
      </w:r>
    </w:p>
    <w:bookmarkEnd w:id="0"/>
    <w:p>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both"/>
        <w:textAlignment w:val="auto"/>
        <w:rPr>
          <w:rFonts w:hint="eastAsia" w:ascii="仿宋_GB2312" w:hAnsi="仿宋_GB2312" w:eastAsia="仿宋_GB2312" w:cs="仿宋_GB2312"/>
          <w:b/>
          <w:bCs/>
          <w:sz w:val="32"/>
          <w:szCs w:val="32"/>
          <w:lang w:val="en-US" w:eastAsia="zh-CN"/>
        </w:rPr>
      </w:pPr>
      <w:bookmarkStart w:id="1" w:name="_Toc_2_2_0000000001"/>
      <w:r>
        <w:rPr>
          <w:rFonts w:hint="eastAsia" w:ascii="仿宋_GB2312" w:hAnsi="仿宋_GB2312" w:eastAsia="仿宋_GB2312" w:cs="仿宋_GB2312"/>
          <w:b/>
          <w:bCs/>
          <w:sz w:val="32"/>
          <w:szCs w:val="32"/>
          <w:lang w:val="en-US" w:eastAsia="zh-CN"/>
        </w:rPr>
        <w:t>一、总体绩效目标</w:t>
      </w:r>
      <w:bookmarkEnd w:id="1"/>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加强党的全面领导，把讲政治的要求贯穿组织工作全过程，与落实省、市、县委"三重四创五优化"活动和市委"一三五十"总体思路相结合，在大抓落实、大干实事中锤炼政治判断力、政治领悟力、政治执行力。 深入开展排查整治"回头看"，严格"五选""十不选"标准，提高人选质量，选优配强村（社区）"两委"班子特别是党组织书记，组织开展新任村（社区）党组织书记集中轮训，年内将村（社区）党组织书记轮训一遍。 制定推进基层组织建设规范化实施方案。健全农村"五位一体"组织体系和社区"六位一体"组织体系，常态化整顿软弱涣散基层党组织，加大抓党建促农村宗教治理工作力度。深化社区网格化管理服务，加强社区物业党建联建，健全社区工作者职业体系，完善在职党员社区报到、参与治理服务常态化机制。落实基层党建工作责任制，开展党组织书记抓基层党建工作述职评议考核。 加强干部日常监督，深化政治监督、政治督查。持续推进领导干部个人有关事项即时报告制度，严格提醒、约谈、函询和诚勉等制度。</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both"/>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二、分项绩效目标</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一是扎实稳妥做好县乡换届工作。二是加大从严治吏力度。三是做好高层次人才引进工作。四是建立大抓基层有效机制。 </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both"/>
        <w:textAlignment w:val="auto"/>
        <w:rPr>
          <w:rFonts w:hint="eastAsia" w:ascii="仿宋_GB2312" w:hAnsi="仿宋_GB2312" w:eastAsia="仿宋_GB2312" w:cs="仿宋_GB2312"/>
          <w:b/>
          <w:bCs/>
          <w:sz w:val="32"/>
          <w:szCs w:val="32"/>
          <w:lang w:val="en-US" w:eastAsia="zh-CN"/>
        </w:rPr>
      </w:pPr>
      <w:bookmarkStart w:id="2" w:name="_Toc_2_2_0000000003"/>
      <w:r>
        <w:rPr>
          <w:rFonts w:hint="eastAsia" w:ascii="仿宋_GB2312" w:hAnsi="仿宋_GB2312" w:eastAsia="仿宋_GB2312" w:cs="仿宋_GB2312"/>
          <w:b/>
          <w:bCs/>
          <w:sz w:val="32"/>
          <w:szCs w:val="32"/>
          <w:lang w:val="en-US" w:eastAsia="zh-CN"/>
        </w:rPr>
        <w:t>三、工作保障措施</w:t>
      </w:r>
      <w:bookmarkEnd w:id="2"/>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加强党的全面领导，把讲政治的要求贯穿组织工作全过程，与落实省、市、县委"三重四创五优化"活动和市委"一三五十"总体思路相结合，在大抓落实、大干实事中锤炼政治判断力、政治领悟力、政治执行力。 </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深入开展排查整治"回头看"，严格"五选""十不选"标准，提高人选质量，选优配强村（社区）"两委"班子特别是党组织书记，组织开展新任村（社区）党组织书记集中轮训，年内将村（社区）党组织书记轮训一遍。 </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制定推进基层组织建设规范化实施方案。健全农村"五位一体"组织体系和社区"六位一体"组织体系，常态化整顿软弱涣散基层党组织，加大抓党建促农村宗教治理工作力度。深化社区网格化管理服务，加强社区物业党建联建，健全社区工作者职业体系，完善在职党员社区报到、参与治理服务常态化机制。落实基层党建工作责任制，开展党组织书记抓基层党建工作述职评议考核。 </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加强干部日常监督，深化政治监督、政治督查。持续推进领导干部个人有关事项即时报告制度，严格提醒、约谈、函询和诚勉等制度。</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both"/>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四、预算项目绩效目标表</w:t>
      </w:r>
    </w:p>
    <w:p>
      <w:pPr>
        <w:pStyle w:val="2"/>
        <w:rPr>
          <w:rFonts w:hint="eastAsia" w:ascii="仿宋_GB2312" w:hAnsi="仿宋_GB2312" w:eastAsia="仿宋_GB2312" w:cs="仿宋_GB2312"/>
          <w:b/>
          <w:bCs/>
          <w:sz w:val="32"/>
          <w:szCs w:val="32"/>
          <w:lang w:val="en-US" w:eastAsia="zh-CN"/>
        </w:rPr>
      </w:pPr>
    </w:p>
    <w:p>
      <w:pPr>
        <w:rPr>
          <w:rFonts w:hint="eastAsia" w:ascii="仿宋_GB2312" w:hAnsi="仿宋_GB2312" w:eastAsia="仿宋_GB2312" w:cs="仿宋_GB2312"/>
          <w:b/>
          <w:bCs/>
          <w:sz w:val="32"/>
          <w:szCs w:val="32"/>
          <w:lang w:val="en-US" w:eastAsia="zh-CN"/>
        </w:rPr>
      </w:pPr>
    </w:p>
    <w:p>
      <w:pPr>
        <w:pStyle w:val="2"/>
        <w:rPr>
          <w:rFonts w:hint="eastAsia" w:ascii="仿宋_GB2312" w:hAnsi="仿宋_GB2312" w:eastAsia="仿宋_GB2312" w:cs="仿宋_GB2312"/>
          <w:b/>
          <w:bCs/>
          <w:sz w:val="32"/>
          <w:szCs w:val="32"/>
          <w:lang w:val="en-US" w:eastAsia="zh-CN"/>
        </w:rPr>
      </w:pPr>
    </w:p>
    <w:p>
      <w:pPr>
        <w:rPr>
          <w:rFonts w:hint="eastAsia" w:ascii="仿宋_GB2312" w:hAnsi="仿宋_GB2312" w:eastAsia="仿宋_GB2312" w:cs="仿宋_GB2312"/>
          <w:b/>
          <w:bCs/>
          <w:sz w:val="32"/>
          <w:szCs w:val="32"/>
          <w:lang w:val="en-US" w:eastAsia="zh-CN"/>
        </w:rPr>
      </w:pPr>
    </w:p>
    <w:p>
      <w:pPr>
        <w:pStyle w:val="2"/>
        <w:rPr>
          <w:rFonts w:hint="eastAsia" w:ascii="仿宋_GB2312" w:hAnsi="仿宋_GB2312" w:eastAsia="仿宋_GB2312" w:cs="仿宋_GB2312"/>
          <w:b/>
          <w:bCs/>
          <w:sz w:val="32"/>
          <w:szCs w:val="32"/>
          <w:lang w:val="en-US" w:eastAsia="zh-CN"/>
        </w:rPr>
      </w:pPr>
    </w:p>
    <w:p>
      <w:pPr>
        <w:rPr>
          <w:rFonts w:hint="eastAsia" w:ascii="仿宋_GB2312" w:hAnsi="仿宋_GB2312" w:eastAsia="仿宋_GB2312" w:cs="仿宋_GB2312"/>
          <w:b/>
          <w:bCs/>
          <w:sz w:val="32"/>
          <w:szCs w:val="32"/>
          <w:lang w:val="en-US" w:eastAsia="zh-CN"/>
        </w:rPr>
      </w:pPr>
    </w:p>
    <w:p>
      <w:pPr>
        <w:pStyle w:val="2"/>
        <w:rPr>
          <w:rFonts w:hint="eastAsia" w:ascii="仿宋_GB2312" w:hAnsi="仿宋_GB2312" w:eastAsia="仿宋_GB2312" w:cs="仿宋_GB2312"/>
          <w:b/>
          <w:bCs/>
          <w:sz w:val="32"/>
          <w:szCs w:val="32"/>
          <w:lang w:val="en-US" w:eastAsia="zh-CN"/>
        </w:rPr>
      </w:pPr>
    </w:p>
    <w:p>
      <w:pPr>
        <w:rPr>
          <w:rFonts w:hint="eastAsia" w:ascii="仿宋_GB2312" w:hAnsi="仿宋_GB2312" w:eastAsia="仿宋_GB2312" w:cs="仿宋_GB2312"/>
          <w:b/>
          <w:bCs/>
          <w:sz w:val="32"/>
          <w:szCs w:val="32"/>
          <w:lang w:val="en-US" w:eastAsia="zh-CN"/>
        </w:rPr>
      </w:pPr>
    </w:p>
    <w:p>
      <w:pPr>
        <w:pStyle w:val="2"/>
        <w:rPr>
          <w:rFonts w:hint="eastAsia" w:ascii="仿宋_GB2312" w:hAnsi="仿宋_GB2312" w:eastAsia="仿宋_GB2312" w:cs="仿宋_GB2312"/>
          <w:b/>
          <w:bCs/>
          <w:sz w:val="32"/>
          <w:szCs w:val="32"/>
          <w:lang w:val="en-US" w:eastAsia="zh-CN"/>
        </w:rPr>
      </w:pPr>
    </w:p>
    <w:p>
      <w:pPr>
        <w:rPr>
          <w:rFonts w:hint="eastAsia" w:ascii="仿宋_GB2312" w:hAnsi="仿宋_GB2312" w:eastAsia="仿宋_GB2312" w:cs="仿宋_GB2312"/>
          <w:b/>
          <w:bCs/>
          <w:sz w:val="32"/>
          <w:szCs w:val="32"/>
          <w:lang w:val="en-US" w:eastAsia="zh-CN"/>
        </w:rPr>
      </w:pPr>
    </w:p>
    <w:p>
      <w:pPr>
        <w:pStyle w:val="2"/>
        <w:rPr>
          <w:rFonts w:hint="eastAsia" w:ascii="仿宋_GB2312" w:hAnsi="仿宋_GB2312" w:eastAsia="仿宋_GB2312" w:cs="仿宋_GB2312"/>
          <w:b/>
          <w:bCs/>
          <w:sz w:val="32"/>
          <w:szCs w:val="32"/>
          <w:lang w:val="en-US" w:eastAsia="zh-CN"/>
        </w:rPr>
      </w:pPr>
    </w:p>
    <w:p>
      <w:pPr>
        <w:rPr>
          <w:rFonts w:hint="eastAsia" w:ascii="仿宋_GB2312" w:hAnsi="仿宋_GB2312" w:eastAsia="仿宋_GB2312" w:cs="仿宋_GB2312"/>
          <w:b/>
          <w:bCs/>
          <w:sz w:val="32"/>
          <w:szCs w:val="32"/>
          <w:lang w:val="en-US" w:eastAsia="zh-CN"/>
        </w:rPr>
      </w:pPr>
    </w:p>
    <w:p>
      <w:pPr>
        <w:pStyle w:val="2"/>
        <w:rPr>
          <w:rFonts w:hint="eastAsia" w:ascii="仿宋_GB2312" w:hAnsi="仿宋_GB2312" w:eastAsia="仿宋_GB2312" w:cs="仿宋_GB2312"/>
          <w:b/>
          <w:bCs/>
          <w:sz w:val="32"/>
          <w:szCs w:val="32"/>
          <w:lang w:val="en-US" w:eastAsia="zh-CN"/>
        </w:rPr>
      </w:pPr>
    </w:p>
    <w:p>
      <w:pPr>
        <w:rPr>
          <w:rFonts w:hint="eastAsia" w:ascii="仿宋_GB2312" w:hAnsi="仿宋_GB2312" w:eastAsia="仿宋_GB2312" w:cs="仿宋_GB2312"/>
          <w:b/>
          <w:bCs/>
          <w:sz w:val="32"/>
          <w:szCs w:val="32"/>
          <w:lang w:val="en-US" w:eastAsia="zh-CN"/>
        </w:rPr>
      </w:pPr>
    </w:p>
    <w:p>
      <w:pPr>
        <w:pStyle w:val="2"/>
        <w:rPr>
          <w:rFonts w:hint="eastAsia" w:ascii="仿宋_GB2312" w:hAnsi="仿宋_GB2312" w:eastAsia="仿宋_GB2312" w:cs="仿宋_GB2312"/>
          <w:b/>
          <w:bCs/>
          <w:sz w:val="32"/>
          <w:szCs w:val="32"/>
          <w:lang w:val="en-US" w:eastAsia="zh-CN"/>
        </w:rPr>
      </w:pPr>
    </w:p>
    <w:p/>
    <w:p>
      <w:pPr>
        <w:spacing w:before="0" w:after="0"/>
        <w:ind w:firstLine="560"/>
        <w:jc w:val="center"/>
        <w:outlineLvl w:val="3"/>
      </w:pPr>
      <w:bookmarkStart w:id="3" w:name="_Toc_4_4_0000000004"/>
      <w:r>
        <w:rPr>
          <w:rFonts w:ascii="方正仿宋_GBK" w:hAnsi="方正仿宋_GBK" w:eastAsia="方正仿宋_GBK" w:cs="方正仿宋_GBK"/>
          <w:color w:val="000000"/>
          <w:sz w:val="28"/>
        </w:rPr>
        <w:t>1.2022关心下一代工作活动经费绩效目标表</w:t>
      </w:r>
      <w:bookmarkEnd w:id="3"/>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w:t>
            </w:r>
            <w:r>
              <w:rPr>
                <w:rFonts w:hint="eastAsia"/>
                <w:lang w:val="en-US" w:eastAsia="zh-CN"/>
              </w:rPr>
              <w:t xml:space="preserve"> </w:t>
            </w:r>
            <w:r>
              <w:t>中国共产党宁晋县委员会组织部</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绩效目标</w:t>
            </w:r>
          </w:p>
        </w:tc>
        <w:tc>
          <w:tcPr>
            <w:tcW w:w="7962" w:type="dxa"/>
            <w:gridSpan w:val="2"/>
            <w:vAlign w:val="center"/>
          </w:tcPr>
          <w:p>
            <w:pPr>
              <w:pStyle w:val="19"/>
            </w:pPr>
            <w:r>
              <w:t>用于关心下一代工作活动经费</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设置资助筛选条件</w:t>
            </w:r>
          </w:p>
        </w:tc>
        <w:tc>
          <w:tcPr>
            <w:tcW w:w="2654" w:type="dxa"/>
            <w:vAlign w:val="center"/>
          </w:tcPr>
          <w:p>
            <w:pPr>
              <w:pStyle w:val="19"/>
            </w:pPr>
            <w:r>
              <w:t>对特困青少年进行资助</w:t>
            </w:r>
          </w:p>
        </w:tc>
        <w:tc>
          <w:tcPr>
            <w:tcW w:w="1327" w:type="dxa"/>
            <w:vAlign w:val="center"/>
          </w:tcPr>
          <w:p>
            <w:pPr>
              <w:pStyle w:val="19"/>
            </w:pPr>
            <w:r>
              <w:t>≤10条</w:t>
            </w:r>
          </w:p>
        </w:tc>
        <w:tc>
          <w:tcPr>
            <w:tcW w:w="1327" w:type="dxa"/>
            <w:vAlign w:val="center"/>
          </w:tcPr>
          <w:p>
            <w:pPr>
              <w:pStyle w:val="19"/>
            </w:pPr>
            <w:r>
              <w:t>设置资助筛选条件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改善青少年学习环境</w:t>
            </w:r>
          </w:p>
        </w:tc>
        <w:tc>
          <w:tcPr>
            <w:tcW w:w="2654" w:type="dxa"/>
            <w:vAlign w:val="center"/>
          </w:tcPr>
          <w:p>
            <w:pPr>
              <w:pStyle w:val="19"/>
            </w:pPr>
            <w:r>
              <w:t>改善青少年学习环境</w:t>
            </w:r>
          </w:p>
        </w:tc>
        <w:tc>
          <w:tcPr>
            <w:tcW w:w="1327" w:type="dxa"/>
            <w:vAlign w:val="center"/>
          </w:tcPr>
          <w:p>
            <w:pPr>
              <w:pStyle w:val="19"/>
            </w:pPr>
            <w:r>
              <w:t>≥100百分比</w:t>
            </w:r>
          </w:p>
        </w:tc>
        <w:tc>
          <w:tcPr>
            <w:tcW w:w="1327" w:type="dxa"/>
            <w:vAlign w:val="center"/>
          </w:tcPr>
          <w:p>
            <w:pPr>
              <w:pStyle w:val="19"/>
            </w:pPr>
            <w:r>
              <w:t>改善青少年学习环境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及时性</w:t>
            </w:r>
          </w:p>
        </w:tc>
        <w:tc>
          <w:tcPr>
            <w:tcW w:w="2654" w:type="dxa"/>
            <w:vAlign w:val="center"/>
          </w:tcPr>
          <w:p>
            <w:pPr>
              <w:pStyle w:val="19"/>
            </w:pPr>
            <w:r>
              <w:t>按时完成补助</w:t>
            </w:r>
          </w:p>
        </w:tc>
        <w:tc>
          <w:tcPr>
            <w:tcW w:w="1327" w:type="dxa"/>
            <w:vAlign w:val="center"/>
          </w:tcPr>
          <w:p>
            <w:pPr>
              <w:pStyle w:val="19"/>
            </w:pPr>
            <w:r>
              <w:t>≥100百分比</w:t>
            </w:r>
          </w:p>
        </w:tc>
        <w:tc>
          <w:tcPr>
            <w:tcW w:w="1327" w:type="dxa"/>
            <w:vAlign w:val="center"/>
          </w:tcPr>
          <w:p>
            <w:pPr>
              <w:pStyle w:val="19"/>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预算执行</w:t>
            </w:r>
          </w:p>
        </w:tc>
        <w:tc>
          <w:tcPr>
            <w:tcW w:w="2654" w:type="dxa"/>
            <w:vAlign w:val="center"/>
          </w:tcPr>
          <w:p>
            <w:pPr>
              <w:pStyle w:val="19"/>
            </w:pPr>
            <w:r>
              <w:t>完成年度预算资金安排</w:t>
            </w:r>
          </w:p>
        </w:tc>
        <w:tc>
          <w:tcPr>
            <w:tcW w:w="1327" w:type="dxa"/>
            <w:vAlign w:val="center"/>
          </w:tcPr>
          <w:p>
            <w:pPr>
              <w:pStyle w:val="19"/>
            </w:pPr>
            <w:r>
              <w:t>≥100百分比</w:t>
            </w:r>
          </w:p>
        </w:tc>
        <w:tc>
          <w:tcPr>
            <w:tcW w:w="1327" w:type="dxa"/>
            <w:vAlign w:val="center"/>
          </w:tcPr>
          <w:p>
            <w:pPr>
              <w:pStyle w:val="19"/>
            </w:pPr>
            <w:r>
              <w:t>完成年度预算资金安排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可持续影响指标</w:t>
            </w:r>
          </w:p>
        </w:tc>
        <w:tc>
          <w:tcPr>
            <w:tcW w:w="1327" w:type="dxa"/>
            <w:vAlign w:val="center"/>
          </w:tcPr>
          <w:p>
            <w:pPr>
              <w:pStyle w:val="19"/>
            </w:pPr>
            <w:r>
              <w:t>可持续性服务</w:t>
            </w:r>
          </w:p>
        </w:tc>
        <w:tc>
          <w:tcPr>
            <w:tcW w:w="2654" w:type="dxa"/>
            <w:vAlign w:val="center"/>
          </w:tcPr>
          <w:p>
            <w:pPr>
              <w:pStyle w:val="19"/>
            </w:pPr>
            <w:r>
              <w:t>可持续性服务</w:t>
            </w:r>
          </w:p>
        </w:tc>
        <w:tc>
          <w:tcPr>
            <w:tcW w:w="1327" w:type="dxa"/>
            <w:vAlign w:val="center"/>
          </w:tcPr>
          <w:p>
            <w:pPr>
              <w:pStyle w:val="19"/>
            </w:pPr>
            <w:r>
              <w:t>≥100百分比</w:t>
            </w:r>
          </w:p>
        </w:tc>
        <w:tc>
          <w:tcPr>
            <w:tcW w:w="1327" w:type="dxa"/>
            <w:vAlign w:val="center"/>
          </w:tcPr>
          <w:p>
            <w:pPr>
              <w:pStyle w:val="19"/>
            </w:pPr>
            <w:r>
              <w:t>可持续性服务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经济效益指标</w:t>
            </w:r>
          </w:p>
        </w:tc>
        <w:tc>
          <w:tcPr>
            <w:tcW w:w="1327" w:type="dxa"/>
            <w:vAlign w:val="center"/>
          </w:tcPr>
          <w:p>
            <w:pPr>
              <w:pStyle w:val="19"/>
            </w:pPr>
            <w:r>
              <w:t>资金的使用效率</w:t>
            </w:r>
          </w:p>
        </w:tc>
        <w:tc>
          <w:tcPr>
            <w:tcW w:w="2654" w:type="dxa"/>
            <w:vAlign w:val="center"/>
          </w:tcPr>
          <w:p>
            <w:pPr>
              <w:pStyle w:val="19"/>
            </w:pPr>
            <w:r>
              <w:t>资金的使用效率</w:t>
            </w:r>
          </w:p>
        </w:tc>
        <w:tc>
          <w:tcPr>
            <w:tcW w:w="1327" w:type="dxa"/>
            <w:vAlign w:val="center"/>
          </w:tcPr>
          <w:p>
            <w:pPr>
              <w:pStyle w:val="19"/>
            </w:pPr>
            <w:r>
              <w:t>≥100百分比</w:t>
            </w:r>
          </w:p>
        </w:tc>
        <w:tc>
          <w:tcPr>
            <w:tcW w:w="1327" w:type="dxa"/>
            <w:vAlign w:val="center"/>
          </w:tcPr>
          <w:p>
            <w:pPr>
              <w:pStyle w:val="19"/>
            </w:pPr>
            <w:r>
              <w:t>资金的使用效率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救助贫困青少年人数</w:t>
            </w:r>
          </w:p>
        </w:tc>
        <w:tc>
          <w:tcPr>
            <w:tcW w:w="2654" w:type="dxa"/>
            <w:vAlign w:val="center"/>
          </w:tcPr>
          <w:p>
            <w:pPr>
              <w:pStyle w:val="19"/>
            </w:pPr>
            <w:r>
              <w:t>救助贫困青少年人数</w:t>
            </w:r>
          </w:p>
        </w:tc>
        <w:tc>
          <w:tcPr>
            <w:tcW w:w="1327" w:type="dxa"/>
            <w:vAlign w:val="center"/>
          </w:tcPr>
          <w:p>
            <w:pPr>
              <w:pStyle w:val="19"/>
            </w:pPr>
            <w:r>
              <w:t>≥10人次</w:t>
            </w:r>
          </w:p>
        </w:tc>
        <w:tc>
          <w:tcPr>
            <w:tcW w:w="1327" w:type="dxa"/>
            <w:vAlign w:val="center"/>
          </w:tcPr>
          <w:p>
            <w:pPr>
              <w:pStyle w:val="19"/>
            </w:pPr>
            <w:r>
              <w:t>救助贫困青少年人数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生态效益提升值</w:t>
            </w:r>
          </w:p>
        </w:tc>
        <w:tc>
          <w:tcPr>
            <w:tcW w:w="2654" w:type="dxa"/>
            <w:vAlign w:val="center"/>
          </w:tcPr>
          <w:p>
            <w:pPr>
              <w:pStyle w:val="19"/>
            </w:pPr>
            <w:r>
              <w:t>促进社会经济及各项事业发展</w:t>
            </w:r>
          </w:p>
        </w:tc>
        <w:tc>
          <w:tcPr>
            <w:tcW w:w="1327" w:type="dxa"/>
            <w:vAlign w:val="center"/>
          </w:tcPr>
          <w:p>
            <w:pPr>
              <w:pStyle w:val="19"/>
            </w:pPr>
            <w:r>
              <w:t>≥100百分比</w:t>
            </w:r>
          </w:p>
        </w:tc>
        <w:tc>
          <w:tcPr>
            <w:tcW w:w="1327" w:type="dxa"/>
            <w:vAlign w:val="center"/>
          </w:tcPr>
          <w:p>
            <w:pPr>
              <w:pStyle w:val="19"/>
            </w:pPr>
            <w:r>
              <w:t>生态效益提升值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群众满意度</w:t>
            </w:r>
          </w:p>
        </w:tc>
        <w:tc>
          <w:tcPr>
            <w:tcW w:w="2654" w:type="dxa"/>
            <w:vAlign w:val="center"/>
          </w:tcPr>
          <w:p>
            <w:pPr>
              <w:pStyle w:val="19"/>
            </w:pPr>
            <w:r>
              <w:t>群众整体满意度</w:t>
            </w:r>
          </w:p>
        </w:tc>
        <w:tc>
          <w:tcPr>
            <w:tcW w:w="1327" w:type="dxa"/>
            <w:vAlign w:val="center"/>
          </w:tcPr>
          <w:p>
            <w:pPr>
              <w:pStyle w:val="19"/>
            </w:pPr>
            <w:r>
              <w:t>≥100百分比</w:t>
            </w:r>
          </w:p>
        </w:tc>
        <w:tc>
          <w:tcPr>
            <w:tcW w:w="1327" w:type="dxa"/>
            <w:vAlign w:val="center"/>
          </w:tcPr>
          <w:p>
            <w:pPr>
              <w:pStyle w:val="19"/>
            </w:pPr>
            <w:r>
              <w:t>群众整体满意度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bookmarkStart w:id="4" w:name="_Toc_4_4_0000000005"/>
      <w:r>
        <w:rPr>
          <w:rFonts w:ascii="方正仿宋_GBK" w:hAnsi="方正仿宋_GBK" w:eastAsia="方正仿宋_GBK" w:cs="方正仿宋_GBK"/>
          <w:color w:val="000000"/>
          <w:sz w:val="28"/>
        </w:rPr>
        <w:t>2.2022老干部活动中心水电暖及日常维护管理费绩效目标表</w:t>
      </w:r>
      <w:bookmarkEnd w:id="4"/>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w:t>
            </w:r>
            <w:r>
              <w:rPr>
                <w:rFonts w:hint="eastAsia"/>
                <w:lang w:val="en-US" w:eastAsia="zh-CN"/>
              </w:rPr>
              <w:t xml:space="preserve"> </w:t>
            </w:r>
            <w:r>
              <w:t>中国共产党宁晋县委员会组织部</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绩效目标</w:t>
            </w:r>
          </w:p>
        </w:tc>
        <w:tc>
          <w:tcPr>
            <w:tcW w:w="7962" w:type="dxa"/>
            <w:gridSpan w:val="2"/>
            <w:vAlign w:val="center"/>
          </w:tcPr>
          <w:p>
            <w:pPr>
              <w:pStyle w:val="19"/>
            </w:pPr>
            <w:r>
              <w:t>用于老干部活动中心水电暖及日常维护维修</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保障活动中心水电暖供应</w:t>
            </w:r>
          </w:p>
        </w:tc>
        <w:tc>
          <w:tcPr>
            <w:tcW w:w="2654" w:type="dxa"/>
            <w:vAlign w:val="center"/>
          </w:tcPr>
          <w:p>
            <w:pPr>
              <w:pStyle w:val="19"/>
            </w:pPr>
            <w:r>
              <w:t>按时缴纳水电暖费</w:t>
            </w:r>
          </w:p>
        </w:tc>
        <w:tc>
          <w:tcPr>
            <w:tcW w:w="1327" w:type="dxa"/>
            <w:vAlign w:val="center"/>
          </w:tcPr>
          <w:p>
            <w:pPr>
              <w:pStyle w:val="19"/>
            </w:pPr>
            <w:r>
              <w:t>≥100百分比</w:t>
            </w:r>
          </w:p>
        </w:tc>
        <w:tc>
          <w:tcPr>
            <w:tcW w:w="1327" w:type="dxa"/>
            <w:vAlign w:val="center"/>
          </w:tcPr>
          <w:p>
            <w:pPr>
              <w:pStyle w:val="19"/>
            </w:pPr>
            <w:r>
              <w:t>按时缴纳水电暖费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专款专用率</w:t>
            </w:r>
          </w:p>
        </w:tc>
        <w:tc>
          <w:tcPr>
            <w:tcW w:w="2654" w:type="dxa"/>
            <w:vAlign w:val="center"/>
          </w:tcPr>
          <w:p>
            <w:pPr>
              <w:pStyle w:val="19"/>
            </w:pPr>
            <w:r>
              <w:t>专款专用率</w:t>
            </w:r>
          </w:p>
        </w:tc>
        <w:tc>
          <w:tcPr>
            <w:tcW w:w="1327" w:type="dxa"/>
            <w:vAlign w:val="center"/>
          </w:tcPr>
          <w:p>
            <w:pPr>
              <w:pStyle w:val="19"/>
            </w:pPr>
            <w:r>
              <w:t>≥100百分比</w:t>
            </w:r>
          </w:p>
        </w:tc>
        <w:tc>
          <w:tcPr>
            <w:tcW w:w="1327" w:type="dxa"/>
            <w:vAlign w:val="center"/>
          </w:tcPr>
          <w:p>
            <w:pPr>
              <w:pStyle w:val="19"/>
            </w:pPr>
            <w:r>
              <w:t>专款专用率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工作按时完成率</w:t>
            </w:r>
          </w:p>
        </w:tc>
        <w:tc>
          <w:tcPr>
            <w:tcW w:w="2654" w:type="dxa"/>
            <w:vAlign w:val="center"/>
          </w:tcPr>
          <w:p>
            <w:pPr>
              <w:pStyle w:val="19"/>
            </w:pPr>
            <w:r>
              <w:t>工作按时完成率</w:t>
            </w:r>
          </w:p>
        </w:tc>
        <w:tc>
          <w:tcPr>
            <w:tcW w:w="1327" w:type="dxa"/>
            <w:vAlign w:val="center"/>
          </w:tcPr>
          <w:p>
            <w:pPr>
              <w:pStyle w:val="19"/>
            </w:pPr>
            <w:r>
              <w:t>≥100百分比</w:t>
            </w:r>
          </w:p>
        </w:tc>
        <w:tc>
          <w:tcPr>
            <w:tcW w:w="1327" w:type="dxa"/>
            <w:vAlign w:val="center"/>
          </w:tcPr>
          <w:p>
            <w:pPr>
              <w:pStyle w:val="19"/>
            </w:pPr>
            <w:r>
              <w:t>工作按时完成率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预算执行</w:t>
            </w:r>
          </w:p>
        </w:tc>
        <w:tc>
          <w:tcPr>
            <w:tcW w:w="2654" w:type="dxa"/>
            <w:vAlign w:val="center"/>
          </w:tcPr>
          <w:p>
            <w:pPr>
              <w:pStyle w:val="19"/>
            </w:pPr>
            <w:r>
              <w:t>完成年度预算资金安排</w:t>
            </w:r>
          </w:p>
        </w:tc>
        <w:tc>
          <w:tcPr>
            <w:tcW w:w="1327" w:type="dxa"/>
            <w:vAlign w:val="center"/>
          </w:tcPr>
          <w:p>
            <w:pPr>
              <w:pStyle w:val="19"/>
            </w:pPr>
            <w:r>
              <w:t>≥100百分比</w:t>
            </w:r>
          </w:p>
        </w:tc>
        <w:tc>
          <w:tcPr>
            <w:tcW w:w="1327" w:type="dxa"/>
            <w:vAlign w:val="center"/>
          </w:tcPr>
          <w:p>
            <w:pPr>
              <w:pStyle w:val="19"/>
            </w:pPr>
            <w:r>
              <w:t>完成年度预算资金安排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可持续影响指标</w:t>
            </w:r>
          </w:p>
        </w:tc>
        <w:tc>
          <w:tcPr>
            <w:tcW w:w="1327" w:type="dxa"/>
            <w:vAlign w:val="center"/>
          </w:tcPr>
          <w:p>
            <w:pPr>
              <w:pStyle w:val="19"/>
            </w:pPr>
            <w:r>
              <w:t>可持续性服务</w:t>
            </w:r>
          </w:p>
        </w:tc>
        <w:tc>
          <w:tcPr>
            <w:tcW w:w="2654" w:type="dxa"/>
            <w:vAlign w:val="center"/>
          </w:tcPr>
          <w:p>
            <w:pPr>
              <w:pStyle w:val="19"/>
            </w:pPr>
            <w:r>
              <w:t>可持续性服务</w:t>
            </w:r>
          </w:p>
        </w:tc>
        <w:tc>
          <w:tcPr>
            <w:tcW w:w="1327" w:type="dxa"/>
            <w:vAlign w:val="center"/>
          </w:tcPr>
          <w:p>
            <w:pPr>
              <w:pStyle w:val="19"/>
            </w:pPr>
            <w:r>
              <w:t>≥100百分比</w:t>
            </w:r>
          </w:p>
        </w:tc>
        <w:tc>
          <w:tcPr>
            <w:tcW w:w="1327" w:type="dxa"/>
            <w:vAlign w:val="center"/>
          </w:tcPr>
          <w:p>
            <w:pPr>
              <w:pStyle w:val="19"/>
            </w:pPr>
            <w:r>
              <w:t>可持续性服务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经济效益指标</w:t>
            </w:r>
          </w:p>
        </w:tc>
        <w:tc>
          <w:tcPr>
            <w:tcW w:w="1327" w:type="dxa"/>
            <w:vAlign w:val="center"/>
          </w:tcPr>
          <w:p>
            <w:pPr>
              <w:pStyle w:val="19"/>
            </w:pPr>
            <w:r>
              <w:t>资金的使用效率</w:t>
            </w:r>
          </w:p>
        </w:tc>
        <w:tc>
          <w:tcPr>
            <w:tcW w:w="2654" w:type="dxa"/>
            <w:vAlign w:val="center"/>
          </w:tcPr>
          <w:p>
            <w:pPr>
              <w:pStyle w:val="19"/>
            </w:pPr>
            <w:r>
              <w:t>资金的使用效率</w:t>
            </w:r>
          </w:p>
        </w:tc>
        <w:tc>
          <w:tcPr>
            <w:tcW w:w="1327" w:type="dxa"/>
            <w:vAlign w:val="center"/>
          </w:tcPr>
          <w:p>
            <w:pPr>
              <w:pStyle w:val="19"/>
            </w:pPr>
            <w:r>
              <w:t>≥100百分比</w:t>
            </w:r>
          </w:p>
        </w:tc>
        <w:tc>
          <w:tcPr>
            <w:tcW w:w="1327" w:type="dxa"/>
            <w:vAlign w:val="center"/>
          </w:tcPr>
          <w:p>
            <w:pPr>
              <w:pStyle w:val="19"/>
            </w:pPr>
            <w:r>
              <w:t>资金的使用效率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综合事务管理完成情况</w:t>
            </w:r>
          </w:p>
        </w:tc>
        <w:tc>
          <w:tcPr>
            <w:tcW w:w="2654" w:type="dxa"/>
            <w:vAlign w:val="center"/>
          </w:tcPr>
          <w:p>
            <w:pPr>
              <w:pStyle w:val="19"/>
            </w:pPr>
            <w:r>
              <w:t>综合事务管理完成情况</w:t>
            </w:r>
          </w:p>
        </w:tc>
        <w:tc>
          <w:tcPr>
            <w:tcW w:w="1327" w:type="dxa"/>
            <w:vAlign w:val="center"/>
          </w:tcPr>
          <w:p>
            <w:pPr>
              <w:pStyle w:val="19"/>
            </w:pPr>
            <w:r>
              <w:t>≥100百分比</w:t>
            </w:r>
          </w:p>
        </w:tc>
        <w:tc>
          <w:tcPr>
            <w:tcW w:w="1327" w:type="dxa"/>
            <w:vAlign w:val="center"/>
          </w:tcPr>
          <w:p>
            <w:pPr>
              <w:pStyle w:val="19"/>
            </w:pPr>
            <w:r>
              <w:t>综合事务管理完成情况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生态效益提升值</w:t>
            </w:r>
          </w:p>
        </w:tc>
        <w:tc>
          <w:tcPr>
            <w:tcW w:w="2654" w:type="dxa"/>
            <w:vAlign w:val="center"/>
          </w:tcPr>
          <w:p>
            <w:pPr>
              <w:pStyle w:val="19"/>
            </w:pPr>
            <w:r>
              <w:t>促进社会经济及各项事业发展</w:t>
            </w:r>
          </w:p>
        </w:tc>
        <w:tc>
          <w:tcPr>
            <w:tcW w:w="1327" w:type="dxa"/>
            <w:vAlign w:val="center"/>
          </w:tcPr>
          <w:p>
            <w:pPr>
              <w:pStyle w:val="19"/>
            </w:pPr>
            <w:r>
              <w:t>≥100百分比</w:t>
            </w:r>
          </w:p>
        </w:tc>
        <w:tc>
          <w:tcPr>
            <w:tcW w:w="1327" w:type="dxa"/>
            <w:vAlign w:val="center"/>
          </w:tcPr>
          <w:p>
            <w:pPr>
              <w:pStyle w:val="19"/>
            </w:pPr>
            <w:r>
              <w:t>生态效益提升值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老干部对提供服务的满意程度</w:t>
            </w:r>
          </w:p>
        </w:tc>
        <w:tc>
          <w:tcPr>
            <w:tcW w:w="2654" w:type="dxa"/>
            <w:vAlign w:val="center"/>
          </w:tcPr>
          <w:p>
            <w:pPr>
              <w:pStyle w:val="19"/>
            </w:pPr>
            <w:r>
              <w:t>老干部对提供服务的满意程度</w:t>
            </w:r>
          </w:p>
        </w:tc>
        <w:tc>
          <w:tcPr>
            <w:tcW w:w="1327" w:type="dxa"/>
            <w:vAlign w:val="center"/>
          </w:tcPr>
          <w:p>
            <w:pPr>
              <w:pStyle w:val="19"/>
            </w:pPr>
            <w:r>
              <w:t>≥100百分比</w:t>
            </w:r>
          </w:p>
        </w:tc>
        <w:tc>
          <w:tcPr>
            <w:tcW w:w="1327" w:type="dxa"/>
            <w:vAlign w:val="center"/>
          </w:tcPr>
          <w:p>
            <w:pPr>
              <w:pStyle w:val="19"/>
            </w:pPr>
            <w:r>
              <w:t>老干部对提供服务的满意程度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bookmarkStart w:id="5" w:name="_Toc_4_4_0000000006"/>
      <w:r>
        <w:rPr>
          <w:rFonts w:ascii="方正仿宋_GBK" w:hAnsi="方正仿宋_GBK" w:eastAsia="方正仿宋_GBK" w:cs="方正仿宋_GBK"/>
          <w:color w:val="000000"/>
          <w:sz w:val="28"/>
        </w:rPr>
        <w:t>3.2022老干部座谈会绩效目标表</w:t>
      </w:r>
      <w:bookmarkEnd w:id="5"/>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w:t>
            </w:r>
            <w:r>
              <w:rPr>
                <w:rFonts w:hint="eastAsia"/>
                <w:lang w:val="en-US" w:eastAsia="zh-CN"/>
              </w:rPr>
              <w:t xml:space="preserve"> </w:t>
            </w:r>
            <w:r>
              <w:t>中国共产党宁晋县委员会组织部</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绩效目标</w:t>
            </w:r>
          </w:p>
        </w:tc>
        <w:tc>
          <w:tcPr>
            <w:tcW w:w="7962" w:type="dxa"/>
            <w:gridSpan w:val="2"/>
            <w:vAlign w:val="center"/>
          </w:tcPr>
          <w:p>
            <w:pPr>
              <w:pStyle w:val="19"/>
            </w:pPr>
            <w:r>
              <w:t>根据实际工作情况，召开老干部座谈会</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征求意见条数</w:t>
            </w:r>
          </w:p>
        </w:tc>
        <w:tc>
          <w:tcPr>
            <w:tcW w:w="2654" w:type="dxa"/>
            <w:vAlign w:val="center"/>
          </w:tcPr>
          <w:p>
            <w:pPr>
              <w:pStyle w:val="19"/>
            </w:pPr>
            <w:r>
              <w:t>原任县级老干部对县域发展意见建议</w:t>
            </w:r>
          </w:p>
        </w:tc>
        <w:tc>
          <w:tcPr>
            <w:tcW w:w="1327" w:type="dxa"/>
            <w:vAlign w:val="center"/>
          </w:tcPr>
          <w:p>
            <w:pPr>
              <w:pStyle w:val="19"/>
            </w:pPr>
            <w:r>
              <w:t>≥10条</w:t>
            </w:r>
          </w:p>
        </w:tc>
        <w:tc>
          <w:tcPr>
            <w:tcW w:w="1327" w:type="dxa"/>
            <w:vAlign w:val="center"/>
          </w:tcPr>
          <w:p>
            <w:pPr>
              <w:pStyle w:val="19"/>
            </w:pPr>
            <w:r>
              <w:t>征求意见条数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保证老干部各项政治活动正常开展</w:t>
            </w:r>
          </w:p>
        </w:tc>
        <w:tc>
          <w:tcPr>
            <w:tcW w:w="2654" w:type="dxa"/>
            <w:vAlign w:val="center"/>
          </w:tcPr>
          <w:p>
            <w:pPr>
              <w:pStyle w:val="19"/>
            </w:pPr>
            <w:r>
              <w:t>老干部作用发挥</w:t>
            </w:r>
          </w:p>
        </w:tc>
        <w:tc>
          <w:tcPr>
            <w:tcW w:w="1327" w:type="dxa"/>
            <w:vAlign w:val="center"/>
          </w:tcPr>
          <w:p>
            <w:pPr>
              <w:pStyle w:val="19"/>
            </w:pPr>
            <w:r>
              <w:t>≥100百分比</w:t>
            </w:r>
          </w:p>
        </w:tc>
        <w:tc>
          <w:tcPr>
            <w:tcW w:w="1327" w:type="dxa"/>
            <w:vAlign w:val="center"/>
          </w:tcPr>
          <w:p>
            <w:pPr>
              <w:pStyle w:val="19"/>
            </w:pPr>
            <w:r>
              <w:t>老干部作用发挥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座谈会及时性</w:t>
            </w:r>
          </w:p>
        </w:tc>
        <w:tc>
          <w:tcPr>
            <w:tcW w:w="2654" w:type="dxa"/>
            <w:vAlign w:val="center"/>
          </w:tcPr>
          <w:p>
            <w:pPr>
              <w:pStyle w:val="19"/>
            </w:pPr>
            <w:r>
              <w:t>座谈会按计划及时召开</w:t>
            </w:r>
          </w:p>
        </w:tc>
        <w:tc>
          <w:tcPr>
            <w:tcW w:w="1327" w:type="dxa"/>
            <w:vAlign w:val="center"/>
          </w:tcPr>
          <w:p>
            <w:pPr>
              <w:pStyle w:val="19"/>
            </w:pPr>
            <w:r>
              <w:t>≥100百分比</w:t>
            </w:r>
          </w:p>
        </w:tc>
        <w:tc>
          <w:tcPr>
            <w:tcW w:w="1327" w:type="dxa"/>
            <w:vAlign w:val="center"/>
          </w:tcPr>
          <w:p>
            <w:pPr>
              <w:pStyle w:val="19"/>
            </w:pPr>
            <w:r>
              <w:t>召开座谈会及时性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预算执行</w:t>
            </w:r>
          </w:p>
        </w:tc>
        <w:tc>
          <w:tcPr>
            <w:tcW w:w="2654" w:type="dxa"/>
            <w:vAlign w:val="center"/>
          </w:tcPr>
          <w:p>
            <w:pPr>
              <w:pStyle w:val="19"/>
            </w:pPr>
            <w:r>
              <w:t>完成年度预算资金安排</w:t>
            </w:r>
          </w:p>
        </w:tc>
        <w:tc>
          <w:tcPr>
            <w:tcW w:w="1327" w:type="dxa"/>
            <w:vAlign w:val="center"/>
          </w:tcPr>
          <w:p>
            <w:pPr>
              <w:pStyle w:val="19"/>
            </w:pPr>
            <w:r>
              <w:t>≥100百分比</w:t>
            </w:r>
          </w:p>
        </w:tc>
        <w:tc>
          <w:tcPr>
            <w:tcW w:w="1327" w:type="dxa"/>
            <w:vAlign w:val="center"/>
          </w:tcPr>
          <w:p>
            <w:pPr>
              <w:pStyle w:val="19"/>
            </w:pPr>
            <w:r>
              <w:t>完成年度预算资金安排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可持续影响指标</w:t>
            </w:r>
          </w:p>
        </w:tc>
        <w:tc>
          <w:tcPr>
            <w:tcW w:w="1327" w:type="dxa"/>
            <w:vAlign w:val="center"/>
          </w:tcPr>
          <w:p>
            <w:pPr>
              <w:pStyle w:val="19"/>
            </w:pPr>
            <w:r>
              <w:t>可持续性服务</w:t>
            </w:r>
          </w:p>
        </w:tc>
        <w:tc>
          <w:tcPr>
            <w:tcW w:w="2654" w:type="dxa"/>
            <w:vAlign w:val="center"/>
          </w:tcPr>
          <w:p>
            <w:pPr>
              <w:pStyle w:val="19"/>
            </w:pPr>
            <w:r>
              <w:t>可持续性服务</w:t>
            </w:r>
          </w:p>
        </w:tc>
        <w:tc>
          <w:tcPr>
            <w:tcW w:w="1327" w:type="dxa"/>
            <w:vAlign w:val="center"/>
          </w:tcPr>
          <w:p>
            <w:pPr>
              <w:pStyle w:val="19"/>
            </w:pPr>
            <w:r>
              <w:t>≥100百分比</w:t>
            </w:r>
          </w:p>
        </w:tc>
        <w:tc>
          <w:tcPr>
            <w:tcW w:w="1327" w:type="dxa"/>
            <w:vAlign w:val="center"/>
          </w:tcPr>
          <w:p>
            <w:pPr>
              <w:pStyle w:val="19"/>
            </w:pPr>
            <w:r>
              <w:t>可持续性服务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经济效益指标</w:t>
            </w:r>
          </w:p>
        </w:tc>
        <w:tc>
          <w:tcPr>
            <w:tcW w:w="1327" w:type="dxa"/>
            <w:vAlign w:val="center"/>
          </w:tcPr>
          <w:p>
            <w:pPr>
              <w:pStyle w:val="19"/>
            </w:pPr>
            <w:r>
              <w:t>拉动地方经济发展</w:t>
            </w:r>
          </w:p>
        </w:tc>
        <w:tc>
          <w:tcPr>
            <w:tcW w:w="2654" w:type="dxa"/>
            <w:vAlign w:val="center"/>
          </w:tcPr>
          <w:p>
            <w:pPr>
              <w:pStyle w:val="19"/>
            </w:pPr>
            <w:r>
              <w:t>拉动地方经济发展</w:t>
            </w:r>
          </w:p>
        </w:tc>
        <w:tc>
          <w:tcPr>
            <w:tcW w:w="1327" w:type="dxa"/>
            <w:vAlign w:val="center"/>
          </w:tcPr>
          <w:p>
            <w:pPr>
              <w:pStyle w:val="19"/>
            </w:pPr>
            <w:r>
              <w:t>≥100百分比</w:t>
            </w:r>
          </w:p>
        </w:tc>
        <w:tc>
          <w:tcPr>
            <w:tcW w:w="1327" w:type="dxa"/>
            <w:vAlign w:val="center"/>
          </w:tcPr>
          <w:p>
            <w:pPr>
              <w:pStyle w:val="19"/>
            </w:pPr>
            <w:r>
              <w:t>拉动地方经济发展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县域发展建设性意见</w:t>
            </w:r>
          </w:p>
        </w:tc>
        <w:tc>
          <w:tcPr>
            <w:tcW w:w="2654" w:type="dxa"/>
            <w:vAlign w:val="center"/>
          </w:tcPr>
          <w:p>
            <w:pPr>
              <w:pStyle w:val="19"/>
            </w:pPr>
            <w:r>
              <w:t>县域发展建设性意见次数</w:t>
            </w:r>
          </w:p>
        </w:tc>
        <w:tc>
          <w:tcPr>
            <w:tcW w:w="1327" w:type="dxa"/>
            <w:vAlign w:val="center"/>
          </w:tcPr>
          <w:p>
            <w:pPr>
              <w:pStyle w:val="19"/>
            </w:pPr>
            <w:r>
              <w:t>≥3次</w:t>
            </w:r>
          </w:p>
        </w:tc>
        <w:tc>
          <w:tcPr>
            <w:tcW w:w="1327" w:type="dxa"/>
            <w:vAlign w:val="center"/>
          </w:tcPr>
          <w:p>
            <w:pPr>
              <w:pStyle w:val="19"/>
            </w:pPr>
            <w:r>
              <w:t>提出县域发展建设性意见次数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生态效益提升值</w:t>
            </w:r>
          </w:p>
        </w:tc>
        <w:tc>
          <w:tcPr>
            <w:tcW w:w="2654" w:type="dxa"/>
            <w:vAlign w:val="center"/>
          </w:tcPr>
          <w:p>
            <w:pPr>
              <w:pStyle w:val="19"/>
            </w:pPr>
            <w:r>
              <w:t>促进社会经济及各项事业发展</w:t>
            </w:r>
          </w:p>
        </w:tc>
        <w:tc>
          <w:tcPr>
            <w:tcW w:w="1327" w:type="dxa"/>
            <w:vAlign w:val="center"/>
          </w:tcPr>
          <w:p>
            <w:pPr>
              <w:pStyle w:val="19"/>
            </w:pPr>
            <w:r>
              <w:t>≥100百分比</w:t>
            </w:r>
          </w:p>
        </w:tc>
        <w:tc>
          <w:tcPr>
            <w:tcW w:w="1327" w:type="dxa"/>
            <w:vAlign w:val="center"/>
          </w:tcPr>
          <w:p>
            <w:pPr>
              <w:pStyle w:val="19"/>
            </w:pPr>
            <w:r>
              <w:t>生态效益提升值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老干部满意度</w:t>
            </w:r>
          </w:p>
        </w:tc>
        <w:tc>
          <w:tcPr>
            <w:tcW w:w="2654" w:type="dxa"/>
            <w:vAlign w:val="center"/>
          </w:tcPr>
          <w:p>
            <w:pPr>
              <w:pStyle w:val="19"/>
            </w:pPr>
            <w:r>
              <w:t>老干部对工作满意度</w:t>
            </w:r>
          </w:p>
        </w:tc>
        <w:tc>
          <w:tcPr>
            <w:tcW w:w="1327" w:type="dxa"/>
            <w:vAlign w:val="center"/>
          </w:tcPr>
          <w:p>
            <w:pPr>
              <w:pStyle w:val="19"/>
            </w:pPr>
            <w:r>
              <w:t>≥100百分比</w:t>
            </w:r>
          </w:p>
        </w:tc>
        <w:tc>
          <w:tcPr>
            <w:tcW w:w="1327" w:type="dxa"/>
            <w:vAlign w:val="center"/>
          </w:tcPr>
          <w:p>
            <w:pPr>
              <w:pStyle w:val="19"/>
            </w:pPr>
            <w:r>
              <w:t>老干部对工作满意度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bookmarkStart w:id="6" w:name="_Toc_4_4_0000000007"/>
      <w:r>
        <w:rPr>
          <w:rFonts w:ascii="方正仿宋_GBK" w:hAnsi="方正仿宋_GBK" w:eastAsia="方正仿宋_GBK" w:cs="方正仿宋_GBK"/>
          <w:color w:val="000000"/>
          <w:sz w:val="28"/>
        </w:rPr>
        <w:t>4.2022离退休干部报刊费绩效目标表</w:t>
      </w:r>
      <w:bookmarkEnd w:id="6"/>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w:t>
            </w:r>
            <w:r>
              <w:rPr>
                <w:rFonts w:hint="eastAsia"/>
                <w:lang w:val="en-US" w:eastAsia="zh-CN"/>
              </w:rPr>
              <w:t xml:space="preserve"> </w:t>
            </w:r>
            <w:r>
              <w:t>中国共产党宁晋县委员会组织部</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绩效目标</w:t>
            </w:r>
          </w:p>
        </w:tc>
        <w:tc>
          <w:tcPr>
            <w:tcW w:w="7962" w:type="dxa"/>
            <w:gridSpan w:val="2"/>
            <w:vAlign w:val="center"/>
          </w:tcPr>
          <w:p>
            <w:pPr>
              <w:pStyle w:val="19"/>
            </w:pPr>
            <w:r>
              <w:t>离退休干部订阅报刊</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完成年度离退休干部报刊订阅</w:t>
            </w:r>
          </w:p>
        </w:tc>
        <w:tc>
          <w:tcPr>
            <w:tcW w:w="2654" w:type="dxa"/>
            <w:vAlign w:val="center"/>
          </w:tcPr>
          <w:p>
            <w:pPr>
              <w:pStyle w:val="19"/>
            </w:pPr>
            <w:r>
              <w:t>完成年度离退休干部报刊订阅率</w:t>
            </w:r>
          </w:p>
        </w:tc>
        <w:tc>
          <w:tcPr>
            <w:tcW w:w="1327" w:type="dxa"/>
            <w:vAlign w:val="center"/>
          </w:tcPr>
          <w:p>
            <w:pPr>
              <w:pStyle w:val="19"/>
            </w:pPr>
            <w:r>
              <w:t>≥100百分比</w:t>
            </w:r>
          </w:p>
        </w:tc>
        <w:tc>
          <w:tcPr>
            <w:tcW w:w="1327" w:type="dxa"/>
            <w:vAlign w:val="center"/>
          </w:tcPr>
          <w:p>
            <w:pPr>
              <w:pStyle w:val="19"/>
            </w:pPr>
            <w:r>
              <w:t>完成年度离退休干部报刊订阅率</w:t>
            </w:r>
          </w:p>
        </w:tc>
      </w:tr>
      <w:tr>
        <w:tblPrEx>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服务水平</w:t>
            </w:r>
          </w:p>
        </w:tc>
        <w:tc>
          <w:tcPr>
            <w:tcW w:w="2654" w:type="dxa"/>
            <w:vAlign w:val="center"/>
          </w:tcPr>
          <w:p>
            <w:pPr>
              <w:pStyle w:val="19"/>
            </w:pPr>
            <w:r>
              <w:t>服务水平</w:t>
            </w:r>
          </w:p>
        </w:tc>
        <w:tc>
          <w:tcPr>
            <w:tcW w:w="1327" w:type="dxa"/>
            <w:vAlign w:val="center"/>
          </w:tcPr>
          <w:p>
            <w:pPr>
              <w:pStyle w:val="19"/>
            </w:pPr>
            <w:r>
              <w:t>≥100百分比</w:t>
            </w:r>
          </w:p>
        </w:tc>
        <w:tc>
          <w:tcPr>
            <w:tcW w:w="1327" w:type="dxa"/>
            <w:vAlign w:val="center"/>
          </w:tcPr>
          <w:p>
            <w:pPr>
              <w:pStyle w:val="19"/>
            </w:pPr>
            <w:r>
              <w:t>服务水平</w:t>
            </w:r>
          </w:p>
        </w:tc>
      </w:tr>
      <w:tr>
        <w:tblPrEx>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及时性</w:t>
            </w:r>
          </w:p>
        </w:tc>
        <w:tc>
          <w:tcPr>
            <w:tcW w:w="2654" w:type="dxa"/>
            <w:vAlign w:val="center"/>
          </w:tcPr>
          <w:p>
            <w:pPr>
              <w:pStyle w:val="19"/>
            </w:pPr>
            <w:r>
              <w:t>报刊邮寄发放及时</w:t>
            </w:r>
          </w:p>
        </w:tc>
        <w:tc>
          <w:tcPr>
            <w:tcW w:w="1327" w:type="dxa"/>
            <w:vAlign w:val="center"/>
          </w:tcPr>
          <w:p>
            <w:pPr>
              <w:pStyle w:val="19"/>
            </w:pPr>
            <w:r>
              <w:t>≥100百分比</w:t>
            </w:r>
          </w:p>
        </w:tc>
        <w:tc>
          <w:tcPr>
            <w:tcW w:w="1327" w:type="dxa"/>
            <w:vAlign w:val="center"/>
          </w:tcPr>
          <w:p>
            <w:pPr>
              <w:pStyle w:val="19"/>
            </w:pPr>
            <w:r>
              <w:t>及时性</w:t>
            </w:r>
          </w:p>
        </w:tc>
      </w:tr>
      <w:tr>
        <w:tblPrEx>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预算执行</w:t>
            </w:r>
          </w:p>
        </w:tc>
        <w:tc>
          <w:tcPr>
            <w:tcW w:w="2654" w:type="dxa"/>
            <w:vAlign w:val="center"/>
          </w:tcPr>
          <w:p>
            <w:pPr>
              <w:pStyle w:val="19"/>
            </w:pPr>
            <w:r>
              <w:t>完成年度预算资金安排</w:t>
            </w:r>
          </w:p>
        </w:tc>
        <w:tc>
          <w:tcPr>
            <w:tcW w:w="1327" w:type="dxa"/>
            <w:vAlign w:val="center"/>
          </w:tcPr>
          <w:p>
            <w:pPr>
              <w:pStyle w:val="19"/>
            </w:pPr>
            <w:r>
              <w:t>≥100百分比</w:t>
            </w:r>
          </w:p>
        </w:tc>
        <w:tc>
          <w:tcPr>
            <w:tcW w:w="1327" w:type="dxa"/>
            <w:vAlign w:val="center"/>
          </w:tcPr>
          <w:p>
            <w:pPr>
              <w:pStyle w:val="19"/>
            </w:pPr>
            <w:r>
              <w:t>完成年度预算资金安排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可持续影响指标</w:t>
            </w:r>
          </w:p>
        </w:tc>
        <w:tc>
          <w:tcPr>
            <w:tcW w:w="1327" w:type="dxa"/>
            <w:vAlign w:val="center"/>
          </w:tcPr>
          <w:p>
            <w:pPr>
              <w:pStyle w:val="19"/>
            </w:pPr>
            <w:r>
              <w:t>可持续性服务</w:t>
            </w:r>
          </w:p>
        </w:tc>
        <w:tc>
          <w:tcPr>
            <w:tcW w:w="2654" w:type="dxa"/>
            <w:vAlign w:val="center"/>
          </w:tcPr>
          <w:p>
            <w:pPr>
              <w:pStyle w:val="19"/>
            </w:pPr>
            <w:r>
              <w:t>可持续性服务</w:t>
            </w:r>
          </w:p>
        </w:tc>
        <w:tc>
          <w:tcPr>
            <w:tcW w:w="1327" w:type="dxa"/>
            <w:vAlign w:val="center"/>
          </w:tcPr>
          <w:p>
            <w:pPr>
              <w:pStyle w:val="19"/>
            </w:pPr>
            <w:r>
              <w:t>≥100百分比</w:t>
            </w:r>
          </w:p>
        </w:tc>
        <w:tc>
          <w:tcPr>
            <w:tcW w:w="1327" w:type="dxa"/>
            <w:vAlign w:val="center"/>
          </w:tcPr>
          <w:p>
            <w:pPr>
              <w:pStyle w:val="19"/>
            </w:pPr>
            <w:r>
              <w:t>可持续性服务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经济效益指标</w:t>
            </w:r>
          </w:p>
        </w:tc>
        <w:tc>
          <w:tcPr>
            <w:tcW w:w="1327" w:type="dxa"/>
            <w:vAlign w:val="center"/>
          </w:tcPr>
          <w:p>
            <w:pPr>
              <w:pStyle w:val="19"/>
            </w:pPr>
            <w:r>
              <w:t>资金的使用效率</w:t>
            </w:r>
          </w:p>
        </w:tc>
        <w:tc>
          <w:tcPr>
            <w:tcW w:w="2654" w:type="dxa"/>
            <w:vAlign w:val="center"/>
          </w:tcPr>
          <w:p>
            <w:pPr>
              <w:pStyle w:val="19"/>
            </w:pPr>
            <w:r>
              <w:t>资金的使用效率</w:t>
            </w:r>
          </w:p>
        </w:tc>
        <w:tc>
          <w:tcPr>
            <w:tcW w:w="1327" w:type="dxa"/>
            <w:vAlign w:val="center"/>
          </w:tcPr>
          <w:p>
            <w:pPr>
              <w:pStyle w:val="19"/>
            </w:pPr>
            <w:r>
              <w:t>≥100百分比</w:t>
            </w:r>
          </w:p>
        </w:tc>
        <w:tc>
          <w:tcPr>
            <w:tcW w:w="1327" w:type="dxa"/>
            <w:vAlign w:val="center"/>
          </w:tcPr>
          <w:p>
            <w:pPr>
              <w:pStyle w:val="19"/>
            </w:pPr>
            <w:r>
              <w:t>资金的使用效率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老干部报刊订阅、发放准时</w:t>
            </w:r>
          </w:p>
        </w:tc>
        <w:tc>
          <w:tcPr>
            <w:tcW w:w="2654" w:type="dxa"/>
            <w:vAlign w:val="center"/>
          </w:tcPr>
          <w:p>
            <w:pPr>
              <w:pStyle w:val="19"/>
            </w:pPr>
            <w:r>
              <w:t>老干部报刊订阅、发放准时率</w:t>
            </w:r>
          </w:p>
        </w:tc>
        <w:tc>
          <w:tcPr>
            <w:tcW w:w="1327" w:type="dxa"/>
            <w:vAlign w:val="center"/>
          </w:tcPr>
          <w:p>
            <w:pPr>
              <w:pStyle w:val="19"/>
            </w:pPr>
            <w:r>
              <w:t>≥100百分比</w:t>
            </w:r>
          </w:p>
        </w:tc>
        <w:tc>
          <w:tcPr>
            <w:tcW w:w="1327" w:type="dxa"/>
            <w:vAlign w:val="center"/>
          </w:tcPr>
          <w:p>
            <w:pPr>
              <w:pStyle w:val="19"/>
            </w:pPr>
            <w:r>
              <w:t>老干部报刊订阅、发放准时率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生态效益提升值</w:t>
            </w:r>
          </w:p>
        </w:tc>
        <w:tc>
          <w:tcPr>
            <w:tcW w:w="2654" w:type="dxa"/>
            <w:vAlign w:val="center"/>
          </w:tcPr>
          <w:p>
            <w:pPr>
              <w:pStyle w:val="19"/>
            </w:pPr>
            <w:r>
              <w:t>促进社会经济及各项事业发展</w:t>
            </w:r>
          </w:p>
        </w:tc>
        <w:tc>
          <w:tcPr>
            <w:tcW w:w="1327" w:type="dxa"/>
            <w:vAlign w:val="center"/>
          </w:tcPr>
          <w:p>
            <w:pPr>
              <w:pStyle w:val="19"/>
            </w:pPr>
            <w:r>
              <w:t>≥100百分比</w:t>
            </w:r>
          </w:p>
        </w:tc>
        <w:tc>
          <w:tcPr>
            <w:tcW w:w="1327" w:type="dxa"/>
            <w:vAlign w:val="center"/>
          </w:tcPr>
          <w:p>
            <w:pPr>
              <w:pStyle w:val="19"/>
            </w:pPr>
            <w:r>
              <w:t>落实老干部政治生活待遇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老干部满意度</w:t>
            </w:r>
          </w:p>
        </w:tc>
        <w:tc>
          <w:tcPr>
            <w:tcW w:w="2654" w:type="dxa"/>
            <w:vAlign w:val="center"/>
          </w:tcPr>
          <w:p>
            <w:pPr>
              <w:pStyle w:val="19"/>
            </w:pPr>
            <w:r>
              <w:t>老干部满意度</w:t>
            </w:r>
          </w:p>
        </w:tc>
        <w:tc>
          <w:tcPr>
            <w:tcW w:w="1327" w:type="dxa"/>
            <w:vAlign w:val="center"/>
          </w:tcPr>
          <w:p>
            <w:pPr>
              <w:pStyle w:val="19"/>
            </w:pPr>
            <w:r>
              <w:t>≥100百分比</w:t>
            </w:r>
          </w:p>
        </w:tc>
        <w:tc>
          <w:tcPr>
            <w:tcW w:w="1327" w:type="dxa"/>
            <w:vAlign w:val="center"/>
          </w:tcPr>
          <w:p>
            <w:pPr>
              <w:pStyle w:val="19"/>
            </w:pPr>
            <w:r>
              <w:t>老干部满意度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bookmarkStart w:id="7" w:name="_Toc_4_4_0000000008"/>
      <w:r>
        <w:rPr>
          <w:rFonts w:ascii="方正仿宋_GBK" w:hAnsi="方正仿宋_GBK" w:eastAsia="方正仿宋_GBK" w:cs="方正仿宋_GBK"/>
          <w:color w:val="000000"/>
          <w:sz w:val="28"/>
        </w:rPr>
        <w:t>5.2022离退休干部党组织经费绩效目标表</w:t>
      </w:r>
      <w:bookmarkEnd w:id="7"/>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w:t>
            </w:r>
            <w:r>
              <w:rPr>
                <w:rFonts w:hint="eastAsia"/>
                <w:lang w:val="en-US" w:eastAsia="zh-CN"/>
              </w:rPr>
              <w:t xml:space="preserve"> </w:t>
            </w:r>
            <w:r>
              <w:t>中国共产党宁晋县委员会组织部</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绩效目标</w:t>
            </w:r>
          </w:p>
        </w:tc>
        <w:tc>
          <w:tcPr>
            <w:tcW w:w="7962" w:type="dxa"/>
            <w:gridSpan w:val="2"/>
            <w:vAlign w:val="center"/>
          </w:tcPr>
          <w:p>
            <w:pPr>
              <w:pStyle w:val="19"/>
            </w:pPr>
            <w:r>
              <w:t>用于离退休干部党组织经费及离退休干部支部书记补贴发放</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发放覆盖率</w:t>
            </w:r>
          </w:p>
        </w:tc>
        <w:tc>
          <w:tcPr>
            <w:tcW w:w="2654" w:type="dxa"/>
            <w:vAlign w:val="center"/>
          </w:tcPr>
          <w:p>
            <w:pPr>
              <w:pStyle w:val="19"/>
            </w:pPr>
            <w:r>
              <w:t>离退休干部任书记人员发放</w:t>
            </w:r>
          </w:p>
        </w:tc>
        <w:tc>
          <w:tcPr>
            <w:tcW w:w="1327" w:type="dxa"/>
            <w:vAlign w:val="center"/>
          </w:tcPr>
          <w:p>
            <w:pPr>
              <w:pStyle w:val="19"/>
            </w:pPr>
            <w:r>
              <w:t>≥100百分比</w:t>
            </w:r>
          </w:p>
        </w:tc>
        <w:tc>
          <w:tcPr>
            <w:tcW w:w="1327" w:type="dxa"/>
            <w:vAlign w:val="center"/>
          </w:tcPr>
          <w:p>
            <w:pPr>
              <w:pStyle w:val="19"/>
            </w:pPr>
            <w:r>
              <w:t>发放覆盖率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工作补贴正常发放</w:t>
            </w:r>
          </w:p>
        </w:tc>
        <w:tc>
          <w:tcPr>
            <w:tcW w:w="2654" w:type="dxa"/>
            <w:vAlign w:val="center"/>
          </w:tcPr>
          <w:p>
            <w:pPr>
              <w:pStyle w:val="19"/>
            </w:pPr>
            <w:r>
              <w:t>工作补贴正常发放率</w:t>
            </w:r>
          </w:p>
        </w:tc>
        <w:tc>
          <w:tcPr>
            <w:tcW w:w="1327" w:type="dxa"/>
            <w:vAlign w:val="center"/>
          </w:tcPr>
          <w:p>
            <w:pPr>
              <w:pStyle w:val="19"/>
            </w:pPr>
            <w:r>
              <w:t>≥100百分比</w:t>
            </w:r>
          </w:p>
        </w:tc>
        <w:tc>
          <w:tcPr>
            <w:tcW w:w="1327" w:type="dxa"/>
            <w:vAlign w:val="center"/>
          </w:tcPr>
          <w:p>
            <w:pPr>
              <w:pStyle w:val="19"/>
            </w:pPr>
            <w:r>
              <w:t>工作补贴正常发放率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及时性</w:t>
            </w:r>
          </w:p>
        </w:tc>
        <w:tc>
          <w:tcPr>
            <w:tcW w:w="2654" w:type="dxa"/>
            <w:vAlign w:val="center"/>
          </w:tcPr>
          <w:p>
            <w:pPr>
              <w:pStyle w:val="19"/>
            </w:pPr>
            <w:r>
              <w:t>发放及时性</w:t>
            </w:r>
          </w:p>
        </w:tc>
        <w:tc>
          <w:tcPr>
            <w:tcW w:w="1327" w:type="dxa"/>
            <w:vAlign w:val="center"/>
          </w:tcPr>
          <w:p>
            <w:pPr>
              <w:pStyle w:val="19"/>
            </w:pPr>
            <w:r>
              <w:t>≥100百分比</w:t>
            </w:r>
          </w:p>
        </w:tc>
        <w:tc>
          <w:tcPr>
            <w:tcW w:w="1327" w:type="dxa"/>
            <w:vAlign w:val="center"/>
          </w:tcPr>
          <w:p>
            <w:pPr>
              <w:pStyle w:val="19"/>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预算执行</w:t>
            </w:r>
          </w:p>
        </w:tc>
        <w:tc>
          <w:tcPr>
            <w:tcW w:w="2654" w:type="dxa"/>
            <w:vAlign w:val="center"/>
          </w:tcPr>
          <w:p>
            <w:pPr>
              <w:pStyle w:val="19"/>
            </w:pPr>
            <w:r>
              <w:t>完成年度预算资金安排</w:t>
            </w:r>
          </w:p>
        </w:tc>
        <w:tc>
          <w:tcPr>
            <w:tcW w:w="1327" w:type="dxa"/>
            <w:vAlign w:val="center"/>
          </w:tcPr>
          <w:p>
            <w:pPr>
              <w:pStyle w:val="19"/>
            </w:pPr>
            <w:r>
              <w:t>≥100百分比</w:t>
            </w:r>
          </w:p>
        </w:tc>
        <w:tc>
          <w:tcPr>
            <w:tcW w:w="1327" w:type="dxa"/>
            <w:vAlign w:val="center"/>
          </w:tcPr>
          <w:p>
            <w:pPr>
              <w:pStyle w:val="19"/>
            </w:pPr>
            <w:r>
              <w:t>完成年度预算资金安排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可持续影响指标</w:t>
            </w:r>
          </w:p>
        </w:tc>
        <w:tc>
          <w:tcPr>
            <w:tcW w:w="1327" w:type="dxa"/>
            <w:vAlign w:val="center"/>
          </w:tcPr>
          <w:p>
            <w:pPr>
              <w:pStyle w:val="19"/>
            </w:pPr>
            <w:r>
              <w:t>可持续性服务</w:t>
            </w:r>
          </w:p>
        </w:tc>
        <w:tc>
          <w:tcPr>
            <w:tcW w:w="2654" w:type="dxa"/>
            <w:vAlign w:val="center"/>
          </w:tcPr>
          <w:p>
            <w:pPr>
              <w:pStyle w:val="19"/>
            </w:pPr>
            <w:r>
              <w:t>可持续性服务</w:t>
            </w:r>
          </w:p>
        </w:tc>
        <w:tc>
          <w:tcPr>
            <w:tcW w:w="1327" w:type="dxa"/>
            <w:vAlign w:val="center"/>
          </w:tcPr>
          <w:p>
            <w:pPr>
              <w:pStyle w:val="19"/>
            </w:pPr>
            <w:r>
              <w:t>≥100百分比</w:t>
            </w:r>
          </w:p>
        </w:tc>
        <w:tc>
          <w:tcPr>
            <w:tcW w:w="1327" w:type="dxa"/>
            <w:vAlign w:val="center"/>
          </w:tcPr>
          <w:p>
            <w:pPr>
              <w:pStyle w:val="19"/>
            </w:pPr>
            <w:r>
              <w:t>可持续性服务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经济效益指标</w:t>
            </w:r>
          </w:p>
        </w:tc>
        <w:tc>
          <w:tcPr>
            <w:tcW w:w="1327" w:type="dxa"/>
            <w:vAlign w:val="center"/>
          </w:tcPr>
          <w:p>
            <w:pPr>
              <w:pStyle w:val="19"/>
            </w:pPr>
            <w:r>
              <w:t>资金的使用效率</w:t>
            </w:r>
          </w:p>
        </w:tc>
        <w:tc>
          <w:tcPr>
            <w:tcW w:w="2654" w:type="dxa"/>
            <w:vAlign w:val="center"/>
          </w:tcPr>
          <w:p>
            <w:pPr>
              <w:pStyle w:val="19"/>
            </w:pPr>
            <w:r>
              <w:t>资金的使用效率</w:t>
            </w:r>
          </w:p>
        </w:tc>
        <w:tc>
          <w:tcPr>
            <w:tcW w:w="1327" w:type="dxa"/>
            <w:vAlign w:val="center"/>
          </w:tcPr>
          <w:p>
            <w:pPr>
              <w:pStyle w:val="19"/>
            </w:pPr>
            <w:r>
              <w:t>≥100百分比</w:t>
            </w:r>
          </w:p>
        </w:tc>
        <w:tc>
          <w:tcPr>
            <w:tcW w:w="1327" w:type="dxa"/>
            <w:vAlign w:val="center"/>
          </w:tcPr>
          <w:p>
            <w:pPr>
              <w:pStyle w:val="19"/>
            </w:pPr>
            <w:r>
              <w:t>资金的使用效率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社会稳定水平</w:t>
            </w:r>
          </w:p>
        </w:tc>
        <w:tc>
          <w:tcPr>
            <w:tcW w:w="2654" w:type="dxa"/>
            <w:vAlign w:val="center"/>
          </w:tcPr>
          <w:p>
            <w:pPr>
              <w:pStyle w:val="19"/>
            </w:pPr>
            <w:r>
              <w:t>促进社会稳定水平逐步提高</w:t>
            </w:r>
          </w:p>
        </w:tc>
        <w:tc>
          <w:tcPr>
            <w:tcW w:w="1327" w:type="dxa"/>
            <w:vAlign w:val="center"/>
          </w:tcPr>
          <w:p>
            <w:pPr>
              <w:pStyle w:val="19"/>
            </w:pPr>
            <w:r>
              <w:t>≥100百分比</w:t>
            </w:r>
          </w:p>
        </w:tc>
        <w:tc>
          <w:tcPr>
            <w:tcW w:w="1327" w:type="dxa"/>
            <w:vAlign w:val="center"/>
          </w:tcPr>
          <w:p>
            <w:pPr>
              <w:pStyle w:val="19"/>
            </w:pPr>
            <w:r>
              <w:t>社会稳定水平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生态效益提升值</w:t>
            </w:r>
          </w:p>
        </w:tc>
        <w:tc>
          <w:tcPr>
            <w:tcW w:w="2654" w:type="dxa"/>
            <w:vAlign w:val="center"/>
          </w:tcPr>
          <w:p>
            <w:pPr>
              <w:pStyle w:val="19"/>
            </w:pPr>
            <w:r>
              <w:t>促进社会经济及各项事业发展</w:t>
            </w:r>
          </w:p>
        </w:tc>
        <w:tc>
          <w:tcPr>
            <w:tcW w:w="1327" w:type="dxa"/>
            <w:vAlign w:val="center"/>
          </w:tcPr>
          <w:p>
            <w:pPr>
              <w:pStyle w:val="19"/>
            </w:pPr>
            <w:r>
              <w:t>≥100百分比</w:t>
            </w:r>
          </w:p>
        </w:tc>
        <w:tc>
          <w:tcPr>
            <w:tcW w:w="1327" w:type="dxa"/>
            <w:vAlign w:val="center"/>
          </w:tcPr>
          <w:p>
            <w:pPr>
              <w:pStyle w:val="19"/>
            </w:pPr>
            <w:r>
              <w:t>生态效益提升值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群众满意度</w:t>
            </w:r>
          </w:p>
        </w:tc>
        <w:tc>
          <w:tcPr>
            <w:tcW w:w="2654" w:type="dxa"/>
            <w:vAlign w:val="center"/>
          </w:tcPr>
          <w:p>
            <w:pPr>
              <w:pStyle w:val="19"/>
            </w:pPr>
            <w:r>
              <w:t>群众整体满意度</w:t>
            </w:r>
          </w:p>
        </w:tc>
        <w:tc>
          <w:tcPr>
            <w:tcW w:w="1327" w:type="dxa"/>
            <w:vAlign w:val="center"/>
          </w:tcPr>
          <w:p>
            <w:pPr>
              <w:pStyle w:val="19"/>
            </w:pPr>
            <w:r>
              <w:t>≥100百分比</w:t>
            </w:r>
          </w:p>
        </w:tc>
        <w:tc>
          <w:tcPr>
            <w:tcW w:w="1327" w:type="dxa"/>
            <w:vAlign w:val="center"/>
          </w:tcPr>
          <w:p>
            <w:pPr>
              <w:pStyle w:val="19"/>
            </w:pPr>
            <w:r>
              <w:t>群众整体满意度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bookmarkStart w:id="8" w:name="_Toc_4_4_0000000009"/>
      <w:r>
        <w:rPr>
          <w:rFonts w:ascii="方正仿宋_GBK" w:hAnsi="方正仿宋_GBK" w:eastAsia="方正仿宋_GBK" w:cs="方正仿宋_GBK"/>
          <w:color w:val="000000"/>
          <w:sz w:val="28"/>
        </w:rPr>
        <w:t>6.2022离退休干部特困帮扶基金绩效目标表</w:t>
      </w:r>
      <w:bookmarkEnd w:id="8"/>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w:t>
            </w:r>
            <w:r>
              <w:rPr>
                <w:rFonts w:hint="eastAsia"/>
                <w:lang w:val="en-US" w:eastAsia="zh-CN"/>
              </w:rPr>
              <w:t xml:space="preserve"> </w:t>
            </w:r>
            <w:r>
              <w:t>中国共产党宁晋县委员会组织部</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绩效目标</w:t>
            </w:r>
          </w:p>
        </w:tc>
        <w:tc>
          <w:tcPr>
            <w:tcW w:w="7962" w:type="dxa"/>
            <w:gridSpan w:val="2"/>
            <w:vAlign w:val="center"/>
          </w:tcPr>
          <w:p>
            <w:pPr>
              <w:pStyle w:val="19"/>
            </w:pPr>
            <w:r>
              <w:t>用于帮扶特困离退休干部及遗属</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评选条件</w:t>
            </w:r>
          </w:p>
        </w:tc>
        <w:tc>
          <w:tcPr>
            <w:tcW w:w="2654" w:type="dxa"/>
            <w:vAlign w:val="center"/>
          </w:tcPr>
          <w:p>
            <w:pPr>
              <w:pStyle w:val="19"/>
            </w:pPr>
            <w:r>
              <w:t>设置发放资助金的评选条件</w:t>
            </w:r>
          </w:p>
        </w:tc>
        <w:tc>
          <w:tcPr>
            <w:tcW w:w="1327" w:type="dxa"/>
            <w:vAlign w:val="center"/>
          </w:tcPr>
          <w:p>
            <w:pPr>
              <w:pStyle w:val="19"/>
            </w:pPr>
            <w:r>
              <w:t>≤10条</w:t>
            </w:r>
          </w:p>
        </w:tc>
        <w:tc>
          <w:tcPr>
            <w:tcW w:w="1327" w:type="dxa"/>
            <w:vAlign w:val="center"/>
          </w:tcPr>
          <w:p>
            <w:pPr>
              <w:pStyle w:val="19"/>
            </w:pPr>
            <w:r>
              <w:t>评选条件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困难程度</w:t>
            </w:r>
          </w:p>
        </w:tc>
        <w:tc>
          <w:tcPr>
            <w:tcW w:w="2654" w:type="dxa"/>
            <w:vAlign w:val="center"/>
          </w:tcPr>
          <w:p>
            <w:pPr>
              <w:pStyle w:val="19"/>
            </w:pPr>
            <w:r>
              <w:t>对特殊困难离退休干部发放资助金</w:t>
            </w:r>
          </w:p>
        </w:tc>
        <w:tc>
          <w:tcPr>
            <w:tcW w:w="1327" w:type="dxa"/>
            <w:vAlign w:val="center"/>
          </w:tcPr>
          <w:p>
            <w:pPr>
              <w:pStyle w:val="19"/>
            </w:pPr>
            <w:r>
              <w:t>≥100百分比</w:t>
            </w:r>
          </w:p>
        </w:tc>
        <w:tc>
          <w:tcPr>
            <w:tcW w:w="1327" w:type="dxa"/>
            <w:vAlign w:val="center"/>
          </w:tcPr>
          <w:p>
            <w:pPr>
              <w:pStyle w:val="19"/>
            </w:pPr>
            <w:r>
              <w:t>困难程度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补助资金及时发放率</w:t>
            </w:r>
          </w:p>
        </w:tc>
        <w:tc>
          <w:tcPr>
            <w:tcW w:w="2654" w:type="dxa"/>
            <w:vAlign w:val="center"/>
          </w:tcPr>
          <w:p>
            <w:pPr>
              <w:pStyle w:val="19"/>
            </w:pPr>
            <w:r>
              <w:t>补助资金及时发放率</w:t>
            </w:r>
          </w:p>
        </w:tc>
        <w:tc>
          <w:tcPr>
            <w:tcW w:w="1327" w:type="dxa"/>
            <w:vAlign w:val="center"/>
          </w:tcPr>
          <w:p>
            <w:pPr>
              <w:pStyle w:val="19"/>
            </w:pPr>
            <w:r>
              <w:t>≥100百分比</w:t>
            </w:r>
          </w:p>
        </w:tc>
        <w:tc>
          <w:tcPr>
            <w:tcW w:w="1327" w:type="dxa"/>
            <w:vAlign w:val="center"/>
          </w:tcPr>
          <w:p>
            <w:pPr>
              <w:pStyle w:val="19"/>
            </w:pPr>
            <w:r>
              <w:t>补助资金及时发放率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预算执行</w:t>
            </w:r>
          </w:p>
        </w:tc>
        <w:tc>
          <w:tcPr>
            <w:tcW w:w="2654" w:type="dxa"/>
            <w:vAlign w:val="center"/>
          </w:tcPr>
          <w:p>
            <w:pPr>
              <w:pStyle w:val="19"/>
            </w:pPr>
            <w:r>
              <w:t>完成年度预算资金安排</w:t>
            </w:r>
          </w:p>
        </w:tc>
        <w:tc>
          <w:tcPr>
            <w:tcW w:w="1327" w:type="dxa"/>
            <w:vAlign w:val="center"/>
          </w:tcPr>
          <w:p>
            <w:pPr>
              <w:pStyle w:val="19"/>
            </w:pPr>
            <w:r>
              <w:t>≥100百分比</w:t>
            </w:r>
          </w:p>
        </w:tc>
        <w:tc>
          <w:tcPr>
            <w:tcW w:w="1327" w:type="dxa"/>
            <w:vAlign w:val="center"/>
          </w:tcPr>
          <w:p>
            <w:pPr>
              <w:pStyle w:val="19"/>
            </w:pPr>
            <w:r>
              <w:t>完成年度预算资金安排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可持续影响指标</w:t>
            </w:r>
          </w:p>
        </w:tc>
        <w:tc>
          <w:tcPr>
            <w:tcW w:w="1327" w:type="dxa"/>
            <w:vAlign w:val="center"/>
          </w:tcPr>
          <w:p>
            <w:pPr>
              <w:pStyle w:val="19"/>
            </w:pPr>
            <w:r>
              <w:t>可持续性服务</w:t>
            </w:r>
          </w:p>
        </w:tc>
        <w:tc>
          <w:tcPr>
            <w:tcW w:w="2654" w:type="dxa"/>
            <w:vAlign w:val="center"/>
          </w:tcPr>
          <w:p>
            <w:pPr>
              <w:pStyle w:val="19"/>
            </w:pPr>
            <w:r>
              <w:t>可持续性服务</w:t>
            </w:r>
          </w:p>
        </w:tc>
        <w:tc>
          <w:tcPr>
            <w:tcW w:w="1327" w:type="dxa"/>
            <w:vAlign w:val="center"/>
          </w:tcPr>
          <w:p>
            <w:pPr>
              <w:pStyle w:val="19"/>
            </w:pPr>
            <w:r>
              <w:t>≥100百分比</w:t>
            </w:r>
          </w:p>
        </w:tc>
        <w:tc>
          <w:tcPr>
            <w:tcW w:w="1327" w:type="dxa"/>
            <w:vAlign w:val="center"/>
          </w:tcPr>
          <w:p>
            <w:pPr>
              <w:pStyle w:val="19"/>
            </w:pPr>
            <w:r>
              <w:t>可持续性服务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经济效益指标</w:t>
            </w:r>
          </w:p>
        </w:tc>
        <w:tc>
          <w:tcPr>
            <w:tcW w:w="1327" w:type="dxa"/>
            <w:vAlign w:val="center"/>
          </w:tcPr>
          <w:p>
            <w:pPr>
              <w:pStyle w:val="19"/>
            </w:pPr>
            <w:r>
              <w:t>资金的使用效率</w:t>
            </w:r>
          </w:p>
        </w:tc>
        <w:tc>
          <w:tcPr>
            <w:tcW w:w="2654" w:type="dxa"/>
            <w:vAlign w:val="center"/>
          </w:tcPr>
          <w:p>
            <w:pPr>
              <w:pStyle w:val="19"/>
            </w:pPr>
            <w:r>
              <w:t>资金的使用效率</w:t>
            </w:r>
          </w:p>
        </w:tc>
        <w:tc>
          <w:tcPr>
            <w:tcW w:w="1327" w:type="dxa"/>
            <w:vAlign w:val="center"/>
          </w:tcPr>
          <w:p>
            <w:pPr>
              <w:pStyle w:val="19"/>
            </w:pPr>
            <w:r>
              <w:t>≥100百分比</w:t>
            </w:r>
          </w:p>
        </w:tc>
        <w:tc>
          <w:tcPr>
            <w:tcW w:w="1327" w:type="dxa"/>
            <w:vAlign w:val="center"/>
          </w:tcPr>
          <w:p>
            <w:pPr>
              <w:pStyle w:val="19"/>
            </w:pPr>
            <w:r>
              <w:t>资金的使用效率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受益人口满意度</w:t>
            </w:r>
          </w:p>
        </w:tc>
        <w:tc>
          <w:tcPr>
            <w:tcW w:w="2654" w:type="dxa"/>
            <w:vAlign w:val="center"/>
          </w:tcPr>
          <w:p>
            <w:pPr>
              <w:pStyle w:val="19"/>
            </w:pPr>
            <w:r>
              <w:t>受益人口满意度</w:t>
            </w:r>
          </w:p>
        </w:tc>
        <w:tc>
          <w:tcPr>
            <w:tcW w:w="1327" w:type="dxa"/>
            <w:vAlign w:val="center"/>
          </w:tcPr>
          <w:p>
            <w:pPr>
              <w:pStyle w:val="19"/>
            </w:pPr>
            <w:r>
              <w:t>≥100百分比</w:t>
            </w:r>
          </w:p>
        </w:tc>
        <w:tc>
          <w:tcPr>
            <w:tcW w:w="1327" w:type="dxa"/>
            <w:vAlign w:val="center"/>
          </w:tcPr>
          <w:p>
            <w:pPr>
              <w:pStyle w:val="19"/>
            </w:pPr>
            <w:r>
              <w:t>受益人口满意度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生态效益提升值</w:t>
            </w:r>
          </w:p>
        </w:tc>
        <w:tc>
          <w:tcPr>
            <w:tcW w:w="2654" w:type="dxa"/>
            <w:vAlign w:val="center"/>
          </w:tcPr>
          <w:p>
            <w:pPr>
              <w:pStyle w:val="19"/>
            </w:pPr>
            <w:r>
              <w:t>促进社会经济及各项事业发展</w:t>
            </w:r>
          </w:p>
        </w:tc>
        <w:tc>
          <w:tcPr>
            <w:tcW w:w="1327" w:type="dxa"/>
            <w:vAlign w:val="center"/>
          </w:tcPr>
          <w:p>
            <w:pPr>
              <w:pStyle w:val="19"/>
            </w:pPr>
            <w:r>
              <w:t>≥100百分比</w:t>
            </w:r>
          </w:p>
        </w:tc>
        <w:tc>
          <w:tcPr>
            <w:tcW w:w="1327" w:type="dxa"/>
            <w:vAlign w:val="center"/>
          </w:tcPr>
          <w:p>
            <w:pPr>
              <w:pStyle w:val="19"/>
            </w:pPr>
            <w:r>
              <w:t>生态效益提升值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受助对象满意度</w:t>
            </w:r>
          </w:p>
        </w:tc>
        <w:tc>
          <w:tcPr>
            <w:tcW w:w="2654" w:type="dxa"/>
            <w:vAlign w:val="center"/>
          </w:tcPr>
          <w:p>
            <w:pPr>
              <w:pStyle w:val="19"/>
            </w:pPr>
            <w:r>
              <w:t>受助对象满意度</w:t>
            </w:r>
          </w:p>
        </w:tc>
        <w:tc>
          <w:tcPr>
            <w:tcW w:w="1327" w:type="dxa"/>
            <w:vAlign w:val="center"/>
          </w:tcPr>
          <w:p>
            <w:pPr>
              <w:pStyle w:val="19"/>
            </w:pPr>
            <w:r>
              <w:t>≥100百分比</w:t>
            </w:r>
          </w:p>
        </w:tc>
        <w:tc>
          <w:tcPr>
            <w:tcW w:w="1327" w:type="dxa"/>
            <w:vAlign w:val="center"/>
          </w:tcPr>
          <w:p>
            <w:pPr>
              <w:pStyle w:val="19"/>
            </w:pPr>
            <w:r>
              <w:t>受助对象满意度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bookmarkStart w:id="9" w:name="_Toc_4_4_0000000010"/>
      <w:r>
        <w:rPr>
          <w:rFonts w:ascii="方正仿宋_GBK" w:hAnsi="方正仿宋_GBK" w:eastAsia="方正仿宋_GBK" w:cs="方正仿宋_GBK"/>
          <w:color w:val="000000"/>
          <w:sz w:val="28"/>
        </w:rPr>
        <w:t>7.2022离休干部特需费绩效目标表</w:t>
      </w:r>
      <w:bookmarkEnd w:id="9"/>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w:t>
            </w:r>
            <w:r>
              <w:rPr>
                <w:rFonts w:hint="eastAsia"/>
                <w:lang w:val="en-US" w:eastAsia="zh-CN"/>
              </w:rPr>
              <w:t xml:space="preserve"> </w:t>
            </w:r>
            <w:r>
              <w:t>中国共产党宁晋县委员会组织部</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绩效目标</w:t>
            </w:r>
          </w:p>
        </w:tc>
        <w:tc>
          <w:tcPr>
            <w:tcW w:w="7962" w:type="dxa"/>
            <w:gridSpan w:val="2"/>
            <w:vAlign w:val="center"/>
          </w:tcPr>
          <w:p>
            <w:pPr>
              <w:pStyle w:val="19"/>
            </w:pPr>
            <w:r>
              <w:t>用于离休干部走访慰问、吊唁、开展活动等</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走访慰问人次</w:t>
            </w:r>
          </w:p>
        </w:tc>
        <w:tc>
          <w:tcPr>
            <w:tcW w:w="2654" w:type="dxa"/>
            <w:vAlign w:val="center"/>
          </w:tcPr>
          <w:p>
            <w:pPr>
              <w:pStyle w:val="19"/>
            </w:pPr>
            <w:r>
              <w:t>走访慰问人次</w:t>
            </w:r>
          </w:p>
        </w:tc>
        <w:tc>
          <w:tcPr>
            <w:tcW w:w="1327" w:type="dxa"/>
            <w:vAlign w:val="center"/>
          </w:tcPr>
          <w:p>
            <w:pPr>
              <w:pStyle w:val="19"/>
            </w:pPr>
            <w:r>
              <w:t>≥22人次</w:t>
            </w:r>
          </w:p>
        </w:tc>
        <w:tc>
          <w:tcPr>
            <w:tcW w:w="1327" w:type="dxa"/>
            <w:vAlign w:val="center"/>
          </w:tcPr>
          <w:p>
            <w:pPr>
              <w:pStyle w:val="19"/>
            </w:pPr>
            <w:r>
              <w:t>落实老干部政治生活待遇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对离休干部进行平时走访及节日慰问</w:t>
            </w:r>
          </w:p>
        </w:tc>
        <w:tc>
          <w:tcPr>
            <w:tcW w:w="2654" w:type="dxa"/>
            <w:vAlign w:val="center"/>
          </w:tcPr>
          <w:p>
            <w:pPr>
              <w:pStyle w:val="19"/>
            </w:pPr>
            <w:r>
              <w:t>对离休干部进行平时走访及节日慰问情况</w:t>
            </w:r>
          </w:p>
        </w:tc>
        <w:tc>
          <w:tcPr>
            <w:tcW w:w="1327" w:type="dxa"/>
            <w:vAlign w:val="center"/>
          </w:tcPr>
          <w:p>
            <w:pPr>
              <w:pStyle w:val="19"/>
            </w:pPr>
            <w:r>
              <w:t>≥100百分比</w:t>
            </w:r>
          </w:p>
        </w:tc>
        <w:tc>
          <w:tcPr>
            <w:tcW w:w="1327" w:type="dxa"/>
            <w:vAlign w:val="center"/>
          </w:tcPr>
          <w:p>
            <w:pPr>
              <w:pStyle w:val="19"/>
            </w:pPr>
            <w:r>
              <w:t>落实老干部政治生活待遇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准时慰问</w:t>
            </w:r>
          </w:p>
        </w:tc>
        <w:tc>
          <w:tcPr>
            <w:tcW w:w="2654" w:type="dxa"/>
            <w:vAlign w:val="center"/>
          </w:tcPr>
          <w:p>
            <w:pPr>
              <w:pStyle w:val="19"/>
            </w:pPr>
            <w:r>
              <w:t>在节日节点进行慰问</w:t>
            </w:r>
          </w:p>
        </w:tc>
        <w:tc>
          <w:tcPr>
            <w:tcW w:w="1327" w:type="dxa"/>
            <w:vAlign w:val="center"/>
          </w:tcPr>
          <w:p>
            <w:pPr>
              <w:pStyle w:val="19"/>
            </w:pPr>
            <w:r>
              <w:t>≥3次</w:t>
            </w:r>
          </w:p>
        </w:tc>
        <w:tc>
          <w:tcPr>
            <w:tcW w:w="1327" w:type="dxa"/>
            <w:vAlign w:val="center"/>
          </w:tcPr>
          <w:p>
            <w:pPr>
              <w:pStyle w:val="19"/>
            </w:pPr>
            <w:r>
              <w:t>落实老干部政治生活待遇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预算执行</w:t>
            </w:r>
          </w:p>
        </w:tc>
        <w:tc>
          <w:tcPr>
            <w:tcW w:w="2654" w:type="dxa"/>
            <w:vAlign w:val="center"/>
          </w:tcPr>
          <w:p>
            <w:pPr>
              <w:pStyle w:val="19"/>
            </w:pPr>
            <w:r>
              <w:t>完成年度预算资金安排</w:t>
            </w:r>
          </w:p>
        </w:tc>
        <w:tc>
          <w:tcPr>
            <w:tcW w:w="1327" w:type="dxa"/>
            <w:vAlign w:val="center"/>
          </w:tcPr>
          <w:p>
            <w:pPr>
              <w:pStyle w:val="19"/>
            </w:pPr>
            <w:r>
              <w:t>≥100百分比</w:t>
            </w:r>
          </w:p>
        </w:tc>
        <w:tc>
          <w:tcPr>
            <w:tcW w:w="1327" w:type="dxa"/>
            <w:vAlign w:val="center"/>
          </w:tcPr>
          <w:p>
            <w:pPr>
              <w:pStyle w:val="19"/>
            </w:pPr>
            <w:r>
              <w:t>完成年度预算资金安排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可持续影响指标</w:t>
            </w:r>
          </w:p>
        </w:tc>
        <w:tc>
          <w:tcPr>
            <w:tcW w:w="1327" w:type="dxa"/>
            <w:vAlign w:val="center"/>
          </w:tcPr>
          <w:p>
            <w:pPr>
              <w:pStyle w:val="19"/>
            </w:pPr>
            <w:r>
              <w:t>可持续性服务</w:t>
            </w:r>
          </w:p>
        </w:tc>
        <w:tc>
          <w:tcPr>
            <w:tcW w:w="2654" w:type="dxa"/>
            <w:vAlign w:val="center"/>
          </w:tcPr>
          <w:p>
            <w:pPr>
              <w:pStyle w:val="19"/>
            </w:pPr>
            <w:r>
              <w:t>可持续性服务</w:t>
            </w:r>
          </w:p>
        </w:tc>
        <w:tc>
          <w:tcPr>
            <w:tcW w:w="1327" w:type="dxa"/>
            <w:vAlign w:val="center"/>
          </w:tcPr>
          <w:p>
            <w:pPr>
              <w:pStyle w:val="19"/>
            </w:pPr>
            <w:r>
              <w:t>≥100百分比</w:t>
            </w:r>
          </w:p>
        </w:tc>
        <w:tc>
          <w:tcPr>
            <w:tcW w:w="1327" w:type="dxa"/>
            <w:vAlign w:val="center"/>
          </w:tcPr>
          <w:p>
            <w:pPr>
              <w:pStyle w:val="19"/>
            </w:pPr>
            <w:r>
              <w:t>可持续性服务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经济效益指标</w:t>
            </w:r>
          </w:p>
        </w:tc>
        <w:tc>
          <w:tcPr>
            <w:tcW w:w="1327" w:type="dxa"/>
            <w:vAlign w:val="center"/>
          </w:tcPr>
          <w:p>
            <w:pPr>
              <w:pStyle w:val="19"/>
            </w:pPr>
            <w:r>
              <w:t>资金的使用效率</w:t>
            </w:r>
          </w:p>
        </w:tc>
        <w:tc>
          <w:tcPr>
            <w:tcW w:w="2654" w:type="dxa"/>
            <w:vAlign w:val="center"/>
          </w:tcPr>
          <w:p>
            <w:pPr>
              <w:pStyle w:val="19"/>
            </w:pPr>
            <w:r>
              <w:t>资金的使用效率</w:t>
            </w:r>
          </w:p>
        </w:tc>
        <w:tc>
          <w:tcPr>
            <w:tcW w:w="1327" w:type="dxa"/>
            <w:vAlign w:val="center"/>
          </w:tcPr>
          <w:p>
            <w:pPr>
              <w:pStyle w:val="19"/>
            </w:pPr>
            <w:r>
              <w:t>≥100百分比</w:t>
            </w:r>
          </w:p>
        </w:tc>
        <w:tc>
          <w:tcPr>
            <w:tcW w:w="1327" w:type="dxa"/>
            <w:vAlign w:val="center"/>
          </w:tcPr>
          <w:p>
            <w:pPr>
              <w:pStyle w:val="19"/>
            </w:pPr>
            <w:r>
              <w:t>资金的使用效率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社会稳定水平</w:t>
            </w:r>
          </w:p>
        </w:tc>
        <w:tc>
          <w:tcPr>
            <w:tcW w:w="2654" w:type="dxa"/>
            <w:vAlign w:val="center"/>
          </w:tcPr>
          <w:p>
            <w:pPr>
              <w:pStyle w:val="19"/>
            </w:pPr>
            <w:r>
              <w:t>促进社会稳定水平逐步提高</w:t>
            </w:r>
          </w:p>
        </w:tc>
        <w:tc>
          <w:tcPr>
            <w:tcW w:w="1327" w:type="dxa"/>
            <w:vAlign w:val="center"/>
          </w:tcPr>
          <w:p>
            <w:pPr>
              <w:pStyle w:val="19"/>
            </w:pPr>
            <w:r>
              <w:t>≥100百分比</w:t>
            </w:r>
          </w:p>
        </w:tc>
        <w:tc>
          <w:tcPr>
            <w:tcW w:w="1327" w:type="dxa"/>
            <w:vAlign w:val="center"/>
          </w:tcPr>
          <w:p>
            <w:pPr>
              <w:pStyle w:val="19"/>
            </w:pPr>
            <w:r>
              <w:t>落实老干部政治生活待遇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生态效益提升值</w:t>
            </w:r>
          </w:p>
        </w:tc>
        <w:tc>
          <w:tcPr>
            <w:tcW w:w="2654" w:type="dxa"/>
            <w:vAlign w:val="center"/>
          </w:tcPr>
          <w:p>
            <w:pPr>
              <w:pStyle w:val="19"/>
            </w:pPr>
            <w:r>
              <w:t>促进社会经济及各项事业发展</w:t>
            </w:r>
          </w:p>
        </w:tc>
        <w:tc>
          <w:tcPr>
            <w:tcW w:w="1327" w:type="dxa"/>
            <w:vAlign w:val="center"/>
          </w:tcPr>
          <w:p>
            <w:pPr>
              <w:pStyle w:val="19"/>
            </w:pPr>
            <w:r>
              <w:t>≥100百分比</w:t>
            </w:r>
          </w:p>
        </w:tc>
        <w:tc>
          <w:tcPr>
            <w:tcW w:w="1327" w:type="dxa"/>
            <w:vAlign w:val="center"/>
          </w:tcPr>
          <w:p>
            <w:pPr>
              <w:pStyle w:val="19"/>
            </w:pPr>
            <w:r>
              <w:t>生态效益提升值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服务对象满意度</w:t>
            </w:r>
          </w:p>
        </w:tc>
        <w:tc>
          <w:tcPr>
            <w:tcW w:w="2654" w:type="dxa"/>
            <w:vAlign w:val="center"/>
          </w:tcPr>
          <w:p>
            <w:pPr>
              <w:pStyle w:val="19"/>
            </w:pPr>
            <w:r>
              <w:t>服务的重点人群对所提供服务的满意程度</w:t>
            </w:r>
          </w:p>
        </w:tc>
        <w:tc>
          <w:tcPr>
            <w:tcW w:w="1327" w:type="dxa"/>
            <w:vAlign w:val="center"/>
          </w:tcPr>
          <w:p>
            <w:pPr>
              <w:pStyle w:val="19"/>
            </w:pPr>
            <w:r>
              <w:t>≥100百分比</w:t>
            </w:r>
          </w:p>
        </w:tc>
        <w:tc>
          <w:tcPr>
            <w:tcW w:w="1327" w:type="dxa"/>
            <w:vAlign w:val="center"/>
          </w:tcPr>
          <w:p>
            <w:pPr>
              <w:pStyle w:val="19"/>
            </w:pPr>
            <w:r>
              <w:t>老干部满意度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bookmarkStart w:id="10" w:name="_Toc_4_4_0000000011"/>
      <w:r>
        <w:rPr>
          <w:rFonts w:ascii="方正仿宋_GBK" w:hAnsi="方正仿宋_GBK" w:eastAsia="方正仿宋_GBK" w:cs="方正仿宋_GBK"/>
          <w:color w:val="000000"/>
          <w:sz w:val="28"/>
        </w:rPr>
        <w:t>8.2022离休干部医药费绩效目标表</w:t>
      </w:r>
      <w:bookmarkEnd w:id="10"/>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w:t>
            </w:r>
            <w:r>
              <w:rPr>
                <w:rFonts w:hint="eastAsia"/>
                <w:lang w:val="en-US" w:eastAsia="zh-CN"/>
              </w:rPr>
              <w:t xml:space="preserve"> </w:t>
            </w:r>
            <w:r>
              <w:t>中国共产党宁晋县委员会组织部</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绩效目标</w:t>
            </w:r>
          </w:p>
        </w:tc>
        <w:tc>
          <w:tcPr>
            <w:tcW w:w="7962" w:type="dxa"/>
            <w:gridSpan w:val="2"/>
            <w:vAlign w:val="center"/>
          </w:tcPr>
          <w:p>
            <w:pPr>
              <w:pStyle w:val="19"/>
            </w:pPr>
            <w:r>
              <w:t>离休干部医药费</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报销人次</w:t>
            </w:r>
          </w:p>
        </w:tc>
        <w:tc>
          <w:tcPr>
            <w:tcW w:w="2654" w:type="dxa"/>
            <w:vAlign w:val="center"/>
          </w:tcPr>
          <w:p>
            <w:pPr>
              <w:pStyle w:val="19"/>
            </w:pPr>
            <w:r>
              <w:t>报销人次</w:t>
            </w:r>
          </w:p>
        </w:tc>
        <w:tc>
          <w:tcPr>
            <w:tcW w:w="1327" w:type="dxa"/>
            <w:vAlign w:val="center"/>
          </w:tcPr>
          <w:p>
            <w:pPr>
              <w:pStyle w:val="19"/>
            </w:pPr>
            <w:r>
              <w:t>≥20人次</w:t>
            </w:r>
          </w:p>
        </w:tc>
        <w:tc>
          <w:tcPr>
            <w:tcW w:w="1327" w:type="dxa"/>
            <w:vAlign w:val="center"/>
          </w:tcPr>
          <w:p>
            <w:pPr>
              <w:pStyle w:val="19"/>
            </w:pPr>
            <w:r>
              <w:t>报销人次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药费报销准时率</w:t>
            </w:r>
          </w:p>
        </w:tc>
        <w:tc>
          <w:tcPr>
            <w:tcW w:w="2654" w:type="dxa"/>
            <w:vAlign w:val="center"/>
          </w:tcPr>
          <w:p>
            <w:pPr>
              <w:pStyle w:val="19"/>
            </w:pPr>
            <w:r>
              <w:t>药费报销准时率</w:t>
            </w:r>
          </w:p>
        </w:tc>
        <w:tc>
          <w:tcPr>
            <w:tcW w:w="1327" w:type="dxa"/>
            <w:vAlign w:val="center"/>
          </w:tcPr>
          <w:p>
            <w:pPr>
              <w:pStyle w:val="19"/>
            </w:pPr>
            <w:r>
              <w:t>≥100百分比</w:t>
            </w:r>
          </w:p>
        </w:tc>
        <w:tc>
          <w:tcPr>
            <w:tcW w:w="1327" w:type="dxa"/>
            <w:vAlign w:val="center"/>
          </w:tcPr>
          <w:p>
            <w:pPr>
              <w:pStyle w:val="19"/>
            </w:pPr>
            <w:r>
              <w:t>药费报销准时率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及时准时发放</w:t>
            </w:r>
          </w:p>
        </w:tc>
        <w:tc>
          <w:tcPr>
            <w:tcW w:w="2654" w:type="dxa"/>
            <w:vAlign w:val="center"/>
          </w:tcPr>
          <w:p>
            <w:pPr>
              <w:pStyle w:val="19"/>
            </w:pPr>
            <w:r>
              <w:t>及时准时发放</w:t>
            </w:r>
          </w:p>
        </w:tc>
        <w:tc>
          <w:tcPr>
            <w:tcW w:w="1327" w:type="dxa"/>
            <w:vAlign w:val="center"/>
          </w:tcPr>
          <w:p>
            <w:pPr>
              <w:pStyle w:val="19"/>
            </w:pPr>
            <w:r>
              <w:t>≥101百分比</w:t>
            </w:r>
          </w:p>
        </w:tc>
        <w:tc>
          <w:tcPr>
            <w:tcW w:w="1327" w:type="dxa"/>
            <w:vAlign w:val="center"/>
          </w:tcPr>
          <w:p>
            <w:pPr>
              <w:pStyle w:val="19"/>
            </w:pPr>
            <w:r>
              <w:t>及时准时发放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预算执行</w:t>
            </w:r>
          </w:p>
        </w:tc>
        <w:tc>
          <w:tcPr>
            <w:tcW w:w="2654" w:type="dxa"/>
            <w:vAlign w:val="center"/>
          </w:tcPr>
          <w:p>
            <w:pPr>
              <w:pStyle w:val="19"/>
            </w:pPr>
            <w:r>
              <w:t>完成年度预算资金安排</w:t>
            </w:r>
          </w:p>
        </w:tc>
        <w:tc>
          <w:tcPr>
            <w:tcW w:w="1327" w:type="dxa"/>
            <w:vAlign w:val="center"/>
          </w:tcPr>
          <w:p>
            <w:pPr>
              <w:pStyle w:val="19"/>
            </w:pPr>
            <w:r>
              <w:t>≥100百分比</w:t>
            </w:r>
          </w:p>
        </w:tc>
        <w:tc>
          <w:tcPr>
            <w:tcW w:w="1327" w:type="dxa"/>
            <w:vAlign w:val="center"/>
          </w:tcPr>
          <w:p>
            <w:pPr>
              <w:pStyle w:val="19"/>
            </w:pPr>
            <w:r>
              <w:t>完成年度预算资金安排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可持续影响指标</w:t>
            </w:r>
          </w:p>
        </w:tc>
        <w:tc>
          <w:tcPr>
            <w:tcW w:w="1327" w:type="dxa"/>
            <w:vAlign w:val="center"/>
          </w:tcPr>
          <w:p>
            <w:pPr>
              <w:pStyle w:val="19"/>
            </w:pPr>
            <w:r>
              <w:t>可持续性服务</w:t>
            </w:r>
          </w:p>
        </w:tc>
        <w:tc>
          <w:tcPr>
            <w:tcW w:w="2654" w:type="dxa"/>
            <w:vAlign w:val="center"/>
          </w:tcPr>
          <w:p>
            <w:pPr>
              <w:pStyle w:val="19"/>
            </w:pPr>
            <w:r>
              <w:t>可持续性服务</w:t>
            </w:r>
          </w:p>
        </w:tc>
        <w:tc>
          <w:tcPr>
            <w:tcW w:w="1327" w:type="dxa"/>
            <w:vAlign w:val="center"/>
          </w:tcPr>
          <w:p>
            <w:pPr>
              <w:pStyle w:val="19"/>
            </w:pPr>
            <w:r>
              <w:t>≥100百分比</w:t>
            </w:r>
          </w:p>
        </w:tc>
        <w:tc>
          <w:tcPr>
            <w:tcW w:w="1327" w:type="dxa"/>
            <w:vAlign w:val="center"/>
          </w:tcPr>
          <w:p>
            <w:pPr>
              <w:pStyle w:val="19"/>
            </w:pPr>
            <w:r>
              <w:t>可持续性服务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经济效益指标</w:t>
            </w:r>
          </w:p>
        </w:tc>
        <w:tc>
          <w:tcPr>
            <w:tcW w:w="1327" w:type="dxa"/>
            <w:vAlign w:val="center"/>
          </w:tcPr>
          <w:p>
            <w:pPr>
              <w:pStyle w:val="19"/>
            </w:pPr>
            <w:r>
              <w:t>资金的使用效率</w:t>
            </w:r>
          </w:p>
        </w:tc>
        <w:tc>
          <w:tcPr>
            <w:tcW w:w="2654" w:type="dxa"/>
            <w:vAlign w:val="center"/>
          </w:tcPr>
          <w:p>
            <w:pPr>
              <w:pStyle w:val="19"/>
            </w:pPr>
            <w:r>
              <w:t>资金的使用效率</w:t>
            </w:r>
          </w:p>
        </w:tc>
        <w:tc>
          <w:tcPr>
            <w:tcW w:w="1327" w:type="dxa"/>
            <w:vAlign w:val="center"/>
          </w:tcPr>
          <w:p>
            <w:pPr>
              <w:pStyle w:val="19"/>
            </w:pPr>
            <w:r>
              <w:t>≥100百分比</w:t>
            </w:r>
          </w:p>
        </w:tc>
        <w:tc>
          <w:tcPr>
            <w:tcW w:w="1327" w:type="dxa"/>
            <w:vAlign w:val="center"/>
          </w:tcPr>
          <w:p>
            <w:pPr>
              <w:pStyle w:val="19"/>
            </w:pPr>
            <w:r>
              <w:t>资金的使用效率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全年报销次数</w:t>
            </w:r>
          </w:p>
        </w:tc>
        <w:tc>
          <w:tcPr>
            <w:tcW w:w="2654" w:type="dxa"/>
            <w:vAlign w:val="center"/>
          </w:tcPr>
          <w:p>
            <w:pPr>
              <w:pStyle w:val="19"/>
            </w:pPr>
            <w:r>
              <w:t>全年报销次数</w:t>
            </w:r>
          </w:p>
        </w:tc>
        <w:tc>
          <w:tcPr>
            <w:tcW w:w="1327" w:type="dxa"/>
            <w:vAlign w:val="center"/>
          </w:tcPr>
          <w:p>
            <w:pPr>
              <w:pStyle w:val="19"/>
            </w:pPr>
            <w:r>
              <w:t>4次</w:t>
            </w:r>
          </w:p>
        </w:tc>
        <w:tc>
          <w:tcPr>
            <w:tcW w:w="1327" w:type="dxa"/>
            <w:vAlign w:val="center"/>
          </w:tcPr>
          <w:p>
            <w:pPr>
              <w:pStyle w:val="19"/>
            </w:pPr>
            <w:r>
              <w:t>全年报销次数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生态效益提升值</w:t>
            </w:r>
          </w:p>
        </w:tc>
        <w:tc>
          <w:tcPr>
            <w:tcW w:w="2654" w:type="dxa"/>
            <w:vAlign w:val="center"/>
          </w:tcPr>
          <w:p>
            <w:pPr>
              <w:pStyle w:val="19"/>
            </w:pPr>
            <w:r>
              <w:t>促进社会经济及各项事业发展</w:t>
            </w:r>
          </w:p>
        </w:tc>
        <w:tc>
          <w:tcPr>
            <w:tcW w:w="1327" w:type="dxa"/>
            <w:vAlign w:val="center"/>
          </w:tcPr>
          <w:p>
            <w:pPr>
              <w:pStyle w:val="19"/>
            </w:pPr>
            <w:r>
              <w:t>≥100百分比</w:t>
            </w:r>
          </w:p>
        </w:tc>
        <w:tc>
          <w:tcPr>
            <w:tcW w:w="1327" w:type="dxa"/>
            <w:vAlign w:val="center"/>
          </w:tcPr>
          <w:p>
            <w:pPr>
              <w:pStyle w:val="19"/>
            </w:pPr>
            <w:r>
              <w:t>生态效益提升值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服务对象满意度</w:t>
            </w:r>
          </w:p>
        </w:tc>
        <w:tc>
          <w:tcPr>
            <w:tcW w:w="2654" w:type="dxa"/>
            <w:vAlign w:val="center"/>
          </w:tcPr>
          <w:p>
            <w:pPr>
              <w:pStyle w:val="19"/>
            </w:pPr>
            <w:r>
              <w:t>接受服务的重点人群对提供服务的满意程度</w:t>
            </w:r>
          </w:p>
        </w:tc>
        <w:tc>
          <w:tcPr>
            <w:tcW w:w="1327" w:type="dxa"/>
            <w:vAlign w:val="center"/>
          </w:tcPr>
          <w:p>
            <w:pPr>
              <w:pStyle w:val="19"/>
            </w:pPr>
            <w:r>
              <w:t>≥100百分比</w:t>
            </w:r>
          </w:p>
        </w:tc>
        <w:tc>
          <w:tcPr>
            <w:tcW w:w="1327" w:type="dxa"/>
            <w:vAlign w:val="center"/>
          </w:tcPr>
          <w:p>
            <w:pPr>
              <w:pStyle w:val="19"/>
            </w:pPr>
            <w:r>
              <w:t>接受服务的重点人群对提供服务的满意程度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bookmarkStart w:id="11" w:name="_Toc_4_4_0000000012"/>
      <w:r>
        <w:rPr>
          <w:rFonts w:ascii="方正仿宋_GBK" w:hAnsi="方正仿宋_GBK" w:eastAsia="方正仿宋_GBK" w:cs="方正仿宋_GBK"/>
          <w:color w:val="000000"/>
          <w:sz w:val="28"/>
        </w:rPr>
        <w:t>9.2022年“名校入冀”人才房租补贴绩效目标表</w:t>
      </w:r>
      <w:bookmarkEnd w:id="11"/>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w:t>
            </w:r>
            <w:r>
              <w:rPr>
                <w:rFonts w:hint="eastAsia"/>
                <w:lang w:val="en-US" w:eastAsia="zh-CN"/>
              </w:rPr>
              <w:t xml:space="preserve"> </w:t>
            </w:r>
            <w:r>
              <w:t>中国共产党宁晋县委员会组织部</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0" w:hRule="atLeast"/>
          <w:jc w:val="center"/>
        </w:trPr>
        <w:tc>
          <w:tcPr>
            <w:tcW w:w="1327" w:type="dxa"/>
            <w:vAlign w:val="center"/>
          </w:tcPr>
          <w:p>
            <w:pPr>
              <w:pStyle w:val="17"/>
            </w:pPr>
            <w:r>
              <w:t>绩效目标</w:t>
            </w:r>
          </w:p>
        </w:tc>
        <w:tc>
          <w:tcPr>
            <w:tcW w:w="7962" w:type="dxa"/>
            <w:gridSpan w:val="2"/>
            <w:vAlign w:val="center"/>
          </w:tcPr>
          <w:p>
            <w:pPr>
              <w:pStyle w:val="19"/>
            </w:pPr>
            <w:r>
              <w:t>1.按规定标准为名校入冀人员发放房租补贴</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发放补贴人数</w:t>
            </w:r>
          </w:p>
        </w:tc>
        <w:tc>
          <w:tcPr>
            <w:tcW w:w="2654" w:type="dxa"/>
            <w:vAlign w:val="center"/>
          </w:tcPr>
          <w:p>
            <w:pPr>
              <w:pStyle w:val="19"/>
            </w:pPr>
            <w:r>
              <w:t>发放补贴人数</w:t>
            </w:r>
          </w:p>
        </w:tc>
        <w:tc>
          <w:tcPr>
            <w:tcW w:w="1327" w:type="dxa"/>
            <w:vAlign w:val="center"/>
          </w:tcPr>
          <w:p>
            <w:pPr>
              <w:pStyle w:val="19"/>
            </w:pPr>
            <w:r>
              <w:t>≥43人</w:t>
            </w:r>
          </w:p>
        </w:tc>
        <w:tc>
          <w:tcPr>
            <w:tcW w:w="1327" w:type="dxa"/>
            <w:vAlign w:val="center"/>
          </w:tcPr>
          <w:p>
            <w:pPr>
              <w:pStyle w:val="19"/>
            </w:pPr>
            <w:r>
              <w:t>发放补贴人数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专款专用率</w:t>
            </w:r>
          </w:p>
        </w:tc>
        <w:tc>
          <w:tcPr>
            <w:tcW w:w="2654" w:type="dxa"/>
            <w:vAlign w:val="center"/>
          </w:tcPr>
          <w:p>
            <w:pPr>
              <w:pStyle w:val="19"/>
            </w:pPr>
            <w:r>
              <w:t>专款专用率</w:t>
            </w:r>
          </w:p>
        </w:tc>
        <w:tc>
          <w:tcPr>
            <w:tcW w:w="1327" w:type="dxa"/>
            <w:vAlign w:val="center"/>
          </w:tcPr>
          <w:p>
            <w:pPr>
              <w:pStyle w:val="19"/>
            </w:pPr>
            <w:r>
              <w:t>≥95百分比</w:t>
            </w:r>
          </w:p>
        </w:tc>
        <w:tc>
          <w:tcPr>
            <w:tcW w:w="1327" w:type="dxa"/>
            <w:vAlign w:val="center"/>
          </w:tcPr>
          <w:p>
            <w:pPr>
              <w:pStyle w:val="19"/>
            </w:pPr>
            <w:r>
              <w:t>专款专用率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及时性</w:t>
            </w:r>
          </w:p>
        </w:tc>
        <w:tc>
          <w:tcPr>
            <w:tcW w:w="2654" w:type="dxa"/>
            <w:vAlign w:val="center"/>
          </w:tcPr>
          <w:p>
            <w:pPr>
              <w:pStyle w:val="19"/>
            </w:pPr>
            <w:r>
              <w:t>及时性</w:t>
            </w:r>
          </w:p>
        </w:tc>
        <w:tc>
          <w:tcPr>
            <w:tcW w:w="1327" w:type="dxa"/>
            <w:vAlign w:val="center"/>
          </w:tcPr>
          <w:p>
            <w:pPr>
              <w:pStyle w:val="19"/>
            </w:pPr>
            <w:r>
              <w:t>≥95百分比</w:t>
            </w:r>
          </w:p>
        </w:tc>
        <w:tc>
          <w:tcPr>
            <w:tcW w:w="1327" w:type="dxa"/>
            <w:vAlign w:val="center"/>
          </w:tcPr>
          <w:p>
            <w:pPr>
              <w:pStyle w:val="19"/>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人均发放水平</w:t>
            </w:r>
          </w:p>
        </w:tc>
        <w:tc>
          <w:tcPr>
            <w:tcW w:w="2654" w:type="dxa"/>
            <w:vAlign w:val="center"/>
          </w:tcPr>
          <w:p>
            <w:pPr>
              <w:pStyle w:val="19"/>
            </w:pPr>
            <w:r>
              <w:t>人均发放水平</w:t>
            </w:r>
          </w:p>
        </w:tc>
        <w:tc>
          <w:tcPr>
            <w:tcW w:w="1327" w:type="dxa"/>
            <w:vAlign w:val="center"/>
          </w:tcPr>
          <w:p>
            <w:pPr>
              <w:pStyle w:val="19"/>
            </w:pPr>
            <w:r>
              <w:t>≥95百分比</w:t>
            </w:r>
          </w:p>
        </w:tc>
        <w:tc>
          <w:tcPr>
            <w:tcW w:w="1327" w:type="dxa"/>
            <w:vAlign w:val="center"/>
          </w:tcPr>
          <w:p>
            <w:pPr>
              <w:pStyle w:val="19"/>
            </w:pPr>
            <w:r>
              <w:t>人均发放水平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可持续影响指标</w:t>
            </w:r>
          </w:p>
        </w:tc>
        <w:tc>
          <w:tcPr>
            <w:tcW w:w="1327" w:type="dxa"/>
            <w:vAlign w:val="center"/>
          </w:tcPr>
          <w:p>
            <w:pPr>
              <w:pStyle w:val="19"/>
            </w:pPr>
            <w:r>
              <w:t>维护社会稳定</w:t>
            </w:r>
          </w:p>
        </w:tc>
        <w:tc>
          <w:tcPr>
            <w:tcW w:w="2654" w:type="dxa"/>
            <w:vAlign w:val="center"/>
          </w:tcPr>
          <w:p>
            <w:pPr>
              <w:pStyle w:val="19"/>
            </w:pPr>
            <w:r>
              <w:t>维护社会稳定</w:t>
            </w:r>
          </w:p>
        </w:tc>
        <w:tc>
          <w:tcPr>
            <w:tcW w:w="1327" w:type="dxa"/>
            <w:vAlign w:val="center"/>
          </w:tcPr>
          <w:p>
            <w:pPr>
              <w:pStyle w:val="19"/>
            </w:pPr>
            <w:r>
              <w:t>≥90百分比</w:t>
            </w:r>
          </w:p>
        </w:tc>
        <w:tc>
          <w:tcPr>
            <w:tcW w:w="1327" w:type="dxa"/>
            <w:vAlign w:val="center"/>
          </w:tcPr>
          <w:p>
            <w:pPr>
              <w:pStyle w:val="19"/>
            </w:pPr>
            <w:r>
              <w:t>维护社会稳定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经济效益指标</w:t>
            </w:r>
          </w:p>
        </w:tc>
        <w:tc>
          <w:tcPr>
            <w:tcW w:w="1327" w:type="dxa"/>
            <w:vAlign w:val="center"/>
          </w:tcPr>
          <w:p>
            <w:pPr>
              <w:pStyle w:val="19"/>
            </w:pPr>
            <w:r>
              <w:t>综合利用率</w:t>
            </w:r>
          </w:p>
        </w:tc>
        <w:tc>
          <w:tcPr>
            <w:tcW w:w="2654" w:type="dxa"/>
            <w:vAlign w:val="center"/>
          </w:tcPr>
          <w:p>
            <w:pPr>
              <w:pStyle w:val="19"/>
            </w:pPr>
            <w:r>
              <w:t>综合利用率</w:t>
            </w:r>
          </w:p>
        </w:tc>
        <w:tc>
          <w:tcPr>
            <w:tcW w:w="1327" w:type="dxa"/>
            <w:vAlign w:val="center"/>
          </w:tcPr>
          <w:p>
            <w:pPr>
              <w:pStyle w:val="19"/>
            </w:pPr>
            <w:r>
              <w:t>≥90百分比</w:t>
            </w:r>
          </w:p>
        </w:tc>
        <w:tc>
          <w:tcPr>
            <w:tcW w:w="1327" w:type="dxa"/>
            <w:vAlign w:val="center"/>
          </w:tcPr>
          <w:p>
            <w:pPr>
              <w:pStyle w:val="19"/>
            </w:pPr>
            <w:r>
              <w:t>综合利用率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补贴发放率</w:t>
            </w:r>
          </w:p>
        </w:tc>
        <w:tc>
          <w:tcPr>
            <w:tcW w:w="2654" w:type="dxa"/>
            <w:vAlign w:val="center"/>
          </w:tcPr>
          <w:p>
            <w:pPr>
              <w:pStyle w:val="19"/>
            </w:pPr>
            <w:r>
              <w:t>补贴发放率</w:t>
            </w:r>
          </w:p>
        </w:tc>
        <w:tc>
          <w:tcPr>
            <w:tcW w:w="1327" w:type="dxa"/>
            <w:vAlign w:val="center"/>
          </w:tcPr>
          <w:p>
            <w:pPr>
              <w:pStyle w:val="19"/>
            </w:pPr>
            <w:r>
              <w:t>≥90百分比</w:t>
            </w:r>
          </w:p>
        </w:tc>
        <w:tc>
          <w:tcPr>
            <w:tcW w:w="1327" w:type="dxa"/>
            <w:vAlign w:val="center"/>
          </w:tcPr>
          <w:p>
            <w:pPr>
              <w:pStyle w:val="19"/>
            </w:pPr>
            <w:r>
              <w:t>补贴发放率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生态效益指标</w:t>
            </w:r>
          </w:p>
        </w:tc>
        <w:tc>
          <w:tcPr>
            <w:tcW w:w="2654" w:type="dxa"/>
            <w:vAlign w:val="center"/>
          </w:tcPr>
          <w:p>
            <w:pPr>
              <w:pStyle w:val="19"/>
            </w:pPr>
            <w:r>
              <w:t>生态效益指标</w:t>
            </w:r>
          </w:p>
        </w:tc>
        <w:tc>
          <w:tcPr>
            <w:tcW w:w="1327" w:type="dxa"/>
            <w:vAlign w:val="center"/>
          </w:tcPr>
          <w:p>
            <w:pPr>
              <w:pStyle w:val="19"/>
            </w:pPr>
            <w:r>
              <w:t>≥90百分比</w:t>
            </w:r>
          </w:p>
        </w:tc>
        <w:tc>
          <w:tcPr>
            <w:tcW w:w="1327" w:type="dxa"/>
            <w:vAlign w:val="center"/>
          </w:tcPr>
          <w:p>
            <w:pPr>
              <w:pStyle w:val="19"/>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服务对象满意度</w:t>
            </w:r>
          </w:p>
        </w:tc>
        <w:tc>
          <w:tcPr>
            <w:tcW w:w="2654" w:type="dxa"/>
            <w:vAlign w:val="center"/>
          </w:tcPr>
          <w:p>
            <w:pPr>
              <w:pStyle w:val="19"/>
            </w:pPr>
            <w:r>
              <w:t>服务对象满意度</w:t>
            </w:r>
          </w:p>
        </w:tc>
        <w:tc>
          <w:tcPr>
            <w:tcW w:w="1327" w:type="dxa"/>
            <w:vAlign w:val="center"/>
          </w:tcPr>
          <w:p>
            <w:pPr>
              <w:pStyle w:val="19"/>
            </w:pPr>
            <w:r>
              <w:t>≥90百分比</w:t>
            </w:r>
          </w:p>
        </w:tc>
        <w:tc>
          <w:tcPr>
            <w:tcW w:w="1327" w:type="dxa"/>
            <w:vAlign w:val="center"/>
          </w:tcPr>
          <w:p>
            <w:pPr>
              <w:pStyle w:val="19"/>
            </w:pPr>
            <w:r>
              <w:t>服务对象满意度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bookmarkStart w:id="12" w:name="_Toc_4_4_0000000013"/>
      <w:r>
        <w:rPr>
          <w:rFonts w:ascii="方正仿宋_GBK" w:hAnsi="方正仿宋_GBK" w:eastAsia="方正仿宋_GBK" w:cs="方正仿宋_GBK"/>
          <w:color w:val="000000"/>
          <w:sz w:val="28"/>
        </w:rPr>
        <w:t>10.2022年“双一流”人才房租补贴绩效目标表</w:t>
      </w:r>
      <w:bookmarkEnd w:id="12"/>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w:t>
            </w:r>
            <w:r>
              <w:rPr>
                <w:rFonts w:hint="eastAsia"/>
                <w:lang w:val="en-US" w:eastAsia="zh-CN"/>
              </w:rPr>
              <w:t xml:space="preserve"> </w:t>
            </w:r>
            <w:r>
              <w:t>中国共产党宁晋县委员会组织部</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绩效目标</w:t>
            </w:r>
          </w:p>
        </w:tc>
        <w:tc>
          <w:tcPr>
            <w:tcW w:w="7962" w:type="dxa"/>
            <w:gridSpan w:val="2"/>
            <w:vAlign w:val="center"/>
          </w:tcPr>
          <w:p>
            <w:pPr>
              <w:pStyle w:val="19"/>
            </w:pPr>
            <w:r>
              <w:t>1.按规定标准为双一流人才发放房租补贴</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发放补贴人数</w:t>
            </w:r>
          </w:p>
        </w:tc>
        <w:tc>
          <w:tcPr>
            <w:tcW w:w="2654" w:type="dxa"/>
            <w:vAlign w:val="center"/>
          </w:tcPr>
          <w:p>
            <w:pPr>
              <w:pStyle w:val="19"/>
            </w:pPr>
            <w:r>
              <w:t>发放补贴人数</w:t>
            </w:r>
          </w:p>
        </w:tc>
        <w:tc>
          <w:tcPr>
            <w:tcW w:w="1327" w:type="dxa"/>
            <w:vAlign w:val="center"/>
          </w:tcPr>
          <w:p>
            <w:pPr>
              <w:pStyle w:val="19"/>
            </w:pPr>
            <w:r>
              <w:t>≥39人</w:t>
            </w:r>
          </w:p>
        </w:tc>
        <w:tc>
          <w:tcPr>
            <w:tcW w:w="1327" w:type="dxa"/>
            <w:vAlign w:val="center"/>
          </w:tcPr>
          <w:p>
            <w:pPr>
              <w:pStyle w:val="19"/>
            </w:pPr>
            <w:r>
              <w:t>发放补贴人数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专款专用率</w:t>
            </w:r>
          </w:p>
        </w:tc>
        <w:tc>
          <w:tcPr>
            <w:tcW w:w="2654" w:type="dxa"/>
            <w:vAlign w:val="center"/>
          </w:tcPr>
          <w:p>
            <w:pPr>
              <w:pStyle w:val="19"/>
            </w:pPr>
            <w:r>
              <w:t>专款专用率</w:t>
            </w:r>
          </w:p>
        </w:tc>
        <w:tc>
          <w:tcPr>
            <w:tcW w:w="1327" w:type="dxa"/>
            <w:vAlign w:val="center"/>
          </w:tcPr>
          <w:p>
            <w:pPr>
              <w:pStyle w:val="19"/>
            </w:pPr>
            <w:r>
              <w:t>≥95百分比</w:t>
            </w:r>
          </w:p>
        </w:tc>
        <w:tc>
          <w:tcPr>
            <w:tcW w:w="1327" w:type="dxa"/>
            <w:vAlign w:val="center"/>
          </w:tcPr>
          <w:p>
            <w:pPr>
              <w:pStyle w:val="19"/>
            </w:pPr>
            <w:r>
              <w:t>专款专用率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及时性</w:t>
            </w:r>
          </w:p>
        </w:tc>
        <w:tc>
          <w:tcPr>
            <w:tcW w:w="2654" w:type="dxa"/>
            <w:vAlign w:val="center"/>
          </w:tcPr>
          <w:p>
            <w:pPr>
              <w:pStyle w:val="19"/>
            </w:pPr>
            <w:r>
              <w:t>及时性</w:t>
            </w:r>
          </w:p>
        </w:tc>
        <w:tc>
          <w:tcPr>
            <w:tcW w:w="1327" w:type="dxa"/>
            <w:vAlign w:val="center"/>
          </w:tcPr>
          <w:p>
            <w:pPr>
              <w:pStyle w:val="19"/>
            </w:pPr>
            <w:r>
              <w:t>≥95百分比</w:t>
            </w:r>
          </w:p>
        </w:tc>
        <w:tc>
          <w:tcPr>
            <w:tcW w:w="1327" w:type="dxa"/>
            <w:vAlign w:val="center"/>
          </w:tcPr>
          <w:p>
            <w:pPr>
              <w:pStyle w:val="19"/>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人均发放水平</w:t>
            </w:r>
          </w:p>
        </w:tc>
        <w:tc>
          <w:tcPr>
            <w:tcW w:w="2654" w:type="dxa"/>
            <w:vAlign w:val="center"/>
          </w:tcPr>
          <w:p>
            <w:pPr>
              <w:pStyle w:val="19"/>
            </w:pPr>
            <w:r>
              <w:t>人均发放水平</w:t>
            </w:r>
          </w:p>
        </w:tc>
        <w:tc>
          <w:tcPr>
            <w:tcW w:w="1327" w:type="dxa"/>
            <w:vAlign w:val="center"/>
          </w:tcPr>
          <w:p>
            <w:pPr>
              <w:pStyle w:val="19"/>
            </w:pPr>
            <w:r>
              <w:t>≥95百分比</w:t>
            </w:r>
          </w:p>
        </w:tc>
        <w:tc>
          <w:tcPr>
            <w:tcW w:w="1327" w:type="dxa"/>
            <w:vAlign w:val="center"/>
          </w:tcPr>
          <w:p>
            <w:pPr>
              <w:pStyle w:val="19"/>
            </w:pPr>
            <w:r>
              <w:t>人均发放水平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可持续影响指标</w:t>
            </w:r>
          </w:p>
        </w:tc>
        <w:tc>
          <w:tcPr>
            <w:tcW w:w="1327" w:type="dxa"/>
            <w:vAlign w:val="center"/>
          </w:tcPr>
          <w:p>
            <w:pPr>
              <w:pStyle w:val="19"/>
            </w:pPr>
            <w:r>
              <w:t>维护社会稳定</w:t>
            </w:r>
          </w:p>
        </w:tc>
        <w:tc>
          <w:tcPr>
            <w:tcW w:w="2654" w:type="dxa"/>
            <w:vAlign w:val="center"/>
          </w:tcPr>
          <w:p>
            <w:pPr>
              <w:pStyle w:val="19"/>
            </w:pPr>
            <w:r>
              <w:t>维护社会稳定</w:t>
            </w:r>
          </w:p>
        </w:tc>
        <w:tc>
          <w:tcPr>
            <w:tcW w:w="1327" w:type="dxa"/>
            <w:vAlign w:val="center"/>
          </w:tcPr>
          <w:p>
            <w:pPr>
              <w:pStyle w:val="19"/>
            </w:pPr>
            <w:r>
              <w:t>≥90百分比</w:t>
            </w:r>
          </w:p>
        </w:tc>
        <w:tc>
          <w:tcPr>
            <w:tcW w:w="1327" w:type="dxa"/>
            <w:vAlign w:val="center"/>
          </w:tcPr>
          <w:p>
            <w:pPr>
              <w:pStyle w:val="19"/>
            </w:pPr>
            <w:r>
              <w:t>维护社会稳定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经济效益指标</w:t>
            </w:r>
          </w:p>
        </w:tc>
        <w:tc>
          <w:tcPr>
            <w:tcW w:w="1327" w:type="dxa"/>
            <w:vAlign w:val="center"/>
          </w:tcPr>
          <w:p>
            <w:pPr>
              <w:pStyle w:val="19"/>
            </w:pPr>
            <w:r>
              <w:t>综合利用率</w:t>
            </w:r>
          </w:p>
        </w:tc>
        <w:tc>
          <w:tcPr>
            <w:tcW w:w="2654" w:type="dxa"/>
            <w:vAlign w:val="center"/>
          </w:tcPr>
          <w:p>
            <w:pPr>
              <w:pStyle w:val="19"/>
            </w:pPr>
            <w:r>
              <w:t>综合利用率</w:t>
            </w:r>
          </w:p>
        </w:tc>
        <w:tc>
          <w:tcPr>
            <w:tcW w:w="1327" w:type="dxa"/>
            <w:vAlign w:val="center"/>
          </w:tcPr>
          <w:p>
            <w:pPr>
              <w:pStyle w:val="19"/>
            </w:pPr>
            <w:r>
              <w:t>≥90百分比</w:t>
            </w:r>
          </w:p>
        </w:tc>
        <w:tc>
          <w:tcPr>
            <w:tcW w:w="1327" w:type="dxa"/>
            <w:vAlign w:val="center"/>
          </w:tcPr>
          <w:p>
            <w:pPr>
              <w:pStyle w:val="19"/>
            </w:pPr>
            <w:r>
              <w:t>综合利用率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补贴发放率</w:t>
            </w:r>
          </w:p>
        </w:tc>
        <w:tc>
          <w:tcPr>
            <w:tcW w:w="2654" w:type="dxa"/>
            <w:vAlign w:val="center"/>
          </w:tcPr>
          <w:p>
            <w:pPr>
              <w:pStyle w:val="19"/>
            </w:pPr>
            <w:r>
              <w:t>补贴发放率</w:t>
            </w:r>
          </w:p>
        </w:tc>
        <w:tc>
          <w:tcPr>
            <w:tcW w:w="1327" w:type="dxa"/>
            <w:vAlign w:val="center"/>
          </w:tcPr>
          <w:p>
            <w:pPr>
              <w:pStyle w:val="19"/>
            </w:pPr>
            <w:r>
              <w:t>≥90百分比</w:t>
            </w:r>
          </w:p>
        </w:tc>
        <w:tc>
          <w:tcPr>
            <w:tcW w:w="1327" w:type="dxa"/>
            <w:vAlign w:val="center"/>
          </w:tcPr>
          <w:p>
            <w:pPr>
              <w:pStyle w:val="19"/>
            </w:pPr>
            <w:r>
              <w:t>补贴发放率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生态效益指标</w:t>
            </w:r>
          </w:p>
        </w:tc>
        <w:tc>
          <w:tcPr>
            <w:tcW w:w="2654" w:type="dxa"/>
            <w:vAlign w:val="center"/>
          </w:tcPr>
          <w:p>
            <w:pPr>
              <w:pStyle w:val="19"/>
            </w:pPr>
            <w:r>
              <w:t>生态效益指标</w:t>
            </w:r>
          </w:p>
        </w:tc>
        <w:tc>
          <w:tcPr>
            <w:tcW w:w="1327" w:type="dxa"/>
            <w:vAlign w:val="center"/>
          </w:tcPr>
          <w:p>
            <w:pPr>
              <w:pStyle w:val="19"/>
            </w:pPr>
            <w:r>
              <w:t>≥90百分比</w:t>
            </w:r>
          </w:p>
        </w:tc>
        <w:tc>
          <w:tcPr>
            <w:tcW w:w="1327" w:type="dxa"/>
            <w:vAlign w:val="center"/>
          </w:tcPr>
          <w:p>
            <w:pPr>
              <w:pStyle w:val="19"/>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服务对象满意度</w:t>
            </w:r>
          </w:p>
        </w:tc>
        <w:tc>
          <w:tcPr>
            <w:tcW w:w="2654" w:type="dxa"/>
            <w:vAlign w:val="center"/>
          </w:tcPr>
          <w:p>
            <w:pPr>
              <w:pStyle w:val="19"/>
            </w:pPr>
            <w:r>
              <w:t>服务对象满意度</w:t>
            </w:r>
          </w:p>
        </w:tc>
        <w:tc>
          <w:tcPr>
            <w:tcW w:w="1327" w:type="dxa"/>
            <w:vAlign w:val="center"/>
          </w:tcPr>
          <w:p>
            <w:pPr>
              <w:pStyle w:val="19"/>
            </w:pPr>
            <w:r>
              <w:t>≥90百分比</w:t>
            </w:r>
          </w:p>
        </w:tc>
        <w:tc>
          <w:tcPr>
            <w:tcW w:w="1327" w:type="dxa"/>
            <w:vAlign w:val="center"/>
          </w:tcPr>
          <w:p>
            <w:pPr>
              <w:pStyle w:val="19"/>
            </w:pPr>
            <w:r>
              <w:t>服务对象满意度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bookmarkStart w:id="13" w:name="_Toc_4_4_0000000014"/>
      <w:r>
        <w:rPr>
          <w:rFonts w:ascii="方正仿宋_GBK" w:hAnsi="方正仿宋_GBK" w:eastAsia="方正仿宋_GBK" w:cs="方正仿宋_GBK"/>
          <w:color w:val="000000"/>
          <w:sz w:val="28"/>
        </w:rPr>
        <w:t>11.2022年大曹庄乡、徐家河乡、宁南筹备办66周岁老党员生活补贴绩效目标表</w:t>
      </w:r>
      <w:bookmarkEnd w:id="13"/>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w:t>
            </w:r>
            <w:r>
              <w:rPr>
                <w:rFonts w:hint="eastAsia"/>
                <w:lang w:val="en-US" w:eastAsia="zh-CN"/>
              </w:rPr>
              <w:t xml:space="preserve"> </w:t>
            </w:r>
            <w:r>
              <w:t>中国共产党宁晋县委员会组织部</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绩效目标</w:t>
            </w:r>
          </w:p>
        </w:tc>
        <w:tc>
          <w:tcPr>
            <w:tcW w:w="7962" w:type="dxa"/>
            <w:gridSpan w:val="2"/>
            <w:vAlign w:val="center"/>
          </w:tcPr>
          <w:p>
            <w:pPr>
              <w:pStyle w:val="19"/>
            </w:pPr>
            <w:r>
              <w:t>1.及时为大曹庄乡、徐家河乡、宁南筹备办66岁以上老党员发放足额生活补贴</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发放人数</w:t>
            </w:r>
          </w:p>
        </w:tc>
        <w:tc>
          <w:tcPr>
            <w:tcW w:w="2654" w:type="dxa"/>
            <w:vAlign w:val="center"/>
          </w:tcPr>
          <w:p>
            <w:pPr>
              <w:pStyle w:val="19"/>
            </w:pPr>
            <w:r>
              <w:t>领取补贴人数</w:t>
            </w:r>
          </w:p>
        </w:tc>
        <w:tc>
          <w:tcPr>
            <w:tcW w:w="1327" w:type="dxa"/>
            <w:vAlign w:val="center"/>
          </w:tcPr>
          <w:p>
            <w:pPr>
              <w:pStyle w:val="19"/>
            </w:pPr>
            <w:r>
              <w:t>≥400人</w:t>
            </w:r>
          </w:p>
        </w:tc>
        <w:tc>
          <w:tcPr>
            <w:tcW w:w="1327" w:type="dxa"/>
            <w:vAlign w:val="center"/>
          </w:tcPr>
          <w:p>
            <w:pPr>
              <w:pStyle w:val="19"/>
            </w:pPr>
            <w:r>
              <w:t>领取补贴人数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专款专用率</w:t>
            </w:r>
          </w:p>
        </w:tc>
        <w:tc>
          <w:tcPr>
            <w:tcW w:w="2654" w:type="dxa"/>
            <w:vAlign w:val="center"/>
          </w:tcPr>
          <w:p>
            <w:pPr>
              <w:pStyle w:val="19"/>
            </w:pPr>
            <w:r>
              <w:t>大曹庄乡、徐家河乡、宁南筹备办66岁以上老党员生活补贴专款专用情况</w:t>
            </w:r>
          </w:p>
        </w:tc>
        <w:tc>
          <w:tcPr>
            <w:tcW w:w="1327" w:type="dxa"/>
            <w:vAlign w:val="center"/>
          </w:tcPr>
          <w:p>
            <w:pPr>
              <w:pStyle w:val="19"/>
            </w:pPr>
            <w:r>
              <w:t>≥95百分比</w:t>
            </w:r>
          </w:p>
        </w:tc>
        <w:tc>
          <w:tcPr>
            <w:tcW w:w="1327" w:type="dxa"/>
            <w:vAlign w:val="center"/>
          </w:tcPr>
          <w:p>
            <w:pPr>
              <w:pStyle w:val="19"/>
            </w:pPr>
            <w:r>
              <w:t>大曹庄乡、徐家河乡、宁南筹备办66岁以上老党员生活补贴专款专用情况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及时性</w:t>
            </w:r>
          </w:p>
        </w:tc>
        <w:tc>
          <w:tcPr>
            <w:tcW w:w="2654" w:type="dxa"/>
            <w:vAlign w:val="center"/>
          </w:tcPr>
          <w:p>
            <w:pPr>
              <w:pStyle w:val="19"/>
            </w:pPr>
            <w:r>
              <w:t>及时为大曹庄乡、徐家河乡、宁南筹备办66岁以上老党员发放生活补贴</w:t>
            </w:r>
          </w:p>
        </w:tc>
        <w:tc>
          <w:tcPr>
            <w:tcW w:w="1327" w:type="dxa"/>
            <w:vAlign w:val="center"/>
          </w:tcPr>
          <w:p>
            <w:pPr>
              <w:pStyle w:val="19"/>
            </w:pPr>
            <w:r>
              <w:t>≥95百分比</w:t>
            </w:r>
          </w:p>
        </w:tc>
        <w:tc>
          <w:tcPr>
            <w:tcW w:w="1327" w:type="dxa"/>
            <w:vAlign w:val="center"/>
          </w:tcPr>
          <w:p>
            <w:pPr>
              <w:pStyle w:val="19"/>
            </w:pPr>
            <w:r>
              <w:t>及时为大曹庄乡、徐家河乡、宁南筹备办66岁以上老党员发放生活补贴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人均发放水平</w:t>
            </w:r>
          </w:p>
        </w:tc>
        <w:tc>
          <w:tcPr>
            <w:tcW w:w="2654" w:type="dxa"/>
            <w:vAlign w:val="center"/>
          </w:tcPr>
          <w:p>
            <w:pPr>
              <w:pStyle w:val="19"/>
            </w:pPr>
            <w:r>
              <w:t>为大曹庄乡、徐家河乡、宁南筹备办66岁以上老党员发放足额生活补贴</w:t>
            </w:r>
          </w:p>
        </w:tc>
        <w:tc>
          <w:tcPr>
            <w:tcW w:w="1327" w:type="dxa"/>
            <w:vAlign w:val="center"/>
          </w:tcPr>
          <w:p>
            <w:pPr>
              <w:pStyle w:val="19"/>
            </w:pPr>
            <w:r>
              <w:t>≥95百分比</w:t>
            </w:r>
          </w:p>
        </w:tc>
        <w:tc>
          <w:tcPr>
            <w:tcW w:w="1327" w:type="dxa"/>
            <w:vAlign w:val="center"/>
          </w:tcPr>
          <w:p>
            <w:pPr>
              <w:pStyle w:val="19"/>
            </w:pPr>
            <w:r>
              <w:t>为大曹庄乡、徐家河乡、宁南筹备办66岁以上老党员发放足额生活补贴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可持续影响指标</w:t>
            </w:r>
          </w:p>
        </w:tc>
        <w:tc>
          <w:tcPr>
            <w:tcW w:w="1327" w:type="dxa"/>
            <w:vAlign w:val="center"/>
          </w:tcPr>
          <w:p>
            <w:pPr>
              <w:pStyle w:val="19"/>
            </w:pPr>
            <w:r>
              <w:t>维护社会稳定</w:t>
            </w:r>
          </w:p>
        </w:tc>
        <w:tc>
          <w:tcPr>
            <w:tcW w:w="2654" w:type="dxa"/>
            <w:vAlign w:val="center"/>
          </w:tcPr>
          <w:p>
            <w:pPr>
              <w:pStyle w:val="19"/>
            </w:pPr>
            <w:r>
              <w:t>维护社会稳定</w:t>
            </w:r>
          </w:p>
        </w:tc>
        <w:tc>
          <w:tcPr>
            <w:tcW w:w="1327" w:type="dxa"/>
            <w:vAlign w:val="center"/>
          </w:tcPr>
          <w:p>
            <w:pPr>
              <w:pStyle w:val="19"/>
            </w:pPr>
            <w:r>
              <w:t>≥90百分比</w:t>
            </w:r>
          </w:p>
        </w:tc>
        <w:tc>
          <w:tcPr>
            <w:tcW w:w="1327" w:type="dxa"/>
            <w:vAlign w:val="center"/>
          </w:tcPr>
          <w:p>
            <w:pPr>
              <w:pStyle w:val="19"/>
            </w:pPr>
            <w:r>
              <w:t>维护社会稳定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经济效益指标</w:t>
            </w:r>
          </w:p>
        </w:tc>
        <w:tc>
          <w:tcPr>
            <w:tcW w:w="1327" w:type="dxa"/>
            <w:vAlign w:val="center"/>
          </w:tcPr>
          <w:p>
            <w:pPr>
              <w:pStyle w:val="19"/>
            </w:pPr>
            <w:r>
              <w:t>综合利用率</w:t>
            </w:r>
          </w:p>
        </w:tc>
        <w:tc>
          <w:tcPr>
            <w:tcW w:w="2654" w:type="dxa"/>
            <w:vAlign w:val="center"/>
          </w:tcPr>
          <w:p>
            <w:pPr>
              <w:pStyle w:val="19"/>
            </w:pPr>
            <w:r>
              <w:t>资金使用情况</w:t>
            </w:r>
          </w:p>
        </w:tc>
        <w:tc>
          <w:tcPr>
            <w:tcW w:w="1327" w:type="dxa"/>
            <w:vAlign w:val="center"/>
          </w:tcPr>
          <w:p>
            <w:pPr>
              <w:pStyle w:val="19"/>
            </w:pPr>
            <w:r>
              <w:t>≥90百分比</w:t>
            </w:r>
          </w:p>
        </w:tc>
        <w:tc>
          <w:tcPr>
            <w:tcW w:w="1327" w:type="dxa"/>
            <w:vAlign w:val="center"/>
          </w:tcPr>
          <w:p>
            <w:pPr>
              <w:pStyle w:val="19"/>
            </w:pPr>
            <w:r>
              <w:t>资金使用情况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保障服务水平</w:t>
            </w:r>
          </w:p>
        </w:tc>
        <w:tc>
          <w:tcPr>
            <w:tcW w:w="2654" w:type="dxa"/>
            <w:vAlign w:val="center"/>
          </w:tcPr>
          <w:p>
            <w:pPr>
              <w:pStyle w:val="19"/>
            </w:pPr>
            <w:r>
              <w:t>保障服务水平</w:t>
            </w:r>
          </w:p>
        </w:tc>
        <w:tc>
          <w:tcPr>
            <w:tcW w:w="1327" w:type="dxa"/>
            <w:vAlign w:val="center"/>
          </w:tcPr>
          <w:p>
            <w:pPr>
              <w:pStyle w:val="19"/>
            </w:pPr>
            <w:r>
              <w:t>≥90百分比</w:t>
            </w:r>
          </w:p>
        </w:tc>
        <w:tc>
          <w:tcPr>
            <w:tcW w:w="1327" w:type="dxa"/>
            <w:vAlign w:val="center"/>
          </w:tcPr>
          <w:p>
            <w:pPr>
              <w:pStyle w:val="19"/>
            </w:pPr>
            <w:r>
              <w:t>保障服务水平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生态效益指标</w:t>
            </w:r>
          </w:p>
        </w:tc>
        <w:tc>
          <w:tcPr>
            <w:tcW w:w="2654" w:type="dxa"/>
            <w:vAlign w:val="center"/>
          </w:tcPr>
          <w:p>
            <w:pPr>
              <w:pStyle w:val="19"/>
            </w:pPr>
            <w:r>
              <w:t>生态效益指标</w:t>
            </w:r>
          </w:p>
        </w:tc>
        <w:tc>
          <w:tcPr>
            <w:tcW w:w="1327" w:type="dxa"/>
            <w:vAlign w:val="center"/>
          </w:tcPr>
          <w:p>
            <w:pPr>
              <w:pStyle w:val="19"/>
            </w:pPr>
            <w:r>
              <w:t>≥90百分比</w:t>
            </w:r>
          </w:p>
        </w:tc>
        <w:tc>
          <w:tcPr>
            <w:tcW w:w="1327" w:type="dxa"/>
            <w:vAlign w:val="center"/>
          </w:tcPr>
          <w:p>
            <w:pPr>
              <w:pStyle w:val="19"/>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服务对象满意度</w:t>
            </w:r>
          </w:p>
        </w:tc>
        <w:tc>
          <w:tcPr>
            <w:tcW w:w="2654" w:type="dxa"/>
            <w:vAlign w:val="center"/>
          </w:tcPr>
          <w:p>
            <w:pPr>
              <w:pStyle w:val="19"/>
            </w:pPr>
            <w:r>
              <w:t>大曹庄乡、徐家河乡66岁以上老党员的满意程度</w:t>
            </w:r>
          </w:p>
        </w:tc>
        <w:tc>
          <w:tcPr>
            <w:tcW w:w="1327" w:type="dxa"/>
            <w:vAlign w:val="center"/>
          </w:tcPr>
          <w:p>
            <w:pPr>
              <w:pStyle w:val="19"/>
            </w:pPr>
            <w:r>
              <w:t>≥90百分比</w:t>
            </w:r>
          </w:p>
        </w:tc>
        <w:tc>
          <w:tcPr>
            <w:tcW w:w="1327" w:type="dxa"/>
            <w:vAlign w:val="center"/>
          </w:tcPr>
          <w:p>
            <w:pPr>
              <w:pStyle w:val="19"/>
            </w:pPr>
            <w:r>
              <w:t>大曹庄乡、徐家河乡66岁以上老党员的满意程度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bookmarkStart w:id="14" w:name="_Toc_4_4_0000000015"/>
      <w:r>
        <w:rPr>
          <w:rFonts w:ascii="方正仿宋_GBK" w:hAnsi="方正仿宋_GBK" w:eastAsia="方正仿宋_GBK" w:cs="方正仿宋_GBK"/>
          <w:color w:val="000000"/>
          <w:sz w:val="28"/>
        </w:rPr>
        <w:t>12.2022年公益岗人员岗位补贴绩效目标表</w:t>
      </w:r>
      <w:bookmarkEnd w:id="14"/>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w:t>
            </w:r>
            <w:r>
              <w:rPr>
                <w:rFonts w:hint="eastAsia"/>
                <w:lang w:val="en-US" w:eastAsia="zh-CN"/>
              </w:rPr>
              <w:t xml:space="preserve"> </w:t>
            </w:r>
            <w:r>
              <w:t>中国共产党宁晋县委员会组织部</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绩效目标</w:t>
            </w:r>
          </w:p>
        </w:tc>
        <w:tc>
          <w:tcPr>
            <w:tcW w:w="7962" w:type="dxa"/>
            <w:gridSpan w:val="2"/>
            <w:vAlign w:val="center"/>
          </w:tcPr>
          <w:p>
            <w:pPr>
              <w:pStyle w:val="19"/>
            </w:pPr>
            <w:r>
              <w:t>1.及时足额为公益岗人员发放补贴</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发放人员数量</w:t>
            </w:r>
          </w:p>
        </w:tc>
        <w:tc>
          <w:tcPr>
            <w:tcW w:w="2654" w:type="dxa"/>
            <w:vAlign w:val="center"/>
          </w:tcPr>
          <w:p>
            <w:pPr>
              <w:pStyle w:val="19"/>
            </w:pPr>
            <w:r>
              <w:t>发放人员数量</w:t>
            </w:r>
          </w:p>
        </w:tc>
        <w:tc>
          <w:tcPr>
            <w:tcW w:w="1327" w:type="dxa"/>
            <w:vAlign w:val="center"/>
          </w:tcPr>
          <w:p>
            <w:pPr>
              <w:pStyle w:val="19"/>
            </w:pPr>
            <w:r>
              <w:t>3人</w:t>
            </w:r>
          </w:p>
        </w:tc>
        <w:tc>
          <w:tcPr>
            <w:tcW w:w="1327" w:type="dxa"/>
            <w:vAlign w:val="center"/>
          </w:tcPr>
          <w:p>
            <w:pPr>
              <w:pStyle w:val="19"/>
            </w:pPr>
            <w:r>
              <w:t>发放人员数量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专款专用率</w:t>
            </w:r>
          </w:p>
        </w:tc>
        <w:tc>
          <w:tcPr>
            <w:tcW w:w="2654" w:type="dxa"/>
            <w:vAlign w:val="center"/>
          </w:tcPr>
          <w:p>
            <w:pPr>
              <w:pStyle w:val="19"/>
            </w:pPr>
            <w:r>
              <w:t>公益岗人员岗位补贴专款专用情况</w:t>
            </w:r>
          </w:p>
        </w:tc>
        <w:tc>
          <w:tcPr>
            <w:tcW w:w="1327" w:type="dxa"/>
            <w:vAlign w:val="center"/>
          </w:tcPr>
          <w:p>
            <w:pPr>
              <w:pStyle w:val="19"/>
            </w:pPr>
            <w:r>
              <w:t>100百分比</w:t>
            </w:r>
          </w:p>
        </w:tc>
        <w:tc>
          <w:tcPr>
            <w:tcW w:w="1327" w:type="dxa"/>
            <w:vAlign w:val="center"/>
          </w:tcPr>
          <w:p>
            <w:pPr>
              <w:pStyle w:val="19"/>
            </w:pPr>
            <w:r>
              <w:t>公益岗人员岗位补贴专款专用情况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及时发放情况</w:t>
            </w:r>
          </w:p>
        </w:tc>
        <w:tc>
          <w:tcPr>
            <w:tcW w:w="2654" w:type="dxa"/>
            <w:vAlign w:val="center"/>
          </w:tcPr>
          <w:p>
            <w:pPr>
              <w:pStyle w:val="19"/>
            </w:pPr>
            <w:r>
              <w:t>及时为公益岗人员发放补贴</w:t>
            </w:r>
          </w:p>
        </w:tc>
        <w:tc>
          <w:tcPr>
            <w:tcW w:w="1327" w:type="dxa"/>
            <w:vAlign w:val="center"/>
          </w:tcPr>
          <w:p>
            <w:pPr>
              <w:pStyle w:val="19"/>
            </w:pPr>
            <w:r>
              <w:t>≥95百分比</w:t>
            </w:r>
          </w:p>
        </w:tc>
        <w:tc>
          <w:tcPr>
            <w:tcW w:w="1327" w:type="dxa"/>
            <w:vAlign w:val="center"/>
          </w:tcPr>
          <w:p>
            <w:pPr>
              <w:pStyle w:val="19"/>
            </w:pPr>
            <w:r>
              <w:t>及时为公益岗人员发放补贴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总成本</w:t>
            </w:r>
          </w:p>
        </w:tc>
        <w:tc>
          <w:tcPr>
            <w:tcW w:w="2654" w:type="dxa"/>
            <w:vAlign w:val="center"/>
          </w:tcPr>
          <w:p>
            <w:pPr>
              <w:pStyle w:val="19"/>
            </w:pPr>
            <w:r>
              <w:t>项目完成总成本</w:t>
            </w:r>
          </w:p>
        </w:tc>
        <w:tc>
          <w:tcPr>
            <w:tcW w:w="1327" w:type="dxa"/>
            <w:vAlign w:val="center"/>
          </w:tcPr>
          <w:p>
            <w:pPr>
              <w:pStyle w:val="19"/>
            </w:pPr>
            <w:r>
              <w:t>≤2.88万元</w:t>
            </w:r>
          </w:p>
        </w:tc>
        <w:tc>
          <w:tcPr>
            <w:tcW w:w="1327" w:type="dxa"/>
            <w:vAlign w:val="center"/>
          </w:tcPr>
          <w:p>
            <w:pPr>
              <w:pStyle w:val="19"/>
            </w:pPr>
            <w:r>
              <w:t>项目完成总成本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经济效益指标</w:t>
            </w:r>
          </w:p>
        </w:tc>
        <w:tc>
          <w:tcPr>
            <w:tcW w:w="1327" w:type="dxa"/>
            <w:vAlign w:val="center"/>
          </w:tcPr>
          <w:p>
            <w:pPr>
              <w:pStyle w:val="19"/>
            </w:pPr>
            <w:r>
              <w:t>经济效益指标</w:t>
            </w:r>
          </w:p>
        </w:tc>
        <w:tc>
          <w:tcPr>
            <w:tcW w:w="2654" w:type="dxa"/>
            <w:vAlign w:val="center"/>
          </w:tcPr>
          <w:p>
            <w:pPr>
              <w:pStyle w:val="19"/>
            </w:pPr>
            <w:r>
              <w:t>经济效益指标</w:t>
            </w:r>
          </w:p>
        </w:tc>
        <w:tc>
          <w:tcPr>
            <w:tcW w:w="1327" w:type="dxa"/>
            <w:vAlign w:val="center"/>
          </w:tcPr>
          <w:p>
            <w:pPr>
              <w:pStyle w:val="19"/>
            </w:pPr>
            <w:r>
              <w:t>≥95百分比</w:t>
            </w:r>
          </w:p>
        </w:tc>
        <w:tc>
          <w:tcPr>
            <w:tcW w:w="1327" w:type="dxa"/>
            <w:vAlign w:val="center"/>
          </w:tcPr>
          <w:p>
            <w:pPr>
              <w:pStyle w:val="19"/>
            </w:pPr>
            <w:r>
              <w:t>经济效益指标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社会效益指标</w:t>
            </w:r>
          </w:p>
        </w:tc>
        <w:tc>
          <w:tcPr>
            <w:tcW w:w="2654" w:type="dxa"/>
            <w:vAlign w:val="center"/>
          </w:tcPr>
          <w:p>
            <w:pPr>
              <w:pStyle w:val="19"/>
            </w:pPr>
            <w:r>
              <w:t>社会效益指标</w:t>
            </w:r>
          </w:p>
        </w:tc>
        <w:tc>
          <w:tcPr>
            <w:tcW w:w="1327" w:type="dxa"/>
            <w:vAlign w:val="center"/>
          </w:tcPr>
          <w:p>
            <w:pPr>
              <w:pStyle w:val="19"/>
            </w:pPr>
            <w:r>
              <w:t>≥95百分比</w:t>
            </w:r>
          </w:p>
        </w:tc>
        <w:tc>
          <w:tcPr>
            <w:tcW w:w="1327" w:type="dxa"/>
            <w:vAlign w:val="center"/>
          </w:tcPr>
          <w:p>
            <w:pPr>
              <w:pStyle w:val="19"/>
            </w:pPr>
            <w:r>
              <w:t>社会效益指标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生态效益指标</w:t>
            </w:r>
          </w:p>
        </w:tc>
        <w:tc>
          <w:tcPr>
            <w:tcW w:w="2654" w:type="dxa"/>
            <w:vAlign w:val="center"/>
          </w:tcPr>
          <w:p>
            <w:pPr>
              <w:pStyle w:val="19"/>
            </w:pPr>
            <w:r>
              <w:t>生态效益指标</w:t>
            </w:r>
          </w:p>
        </w:tc>
        <w:tc>
          <w:tcPr>
            <w:tcW w:w="1327" w:type="dxa"/>
            <w:vAlign w:val="center"/>
          </w:tcPr>
          <w:p>
            <w:pPr>
              <w:pStyle w:val="19"/>
            </w:pPr>
            <w:r>
              <w:t>≥95百分比</w:t>
            </w:r>
          </w:p>
        </w:tc>
        <w:tc>
          <w:tcPr>
            <w:tcW w:w="1327" w:type="dxa"/>
            <w:vAlign w:val="center"/>
          </w:tcPr>
          <w:p>
            <w:pPr>
              <w:pStyle w:val="19"/>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可持续影响指标</w:t>
            </w:r>
          </w:p>
        </w:tc>
        <w:tc>
          <w:tcPr>
            <w:tcW w:w="1327" w:type="dxa"/>
            <w:vAlign w:val="center"/>
          </w:tcPr>
          <w:p>
            <w:pPr>
              <w:pStyle w:val="19"/>
            </w:pPr>
            <w:r>
              <w:t>可持续性</w:t>
            </w:r>
          </w:p>
        </w:tc>
        <w:tc>
          <w:tcPr>
            <w:tcW w:w="2654" w:type="dxa"/>
            <w:vAlign w:val="center"/>
          </w:tcPr>
          <w:p>
            <w:pPr>
              <w:pStyle w:val="19"/>
            </w:pPr>
            <w:r>
              <w:t>可持续性</w:t>
            </w:r>
          </w:p>
        </w:tc>
        <w:tc>
          <w:tcPr>
            <w:tcW w:w="1327" w:type="dxa"/>
            <w:vAlign w:val="center"/>
          </w:tcPr>
          <w:p>
            <w:pPr>
              <w:pStyle w:val="19"/>
            </w:pPr>
            <w:r>
              <w:t>≥95百分比</w:t>
            </w:r>
          </w:p>
        </w:tc>
        <w:tc>
          <w:tcPr>
            <w:tcW w:w="1327" w:type="dxa"/>
            <w:vAlign w:val="center"/>
          </w:tcPr>
          <w:p>
            <w:pPr>
              <w:pStyle w:val="19"/>
            </w:pPr>
            <w:r>
              <w:t>可持续性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公益岗人员满意度</w:t>
            </w:r>
          </w:p>
        </w:tc>
        <w:tc>
          <w:tcPr>
            <w:tcW w:w="2654" w:type="dxa"/>
            <w:vAlign w:val="center"/>
          </w:tcPr>
          <w:p>
            <w:pPr>
              <w:pStyle w:val="19"/>
            </w:pPr>
            <w:r>
              <w:t>发放补贴公益岗人员满意度</w:t>
            </w:r>
          </w:p>
        </w:tc>
        <w:tc>
          <w:tcPr>
            <w:tcW w:w="1327" w:type="dxa"/>
            <w:vAlign w:val="center"/>
          </w:tcPr>
          <w:p>
            <w:pPr>
              <w:pStyle w:val="19"/>
            </w:pPr>
            <w:r>
              <w:t>≥95百分比</w:t>
            </w:r>
          </w:p>
        </w:tc>
        <w:tc>
          <w:tcPr>
            <w:tcW w:w="1327" w:type="dxa"/>
            <w:vAlign w:val="center"/>
          </w:tcPr>
          <w:p>
            <w:pPr>
              <w:pStyle w:val="19"/>
            </w:pPr>
            <w:r>
              <w:t>发放补贴公益岗人员满意度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bookmarkStart w:id="15" w:name="_Toc_4_4_0000000016"/>
      <w:r>
        <w:rPr>
          <w:rFonts w:ascii="方正仿宋_GBK" w:hAnsi="方正仿宋_GBK" w:eastAsia="方正仿宋_GBK" w:cs="方正仿宋_GBK"/>
          <w:color w:val="000000"/>
          <w:sz w:val="28"/>
        </w:rPr>
        <w:t>13.2022年农村干部基础职务补贴绩效目标表</w:t>
      </w:r>
      <w:bookmarkEnd w:id="15"/>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w:t>
            </w:r>
            <w:r>
              <w:rPr>
                <w:rFonts w:hint="eastAsia"/>
                <w:lang w:val="en-US" w:eastAsia="zh-CN"/>
              </w:rPr>
              <w:t xml:space="preserve"> </w:t>
            </w:r>
            <w:r>
              <w:t>中国共产党宁晋县委员会组织部</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绩效目标</w:t>
            </w:r>
          </w:p>
        </w:tc>
        <w:tc>
          <w:tcPr>
            <w:tcW w:w="7962" w:type="dxa"/>
            <w:gridSpan w:val="2"/>
            <w:vAlign w:val="center"/>
          </w:tcPr>
          <w:p>
            <w:pPr>
              <w:pStyle w:val="19"/>
            </w:pPr>
            <w:r>
              <w:t>1.及时足额为村干部发放补贴</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发放人数</w:t>
            </w:r>
          </w:p>
        </w:tc>
        <w:tc>
          <w:tcPr>
            <w:tcW w:w="2654" w:type="dxa"/>
            <w:vAlign w:val="center"/>
          </w:tcPr>
          <w:p>
            <w:pPr>
              <w:pStyle w:val="19"/>
            </w:pPr>
            <w:r>
              <w:t>发放村干部补贴人数</w:t>
            </w:r>
          </w:p>
        </w:tc>
        <w:tc>
          <w:tcPr>
            <w:tcW w:w="1327" w:type="dxa"/>
            <w:vAlign w:val="center"/>
          </w:tcPr>
          <w:p>
            <w:pPr>
              <w:pStyle w:val="19"/>
            </w:pPr>
            <w:r>
              <w:t>≥2000人</w:t>
            </w:r>
          </w:p>
        </w:tc>
        <w:tc>
          <w:tcPr>
            <w:tcW w:w="1327" w:type="dxa"/>
            <w:vAlign w:val="center"/>
          </w:tcPr>
          <w:p>
            <w:pPr>
              <w:pStyle w:val="19"/>
            </w:pPr>
            <w:r>
              <w:t>发放村干部补贴人数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专款专用率</w:t>
            </w:r>
          </w:p>
        </w:tc>
        <w:tc>
          <w:tcPr>
            <w:tcW w:w="2654" w:type="dxa"/>
            <w:vAlign w:val="center"/>
          </w:tcPr>
          <w:p>
            <w:pPr>
              <w:pStyle w:val="19"/>
            </w:pPr>
            <w:r>
              <w:t>农村干部基础职务补贴专款专用情况</w:t>
            </w:r>
          </w:p>
        </w:tc>
        <w:tc>
          <w:tcPr>
            <w:tcW w:w="1327" w:type="dxa"/>
            <w:vAlign w:val="center"/>
          </w:tcPr>
          <w:p>
            <w:pPr>
              <w:pStyle w:val="19"/>
            </w:pPr>
            <w:r>
              <w:t>≥90百分比</w:t>
            </w:r>
          </w:p>
        </w:tc>
        <w:tc>
          <w:tcPr>
            <w:tcW w:w="1327" w:type="dxa"/>
            <w:vAlign w:val="center"/>
          </w:tcPr>
          <w:p>
            <w:pPr>
              <w:pStyle w:val="19"/>
            </w:pPr>
            <w:r>
              <w:t>农村干部基础职务补贴专款专用情况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及时性</w:t>
            </w:r>
          </w:p>
        </w:tc>
        <w:tc>
          <w:tcPr>
            <w:tcW w:w="2654" w:type="dxa"/>
            <w:vAlign w:val="center"/>
          </w:tcPr>
          <w:p>
            <w:pPr>
              <w:pStyle w:val="19"/>
            </w:pPr>
            <w:r>
              <w:t>及时发放补贴</w:t>
            </w:r>
          </w:p>
        </w:tc>
        <w:tc>
          <w:tcPr>
            <w:tcW w:w="1327" w:type="dxa"/>
            <w:vAlign w:val="center"/>
          </w:tcPr>
          <w:p>
            <w:pPr>
              <w:pStyle w:val="19"/>
            </w:pPr>
            <w:r>
              <w:t>≥90百分比</w:t>
            </w:r>
          </w:p>
        </w:tc>
        <w:tc>
          <w:tcPr>
            <w:tcW w:w="1327" w:type="dxa"/>
            <w:vAlign w:val="center"/>
          </w:tcPr>
          <w:p>
            <w:pPr>
              <w:pStyle w:val="19"/>
            </w:pPr>
            <w:r>
              <w:t>及时发放补贴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不超预算支出数</w:t>
            </w:r>
          </w:p>
        </w:tc>
        <w:tc>
          <w:tcPr>
            <w:tcW w:w="2654" w:type="dxa"/>
            <w:vAlign w:val="center"/>
          </w:tcPr>
          <w:p>
            <w:pPr>
              <w:pStyle w:val="19"/>
            </w:pPr>
            <w:r>
              <w:t>不超预算成本支出数</w:t>
            </w:r>
          </w:p>
        </w:tc>
        <w:tc>
          <w:tcPr>
            <w:tcW w:w="1327" w:type="dxa"/>
            <w:vAlign w:val="center"/>
          </w:tcPr>
          <w:p>
            <w:pPr>
              <w:pStyle w:val="19"/>
            </w:pPr>
            <w:r>
              <w:t>≥90百分比</w:t>
            </w:r>
          </w:p>
        </w:tc>
        <w:tc>
          <w:tcPr>
            <w:tcW w:w="1327" w:type="dxa"/>
            <w:vAlign w:val="center"/>
          </w:tcPr>
          <w:p>
            <w:pPr>
              <w:pStyle w:val="19"/>
            </w:pPr>
            <w:r>
              <w:t>不超预算成本支出数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可持续影响指标</w:t>
            </w:r>
          </w:p>
        </w:tc>
        <w:tc>
          <w:tcPr>
            <w:tcW w:w="1327" w:type="dxa"/>
            <w:vAlign w:val="center"/>
          </w:tcPr>
          <w:p>
            <w:pPr>
              <w:pStyle w:val="19"/>
            </w:pPr>
            <w:r>
              <w:t>维护社会稳定</w:t>
            </w:r>
          </w:p>
        </w:tc>
        <w:tc>
          <w:tcPr>
            <w:tcW w:w="2654" w:type="dxa"/>
            <w:vAlign w:val="center"/>
          </w:tcPr>
          <w:p>
            <w:pPr>
              <w:pStyle w:val="19"/>
            </w:pPr>
            <w:r>
              <w:t>保障农村干部生活稳定，维护社会稳定</w:t>
            </w:r>
          </w:p>
        </w:tc>
        <w:tc>
          <w:tcPr>
            <w:tcW w:w="1327" w:type="dxa"/>
            <w:vAlign w:val="center"/>
          </w:tcPr>
          <w:p>
            <w:pPr>
              <w:pStyle w:val="19"/>
            </w:pPr>
            <w:r>
              <w:t>≥90百分比</w:t>
            </w:r>
          </w:p>
        </w:tc>
        <w:tc>
          <w:tcPr>
            <w:tcW w:w="1327" w:type="dxa"/>
            <w:vAlign w:val="center"/>
          </w:tcPr>
          <w:p>
            <w:pPr>
              <w:pStyle w:val="19"/>
            </w:pPr>
            <w:r>
              <w:t>保障农村干部生活稳定，维护社会稳定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经济效益指标</w:t>
            </w:r>
          </w:p>
        </w:tc>
        <w:tc>
          <w:tcPr>
            <w:tcW w:w="1327" w:type="dxa"/>
            <w:vAlign w:val="center"/>
          </w:tcPr>
          <w:p>
            <w:pPr>
              <w:pStyle w:val="19"/>
            </w:pPr>
            <w:r>
              <w:t>综合利用率</w:t>
            </w:r>
          </w:p>
        </w:tc>
        <w:tc>
          <w:tcPr>
            <w:tcW w:w="2654" w:type="dxa"/>
            <w:vAlign w:val="center"/>
          </w:tcPr>
          <w:p>
            <w:pPr>
              <w:pStyle w:val="19"/>
            </w:pPr>
            <w:r>
              <w:t>财政培养补贴使用情况</w:t>
            </w:r>
          </w:p>
        </w:tc>
        <w:tc>
          <w:tcPr>
            <w:tcW w:w="1327" w:type="dxa"/>
            <w:vAlign w:val="center"/>
          </w:tcPr>
          <w:p>
            <w:pPr>
              <w:pStyle w:val="19"/>
            </w:pPr>
            <w:r>
              <w:t>≥90百分比</w:t>
            </w:r>
          </w:p>
        </w:tc>
        <w:tc>
          <w:tcPr>
            <w:tcW w:w="1327" w:type="dxa"/>
            <w:vAlign w:val="center"/>
          </w:tcPr>
          <w:p>
            <w:pPr>
              <w:pStyle w:val="19"/>
            </w:pPr>
            <w:r>
              <w:t>财政培养补贴使用情况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引导舆论导向</w:t>
            </w:r>
          </w:p>
        </w:tc>
        <w:tc>
          <w:tcPr>
            <w:tcW w:w="2654" w:type="dxa"/>
            <w:vAlign w:val="center"/>
          </w:tcPr>
          <w:p>
            <w:pPr>
              <w:pStyle w:val="19"/>
            </w:pPr>
            <w:r>
              <w:t>引导舆论导向</w:t>
            </w:r>
          </w:p>
        </w:tc>
        <w:tc>
          <w:tcPr>
            <w:tcW w:w="1327" w:type="dxa"/>
            <w:vAlign w:val="center"/>
          </w:tcPr>
          <w:p>
            <w:pPr>
              <w:pStyle w:val="19"/>
            </w:pPr>
            <w:r>
              <w:t>≥90百分比</w:t>
            </w:r>
          </w:p>
        </w:tc>
        <w:tc>
          <w:tcPr>
            <w:tcW w:w="1327" w:type="dxa"/>
            <w:vAlign w:val="center"/>
          </w:tcPr>
          <w:p>
            <w:pPr>
              <w:pStyle w:val="19"/>
            </w:pPr>
            <w:r>
              <w:t>引导舆论导向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生态效益指标</w:t>
            </w:r>
          </w:p>
        </w:tc>
        <w:tc>
          <w:tcPr>
            <w:tcW w:w="2654" w:type="dxa"/>
            <w:vAlign w:val="center"/>
          </w:tcPr>
          <w:p>
            <w:pPr>
              <w:pStyle w:val="19"/>
            </w:pPr>
            <w:r>
              <w:t>不涉及</w:t>
            </w:r>
          </w:p>
        </w:tc>
        <w:tc>
          <w:tcPr>
            <w:tcW w:w="1327" w:type="dxa"/>
            <w:vAlign w:val="center"/>
          </w:tcPr>
          <w:p>
            <w:pPr>
              <w:pStyle w:val="19"/>
            </w:pPr>
            <w:r>
              <w:t>≥90百分比</w:t>
            </w:r>
          </w:p>
        </w:tc>
        <w:tc>
          <w:tcPr>
            <w:tcW w:w="1327" w:type="dxa"/>
            <w:vAlign w:val="center"/>
          </w:tcPr>
          <w:p>
            <w:pPr>
              <w:pStyle w:val="19"/>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服务对象满意度</w:t>
            </w:r>
          </w:p>
        </w:tc>
        <w:tc>
          <w:tcPr>
            <w:tcW w:w="2654" w:type="dxa"/>
            <w:vAlign w:val="center"/>
          </w:tcPr>
          <w:p>
            <w:pPr>
              <w:pStyle w:val="19"/>
            </w:pPr>
            <w:r>
              <w:t>农村干部的满意程度</w:t>
            </w:r>
          </w:p>
        </w:tc>
        <w:tc>
          <w:tcPr>
            <w:tcW w:w="1327" w:type="dxa"/>
            <w:vAlign w:val="center"/>
          </w:tcPr>
          <w:p>
            <w:pPr>
              <w:pStyle w:val="19"/>
            </w:pPr>
            <w:r>
              <w:t>≥90百分比</w:t>
            </w:r>
          </w:p>
        </w:tc>
        <w:tc>
          <w:tcPr>
            <w:tcW w:w="1327" w:type="dxa"/>
            <w:vAlign w:val="center"/>
          </w:tcPr>
          <w:p>
            <w:pPr>
              <w:pStyle w:val="19"/>
            </w:pPr>
            <w:r>
              <w:t>农村干部的满意程度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bookmarkStart w:id="16" w:name="_Toc_4_4_0000000017"/>
      <w:r>
        <w:rPr>
          <w:rFonts w:ascii="方正仿宋_GBK" w:hAnsi="方正仿宋_GBK" w:eastAsia="方正仿宋_GBK" w:cs="方正仿宋_GBK"/>
          <w:color w:val="000000"/>
          <w:sz w:val="28"/>
        </w:rPr>
        <w:t>14.2022年农村离任干部生活补贴绩效目标表</w:t>
      </w:r>
      <w:bookmarkEnd w:id="16"/>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w:t>
            </w:r>
            <w:r>
              <w:rPr>
                <w:rFonts w:hint="eastAsia"/>
                <w:lang w:val="en-US" w:eastAsia="zh-CN"/>
              </w:rPr>
              <w:t xml:space="preserve"> </w:t>
            </w:r>
            <w:r>
              <w:t>中国共产党宁晋县委员会组织部</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绩效目标</w:t>
            </w:r>
          </w:p>
        </w:tc>
        <w:tc>
          <w:tcPr>
            <w:tcW w:w="7962" w:type="dxa"/>
            <w:gridSpan w:val="2"/>
            <w:vAlign w:val="center"/>
          </w:tcPr>
          <w:p>
            <w:pPr>
              <w:pStyle w:val="19"/>
            </w:pPr>
            <w:r>
              <w:t>1.及时足额为离任干部发放补贴</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发放人数</w:t>
            </w:r>
          </w:p>
        </w:tc>
        <w:tc>
          <w:tcPr>
            <w:tcW w:w="2654" w:type="dxa"/>
            <w:vAlign w:val="center"/>
          </w:tcPr>
          <w:p>
            <w:pPr>
              <w:pStyle w:val="19"/>
            </w:pPr>
            <w:r>
              <w:t>发放补贴人数</w:t>
            </w:r>
          </w:p>
        </w:tc>
        <w:tc>
          <w:tcPr>
            <w:tcW w:w="1327" w:type="dxa"/>
            <w:vAlign w:val="center"/>
          </w:tcPr>
          <w:p>
            <w:pPr>
              <w:pStyle w:val="19"/>
            </w:pPr>
            <w:r>
              <w:t>≥835人</w:t>
            </w:r>
          </w:p>
        </w:tc>
        <w:tc>
          <w:tcPr>
            <w:tcW w:w="1327" w:type="dxa"/>
            <w:vAlign w:val="center"/>
          </w:tcPr>
          <w:p>
            <w:pPr>
              <w:pStyle w:val="19"/>
            </w:pPr>
            <w:r>
              <w:t>发放补贴人数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专款专用率</w:t>
            </w:r>
          </w:p>
        </w:tc>
        <w:tc>
          <w:tcPr>
            <w:tcW w:w="2654" w:type="dxa"/>
            <w:vAlign w:val="center"/>
          </w:tcPr>
          <w:p>
            <w:pPr>
              <w:pStyle w:val="19"/>
            </w:pPr>
            <w:r>
              <w:t>农村离任干部生活补贴专款专用情况</w:t>
            </w:r>
          </w:p>
        </w:tc>
        <w:tc>
          <w:tcPr>
            <w:tcW w:w="1327" w:type="dxa"/>
            <w:vAlign w:val="center"/>
          </w:tcPr>
          <w:p>
            <w:pPr>
              <w:pStyle w:val="19"/>
            </w:pPr>
            <w:r>
              <w:t>≥90百分比</w:t>
            </w:r>
          </w:p>
        </w:tc>
        <w:tc>
          <w:tcPr>
            <w:tcW w:w="1327" w:type="dxa"/>
            <w:vAlign w:val="center"/>
          </w:tcPr>
          <w:p>
            <w:pPr>
              <w:pStyle w:val="19"/>
            </w:pPr>
            <w:r>
              <w:t>农村离任干部生活补贴专款专用情况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及时性</w:t>
            </w:r>
          </w:p>
        </w:tc>
        <w:tc>
          <w:tcPr>
            <w:tcW w:w="2654" w:type="dxa"/>
            <w:vAlign w:val="center"/>
          </w:tcPr>
          <w:p>
            <w:pPr>
              <w:pStyle w:val="19"/>
            </w:pPr>
            <w:r>
              <w:t>及时发放补贴</w:t>
            </w:r>
          </w:p>
        </w:tc>
        <w:tc>
          <w:tcPr>
            <w:tcW w:w="1327" w:type="dxa"/>
            <w:vAlign w:val="center"/>
          </w:tcPr>
          <w:p>
            <w:pPr>
              <w:pStyle w:val="19"/>
            </w:pPr>
            <w:r>
              <w:t>≥90百分比</w:t>
            </w:r>
          </w:p>
        </w:tc>
        <w:tc>
          <w:tcPr>
            <w:tcW w:w="1327" w:type="dxa"/>
            <w:vAlign w:val="center"/>
          </w:tcPr>
          <w:p>
            <w:pPr>
              <w:pStyle w:val="19"/>
            </w:pPr>
            <w:r>
              <w:t>及时发放补贴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不超预算支出数</w:t>
            </w:r>
          </w:p>
        </w:tc>
        <w:tc>
          <w:tcPr>
            <w:tcW w:w="2654" w:type="dxa"/>
            <w:vAlign w:val="center"/>
          </w:tcPr>
          <w:p>
            <w:pPr>
              <w:pStyle w:val="19"/>
            </w:pPr>
            <w:r>
              <w:t>不超预算成本支出数</w:t>
            </w:r>
          </w:p>
        </w:tc>
        <w:tc>
          <w:tcPr>
            <w:tcW w:w="1327" w:type="dxa"/>
            <w:vAlign w:val="center"/>
          </w:tcPr>
          <w:p>
            <w:pPr>
              <w:pStyle w:val="19"/>
            </w:pPr>
            <w:r>
              <w:t>≥90百分比</w:t>
            </w:r>
          </w:p>
        </w:tc>
        <w:tc>
          <w:tcPr>
            <w:tcW w:w="1327" w:type="dxa"/>
            <w:vAlign w:val="center"/>
          </w:tcPr>
          <w:p>
            <w:pPr>
              <w:pStyle w:val="19"/>
            </w:pPr>
            <w:r>
              <w:t>不超预算成本支出数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可持续影响指标</w:t>
            </w:r>
          </w:p>
        </w:tc>
        <w:tc>
          <w:tcPr>
            <w:tcW w:w="1327" w:type="dxa"/>
            <w:vAlign w:val="center"/>
          </w:tcPr>
          <w:p>
            <w:pPr>
              <w:pStyle w:val="19"/>
            </w:pPr>
            <w:r>
              <w:t>维护社会稳定</w:t>
            </w:r>
          </w:p>
        </w:tc>
        <w:tc>
          <w:tcPr>
            <w:tcW w:w="2654" w:type="dxa"/>
            <w:vAlign w:val="center"/>
          </w:tcPr>
          <w:p>
            <w:pPr>
              <w:pStyle w:val="19"/>
            </w:pPr>
            <w:r>
              <w:t>保障离任干部生活稳定，维护社会稳定</w:t>
            </w:r>
          </w:p>
        </w:tc>
        <w:tc>
          <w:tcPr>
            <w:tcW w:w="1327" w:type="dxa"/>
            <w:vAlign w:val="center"/>
          </w:tcPr>
          <w:p>
            <w:pPr>
              <w:pStyle w:val="19"/>
            </w:pPr>
            <w:r>
              <w:t>≥90百分比</w:t>
            </w:r>
          </w:p>
        </w:tc>
        <w:tc>
          <w:tcPr>
            <w:tcW w:w="1327" w:type="dxa"/>
            <w:vAlign w:val="center"/>
          </w:tcPr>
          <w:p>
            <w:pPr>
              <w:pStyle w:val="19"/>
            </w:pPr>
            <w:r>
              <w:t>保障离任干部生活稳定，维护社会稳定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经济效益指标</w:t>
            </w:r>
          </w:p>
        </w:tc>
        <w:tc>
          <w:tcPr>
            <w:tcW w:w="1327" w:type="dxa"/>
            <w:vAlign w:val="center"/>
          </w:tcPr>
          <w:p>
            <w:pPr>
              <w:pStyle w:val="19"/>
            </w:pPr>
            <w:r>
              <w:t>综合利用率</w:t>
            </w:r>
          </w:p>
        </w:tc>
        <w:tc>
          <w:tcPr>
            <w:tcW w:w="2654" w:type="dxa"/>
            <w:vAlign w:val="center"/>
          </w:tcPr>
          <w:p>
            <w:pPr>
              <w:pStyle w:val="19"/>
            </w:pPr>
            <w:r>
              <w:t>财政培养补贴使用情况</w:t>
            </w:r>
          </w:p>
        </w:tc>
        <w:tc>
          <w:tcPr>
            <w:tcW w:w="1327" w:type="dxa"/>
            <w:vAlign w:val="center"/>
          </w:tcPr>
          <w:p>
            <w:pPr>
              <w:pStyle w:val="19"/>
            </w:pPr>
            <w:r>
              <w:t>≥90百分比</w:t>
            </w:r>
          </w:p>
        </w:tc>
        <w:tc>
          <w:tcPr>
            <w:tcW w:w="1327" w:type="dxa"/>
            <w:vAlign w:val="center"/>
          </w:tcPr>
          <w:p>
            <w:pPr>
              <w:pStyle w:val="19"/>
            </w:pPr>
            <w:r>
              <w:t>财政培养补贴使用情况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引导舆论导向</w:t>
            </w:r>
          </w:p>
        </w:tc>
        <w:tc>
          <w:tcPr>
            <w:tcW w:w="2654" w:type="dxa"/>
            <w:vAlign w:val="center"/>
          </w:tcPr>
          <w:p>
            <w:pPr>
              <w:pStyle w:val="19"/>
            </w:pPr>
            <w:r>
              <w:t>引导舆论导向</w:t>
            </w:r>
          </w:p>
        </w:tc>
        <w:tc>
          <w:tcPr>
            <w:tcW w:w="1327" w:type="dxa"/>
            <w:vAlign w:val="center"/>
          </w:tcPr>
          <w:p>
            <w:pPr>
              <w:pStyle w:val="19"/>
            </w:pPr>
            <w:r>
              <w:t>≥90百分比</w:t>
            </w:r>
          </w:p>
        </w:tc>
        <w:tc>
          <w:tcPr>
            <w:tcW w:w="1327" w:type="dxa"/>
            <w:vAlign w:val="center"/>
          </w:tcPr>
          <w:p>
            <w:pPr>
              <w:pStyle w:val="19"/>
            </w:pPr>
            <w:r>
              <w:t>引导舆论导向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生态效益指标</w:t>
            </w:r>
          </w:p>
        </w:tc>
        <w:tc>
          <w:tcPr>
            <w:tcW w:w="2654" w:type="dxa"/>
            <w:vAlign w:val="center"/>
          </w:tcPr>
          <w:p>
            <w:pPr>
              <w:pStyle w:val="19"/>
            </w:pPr>
            <w:r>
              <w:t>生态效益指标</w:t>
            </w:r>
          </w:p>
        </w:tc>
        <w:tc>
          <w:tcPr>
            <w:tcW w:w="1327" w:type="dxa"/>
            <w:vAlign w:val="center"/>
          </w:tcPr>
          <w:p>
            <w:pPr>
              <w:pStyle w:val="19"/>
            </w:pPr>
            <w:r>
              <w:t>≥90百分比</w:t>
            </w:r>
          </w:p>
        </w:tc>
        <w:tc>
          <w:tcPr>
            <w:tcW w:w="1327" w:type="dxa"/>
            <w:vAlign w:val="center"/>
          </w:tcPr>
          <w:p>
            <w:pPr>
              <w:pStyle w:val="19"/>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服务对象满意度</w:t>
            </w:r>
          </w:p>
        </w:tc>
        <w:tc>
          <w:tcPr>
            <w:tcW w:w="2654" w:type="dxa"/>
            <w:vAlign w:val="center"/>
          </w:tcPr>
          <w:p>
            <w:pPr>
              <w:pStyle w:val="19"/>
            </w:pPr>
            <w:r>
              <w:t>离任干部的满意程度</w:t>
            </w:r>
          </w:p>
        </w:tc>
        <w:tc>
          <w:tcPr>
            <w:tcW w:w="1327" w:type="dxa"/>
            <w:vAlign w:val="center"/>
          </w:tcPr>
          <w:p>
            <w:pPr>
              <w:pStyle w:val="19"/>
            </w:pPr>
            <w:r>
              <w:t>≥90百分比</w:t>
            </w:r>
          </w:p>
        </w:tc>
        <w:tc>
          <w:tcPr>
            <w:tcW w:w="1327" w:type="dxa"/>
            <w:vAlign w:val="center"/>
          </w:tcPr>
          <w:p>
            <w:pPr>
              <w:pStyle w:val="19"/>
            </w:pPr>
            <w:r>
              <w:t>离任干部的满意程度</w:t>
            </w:r>
          </w:p>
        </w:tc>
      </w:tr>
    </w:tbl>
    <w:p>
      <w:pPr>
        <w:sectPr>
          <w:pgSz w:w="11900" w:h="16840"/>
          <w:pgMar w:top="1984" w:right="1304" w:bottom="1134" w:left="1304" w:header="720" w:footer="720" w:gutter="0"/>
          <w:cols w:space="720" w:num="1"/>
        </w:sectPr>
      </w:pPr>
    </w:p>
    <w:p>
      <w:pPr>
        <w:spacing w:before="0" w:after="0" w:line="240" w:lineRule="auto"/>
        <w:ind w:firstLine="0"/>
        <w:jc w:val="both"/>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7" w:name="_Toc_4_4_0000000018"/>
      <w:r>
        <w:rPr>
          <w:rFonts w:ascii="方正仿宋_GBK" w:hAnsi="方正仿宋_GBK" w:eastAsia="方正仿宋_GBK" w:cs="方正仿宋_GBK"/>
          <w:color w:val="000000"/>
          <w:sz w:val="28"/>
        </w:rPr>
        <w:t>15.2022年无固定收入社区“两委”干部生活补贴绩效目标表</w:t>
      </w:r>
      <w:bookmarkEnd w:id="17"/>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w:t>
            </w:r>
            <w:r>
              <w:rPr>
                <w:rFonts w:hint="eastAsia"/>
                <w:lang w:val="en-US" w:eastAsia="zh-CN"/>
              </w:rPr>
              <w:t xml:space="preserve"> </w:t>
            </w:r>
            <w:r>
              <w:t>中国共产党宁晋县委员会组织部</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绩效目标</w:t>
            </w:r>
          </w:p>
        </w:tc>
        <w:tc>
          <w:tcPr>
            <w:tcW w:w="7962" w:type="dxa"/>
            <w:gridSpan w:val="2"/>
            <w:vAlign w:val="center"/>
          </w:tcPr>
          <w:p>
            <w:pPr>
              <w:pStyle w:val="19"/>
            </w:pPr>
            <w:r>
              <w:t>1.及时足额为无固定收入社区“两委”干部发放生活补贴</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发放补贴无固定收入社区“两委”干部人数</w:t>
            </w:r>
          </w:p>
        </w:tc>
        <w:tc>
          <w:tcPr>
            <w:tcW w:w="2654" w:type="dxa"/>
            <w:vAlign w:val="center"/>
          </w:tcPr>
          <w:p>
            <w:pPr>
              <w:pStyle w:val="19"/>
            </w:pPr>
            <w:r>
              <w:t>发放补贴人数</w:t>
            </w:r>
          </w:p>
        </w:tc>
        <w:tc>
          <w:tcPr>
            <w:tcW w:w="1327" w:type="dxa"/>
            <w:vAlign w:val="center"/>
          </w:tcPr>
          <w:p>
            <w:pPr>
              <w:pStyle w:val="19"/>
            </w:pPr>
            <w:r>
              <w:t>≥49人</w:t>
            </w:r>
          </w:p>
        </w:tc>
        <w:tc>
          <w:tcPr>
            <w:tcW w:w="1327" w:type="dxa"/>
            <w:vAlign w:val="center"/>
          </w:tcPr>
          <w:p>
            <w:pPr>
              <w:pStyle w:val="19"/>
            </w:pPr>
            <w:r>
              <w:t>发放补贴人数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足额发放补贴</w:t>
            </w:r>
          </w:p>
        </w:tc>
        <w:tc>
          <w:tcPr>
            <w:tcW w:w="2654" w:type="dxa"/>
            <w:vAlign w:val="center"/>
          </w:tcPr>
          <w:p>
            <w:pPr>
              <w:pStyle w:val="19"/>
            </w:pPr>
            <w:r>
              <w:t>足额为无固定收入社区“两委”干部发放补贴</w:t>
            </w:r>
          </w:p>
        </w:tc>
        <w:tc>
          <w:tcPr>
            <w:tcW w:w="1327" w:type="dxa"/>
            <w:vAlign w:val="center"/>
          </w:tcPr>
          <w:p>
            <w:pPr>
              <w:pStyle w:val="19"/>
            </w:pPr>
            <w:r>
              <w:t>≥95百分比</w:t>
            </w:r>
          </w:p>
        </w:tc>
        <w:tc>
          <w:tcPr>
            <w:tcW w:w="1327" w:type="dxa"/>
            <w:vAlign w:val="center"/>
          </w:tcPr>
          <w:p>
            <w:pPr>
              <w:pStyle w:val="19"/>
            </w:pPr>
            <w:r>
              <w:t>足额为无固定收入社区“两委”干部发放补贴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及时为无固定收入社区“两委”干部发放补贴</w:t>
            </w:r>
          </w:p>
        </w:tc>
        <w:tc>
          <w:tcPr>
            <w:tcW w:w="2654" w:type="dxa"/>
            <w:vAlign w:val="center"/>
          </w:tcPr>
          <w:p>
            <w:pPr>
              <w:pStyle w:val="19"/>
            </w:pPr>
            <w:r>
              <w:t>及时为无固定收入社区“两委”干部发放补贴</w:t>
            </w:r>
          </w:p>
        </w:tc>
        <w:tc>
          <w:tcPr>
            <w:tcW w:w="1327" w:type="dxa"/>
            <w:vAlign w:val="center"/>
          </w:tcPr>
          <w:p>
            <w:pPr>
              <w:pStyle w:val="19"/>
            </w:pPr>
            <w:r>
              <w:t>≥95百分比</w:t>
            </w:r>
          </w:p>
        </w:tc>
        <w:tc>
          <w:tcPr>
            <w:tcW w:w="1327" w:type="dxa"/>
            <w:vAlign w:val="center"/>
          </w:tcPr>
          <w:p>
            <w:pPr>
              <w:pStyle w:val="19"/>
            </w:pPr>
            <w:r>
              <w:t>及时为无固定收入社区“两委”干部发放补贴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按要求为无固定收入社区“两委”干部发放补贴</w:t>
            </w:r>
          </w:p>
        </w:tc>
        <w:tc>
          <w:tcPr>
            <w:tcW w:w="2654" w:type="dxa"/>
            <w:vAlign w:val="center"/>
          </w:tcPr>
          <w:p>
            <w:pPr>
              <w:pStyle w:val="19"/>
            </w:pPr>
            <w:r>
              <w:t>按要求为无固定收入社区“两委”干部发放补贴</w:t>
            </w:r>
          </w:p>
        </w:tc>
        <w:tc>
          <w:tcPr>
            <w:tcW w:w="1327" w:type="dxa"/>
            <w:vAlign w:val="center"/>
          </w:tcPr>
          <w:p>
            <w:pPr>
              <w:pStyle w:val="19"/>
            </w:pPr>
            <w:r>
              <w:t>≥95百分比</w:t>
            </w:r>
          </w:p>
        </w:tc>
        <w:tc>
          <w:tcPr>
            <w:tcW w:w="1327" w:type="dxa"/>
            <w:vAlign w:val="center"/>
          </w:tcPr>
          <w:p>
            <w:pPr>
              <w:pStyle w:val="19"/>
            </w:pPr>
            <w:r>
              <w:t>按要求为无固定收入社区“两委”干部发放补贴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可持续影响指标</w:t>
            </w:r>
          </w:p>
        </w:tc>
        <w:tc>
          <w:tcPr>
            <w:tcW w:w="1327" w:type="dxa"/>
            <w:vAlign w:val="center"/>
          </w:tcPr>
          <w:p>
            <w:pPr>
              <w:pStyle w:val="19"/>
            </w:pPr>
            <w:r>
              <w:t>可持续影响指标</w:t>
            </w:r>
          </w:p>
        </w:tc>
        <w:tc>
          <w:tcPr>
            <w:tcW w:w="2654" w:type="dxa"/>
            <w:vAlign w:val="center"/>
          </w:tcPr>
          <w:p>
            <w:pPr>
              <w:pStyle w:val="19"/>
            </w:pPr>
            <w:r>
              <w:t>可持续影响指标</w:t>
            </w:r>
          </w:p>
        </w:tc>
        <w:tc>
          <w:tcPr>
            <w:tcW w:w="1327" w:type="dxa"/>
            <w:vAlign w:val="center"/>
          </w:tcPr>
          <w:p>
            <w:pPr>
              <w:pStyle w:val="19"/>
            </w:pPr>
            <w:r>
              <w:t>≥95百分比</w:t>
            </w:r>
          </w:p>
        </w:tc>
        <w:tc>
          <w:tcPr>
            <w:tcW w:w="1327" w:type="dxa"/>
            <w:vAlign w:val="center"/>
          </w:tcPr>
          <w:p>
            <w:pPr>
              <w:pStyle w:val="19"/>
            </w:pPr>
            <w:r>
              <w:t>可持续影响指标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经济效益指标</w:t>
            </w:r>
          </w:p>
        </w:tc>
        <w:tc>
          <w:tcPr>
            <w:tcW w:w="1327" w:type="dxa"/>
            <w:vAlign w:val="center"/>
          </w:tcPr>
          <w:p>
            <w:pPr>
              <w:pStyle w:val="19"/>
            </w:pPr>
            <w:r>
              <w:t>经济效益指标</w:t>
            </w:r>
          </w:p>
        </w:tc>
        <w:tc>
          <w:tcPr>
            <w:tcW w:w="2654" w:type="dxa"/>
            <w:vAlign w:val="center"/>
          </w:tcPr>
          <w:p>
            <w:pPr>
              <w:pStyle w:val="19"/>
            </w:pPr>
            <w:r>
              <w:t>经济效益指标</w:t>
            </w:r>
          </w:p>
        </w:tc>
        <w:tc>
          <w:tcPr>
            <w:tcW w:w="1327" w:type="dxa"/>
            <w:vAlign w:val="center"/>
          </w:tcPr>
          <w:p>
            <w:pPr>
              <w:pStyle w:val="19"/>
            </w:pPr>
            <w:r>
              <w:t>≥95百分比</w:t>
            </w:r>
          </w:p>
        </w:tc>
        <w:tc>
          <w:tcPr>
            <w:tcW w:w="1327" w:type="dxa"/>
            <w:vAlign w:val="center"/>
          </w:tcPr>
          <w:p>
            <w:pPr>
              <w:pStyle w:val="19"/>
            </w:pPr>
            <w:r>
              <w:t>经济效益指标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社会效益指标</w:t>
            </w:r>
          </w:p>
        </w:tc>
        <w:tc>
          <w:tcPr>
            <w:tcW w:w="2654" w:type="dxa"/>
            <w:vAlign w:val="center"/>
          </w:tcPr>
          <w:p>
            <w:pPr>
              <w:pStyle w:val="19"/>
            </w:pPr>
            <w:r>
              <w:t>社会效益指标</w:t>
            </w:r>
          </w:p>
        </w:tc>
        <w:tc>
          <w:tcPr>
            <w:tcW w:w="1327" w:type="dxa"/>
            <w:vAlign w:val="center"/>
          </w:tcPr>
          <w:p>
            <w:pPr>
              <w:pStyle w:val="19"/>
            </w:pPr>
            <w:r>
              <w:t>≥95百分比</w:t>
            </w:r>
          </w:p>
        </w:tc>
        <w:tc>
          <w:tcPr>
            <w:tcW w:w="1327" w:type="dxa"/>
            <w:vAlign w:val="center"/>
          </w:tcPr>
          <w:p>
            <w:pPr>
              <w:pStyle w:val="19"/>
            </w:pPr>
            <w:r>
              <w:t>社会效益指标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生态效益指标</w:t>
            </w:r>
          </w:p>
        </w:tc>
        <w:tc>
          <w:tcPr>
            <w:tcW w:w="2654" w:type="dxa"/>
            <w:vAlign w:val="center"/>
          </w:tcPr>
          <w:p>
            <w:pPr>
              <w:pStyle w:val="19"/>
            </w:pPr>
            <w:r>
              <w:t>生态效益指标</w:t>
            </w:r>
          </w:p>
        </w:tc>
        <w:tc>
          <w:tcPr>
            <w:tcW w:w="1327" w:type="dxa"/>
            <w:vAlign w:val="center"/>
          </w:tcPr>
          <w:p>
            <w:pPr>
              <w:pStyle w:val="19"/>
            </w:pPr>
            <w:r>
              <w:t>≥95百分比</w:t>
            </w:r>
          </w:p>
        </w:tc>
        <w:tc>
          <w:tcPr>
            <w:tcW w:w="1327" w:type="dxa"/>
            <w:vAlign w:val="center"/>
          </w:tcPr>
          <w:p>
            <w:pPr>
              <w:pStyle w:val="19"/>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发放补贴无固定收入社区“两委”干部满意度</w:t>
            </w:r>
          </w:p>
        </w:tc>
        <w:tc>
          <w:tcPr>
            <w:tcW w:w="2654" w:type="dxa"/>
            <w:vAlign w:val="center"/>
          </w:tcPr>
          <w:p>
            <w:pPr>
              <w:pStyle w:val="19"/>
            </w:pPr>
            <w:r>
              <w:t>发放补贴无固定收入社区“两委”干部满意度</w:t>
            </w:r>
          </w:p>
        </w:tc>
        <w:tc>
          <w:tcPr>
            <w:tcW w:w="1327" w:type="dxa"/>
            <w:vAlign w:val="center"/>
          </w:tcPr>
          <w:p>
            <w:pPr>
              <w:pStyle w:val="19"/>
            </w:pPr>
            <w:r>
              <w:t>≥95百分比</w:t>
            </w:r>
          </w:p>
        </w:tc>
        <w:tc>
          <w:tcPr>
            <w:tcW w:w="1327" w:type="dxa"/>
            <w:vAlign w:val="center"/>
          </w:tcPr>
          <w:p>
            <w:pPr>
              <w:pStyle w:val="19"/>
            </w:pPr>
            <w:r>
              <w:t>发放补贴无固定收入社区“两委”干部满意度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bookmarkStart w:id="18" w:name="_Toc_4_4_0000000019"/>
      <w:r>
        <w:rPr>
          <w:rFonts w:ascii="方正仿宋_GBK" w:hAnsi="方正仿宋_GBK" w:eastAsia="方正仿宋_GBK" w:cs="方正仿宋_GBK"/>
          <w:color w:val="000000"/>
          <w:sz w:val="28"/>
        </w:rPr>
        <w:t>16.2022退休干部特需费绩效目标表</w:t>
      </w:r>
      <w:bookmarkEnd w:id="18"/>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w:t>
            </w:r>
            <w:r>
              <w:rPr>
                <w:rFonts w:hint="eastAsia"/>
                <w:lang w:val="en-US" w:eastAsia="zh-CN"/>
              </w:rPr>
              <w:t xml:space="preserve"> </w:t>
            </w:r>
            <w:r>
              <w:t>中国共产党宁晋县委员会组织部</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绩效目标</w:t>
            </w:r>
          </w:p>
        </w:tc>
        <w:tc>
          <w:tcPr>
            <w:tcW w:w="7962" w:type="dxa"/>
            <w:gridSpan w:val="2"/>
            <w:vAlign w:val="center"/>
          </w:tcPr>
          <w:p>
            <w:pPr>
              <w:pStyle w:val="19"/>
            </w:pPr>
            <w:r>
              <w:t>用于退休干部走访慰问及开展活动等支出</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发放数量</w:t>
            </w:r>
          </w:p>
        </w:tc>
        <w:tc>
          <w:tcPr>
            <w:tcW w:w="2654" w:type="dxa"/>
            <w:vAlign w:val="center"/>
          </w:tcPr>
          <w:p>
            <w:pPr>
              <w:pStyle w:val="19"/>
            </w:pPr>
            <w:r>
              <w:t>发放人数</w:t>
            </w:r>
          </w:p>
        </w:tc>
        <w:tc>
          <w:tcPr>
            <w:tcW w:w="1327" w:type="dxa"/>
            <w:vAlign w:val="center"/>
          </w:tcPr>
          <w:p>
            <w:pPr>
              <w:pStyle w:val="19"/>
            </w:pPr>
            <w:r>
              <w:t>≥4975人次</w:t>
            </w:r>
          </w:p>
        </w:tc>
        <w:tc>
          <w:tcPr>
            <w:tcW w:w="1327" w:type="dxa"/>
            <w:vAlign w:val="center"/>
          </w:tcPr>
          <w:p>
            <w:pPr>
              <w:pStyle w:val="19"/>
            </w:pPr>
            <w:r>
              <w:t>落实老干部政治生活待遇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对退休干部进行走访慰问</w:t>
            </w:r>
          </w:p>
        </w:tc>
        <w:tc>
          <w:tcPr>
            <w:tcW w:w="2654" w:type="dxa"/>
            <w:vAlign w:val="center"/>
          </w:tcPr>
          <w:p>
            <w:pPr>
              <w:pStyle w:val="19"/>
            </w:pPr>
            <w:r>
              <w:t>对退休干部进行平时走访及节日慰问情况</w:t>
            </w:r>
          </w:p>
        </w:tc>
        <w:tc>
          <w:tcPr>
            <w:tcW w:w="1327" w:type="dxa"/>
            <w:vAlign w:val="center"/>
          </w:tcPr>
          <w:p>
            <w:pPr>
              <w:pStyle w:val="19"/>
            </w:pPr>
            <w:r>
              <w:t>≥100百分比</w:t>
            </w:r>
          </w:p>
        </w:tc>
        <w:tc>
          <w:tcPr>
            <w:tcW w:w="1327" w:type="dxa"/>
            <w:vAlign w:val="center"/>
          </w:tcPr>
          <w:p>
            <w:pPr>
              <w:pStyle w:val="19"/>
            </w:pPr>
            <w:r>
              <w:t>落实老干部政治生活待遇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准时慰问</w:t>
            </w:r>
          </w:p>
        </w:tc>
        <w:tc>
          <w:tcPr>
            <w:tcW w:w="2654" w:type="dxa"/>
            <w:vAlign w:val="center"/>
          </w:tcPr>
          <w:p>
            <w:pPr>
              <w:pStyle w:val="19"/>
            </w:pPr>
            <w:r>
              <w:t>在节日节点进行慰问</w:t>
            </w:r>
          </w:p>
        </w:tc>
        <w:tc>
          <w:tcPr>
            <w:tcW w:w="1327" w:type="dxa"/>
            <w:vAlign w:val="center"/>
          </w:tcPr>
          <w:p>
            <w:pPr>
              <w:pStyle w:val="19"/>
            </w:pPr>
            <w:r>
              <w:t>≥3慰问次数</w:t>
            </w:r>
          </w:p>
        </w:tc>
        <w:tc>
          <w:tcPr>
            <w:tcW w:w="1327" w:type="dxa"/>
            <w:vAlign w:val="center"/>
          </w:tcPr>
          <w:p>
            <w:pPr>
              <w:pStyle w:val="19"/>
            </w:pPr>
            <w:r>
              <w:t>落实老干部政治生活待遇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预算执行</w:t>
            </w:r>
          </w:p>
        </w:tc>
        <w:tc>
          <w:tcPr>
            <w:tcW w:w="2654" w:type="dxa"/>
            <w:vAlign w:val="center"/>
          </w:tcPr>
          <w:p>
            <w:pPr>
              <w:pStyle w:val="19"/>
            </w:pPr>
            <w:r>
              <w:t>完成年度预算资金安排</w:t>
            </w:r>
          </w:p>
        </w:tc>
        <w:tc>
          <w:tcPr>
            <w:tcW w:w="1327" w:type="dxa"/>
            <w:vAlign w:val="center"/>
          </w:tcPr>
          <w:p>
            <w:pPr>
              <w:pStyle w:val="19"/>
            </w:pPr>
            <w:r>
              <w:t>≥100百分比</w:t>
            </w:r>
          </w:p>
        </w:tc>
        <w:tc>
          <w:tcPr>
            <w:tcW w:w="1327" w:type="dxa"/>
            <w:vAlign w:val="center"/>
          </w:tcPr>
          <w:p>
            <w:pPr>
              <w:pStyle w:val="19"/>
            </w:pPr>
            <w:r>
              <w:t>完成年度预算资金安排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可持续影响指标</w:t>
            </w:r>
          </w:p>
        </w:tc>
        <w:tc>
          <w:tcPr>
            <w:tcW w:w="1327" w:type="dxa"/>
            <w:vAlign w:val="center"/>
          </w:tcPr>
          <w:p>
            <w:pPr>
              <w:pStyle w:val="19"/>
            </w:pPr>
            <w:r>
              <w:t>可持续性服务</w:t>
            </w:r>
          </w:p>
        </w:tc>
        <w:tc>
          <w:tcPr>
            <w:tcW w:w="2654" w:type="dxa"/>
            <w:vAlign w:val="center"/>
          </w:tcPr>
          <w:p>
            <w:pPr>
              <w:pStyle w:val="19"/>
            </w:pPr>
            <w:r>
              <w:t>可持续性服务</w:t>
            </w:r>
          </w:p>
        </w:tc>
        <w:tc>
          <w:tcPr>
            <w:tcW w:w="1327" w:type="dxa"/>
            <w:vAlign w:val="center"/>
          </w:tcPr>
          <w:p>
            <w:pPr>
              <w:pStyle w:val="19"/>
            </w:pPr>
            <w:r>
              <w:t>≥100百分比</w:t>
            </w:r>
          </w:p>
        </w:tc>
        <w:tc>
          <w:tcPr>
            <w:tcW w:w="1327" w:type="dxa"/>
            <w:vAlign w:val="center"/>
          </w:tcPr>
          <w:p>
            <w:pPr>
              <w:pStyle w:val="19"/>
            </w:pPr>
            <w:r>
              <w:t>可持续性服务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经济效益指标</w:t>
            </w:r>
          </w:p>
        </w:tc>
        <w:tc>
          <w:tcPr>
            <w:tcW w:w="1327" w:type="dxa"/>
            <w:vAlign w:val="center"/>
          </w:tcPr>
          <w:p>
            <w:pPr>
              <w:pStyle w:val="19"/>
            </w:pPr>
            <w:r>
              <w:t>资金的使用效率</w:t>
            </w:r>
          </w:p>
        </w:tc>
        <w:tc>
          <w:tcPr>
            <w:tcW w:w="2654" w:type="dxa"/>
            <w:vAlign w:val="center"/>
          </w:tcPr>
          <w:p>
            <w:pPr>
              <w:pStyle w:val="19"/>
            </w:pPr>
            <w:r>
              <w:t>资金的使用效率</w:t>
            </w:r>
          </w:p>
        </w:tc>
        <w:tc>
          <w:tcPr>
            <w:tcW w:w="1327" w:type="dxa"/>
            <w:vAlign w:val="center"/>
          </w:tcPr>
          <w:p>
            <w:pPr>
              <w:pStyle w:val="19"/>
            </w:pPr>
            <w:r>
              <w:t>≥100百分比</w:t>
            </w:r>
          </w:p>
        </w:tc>
        <w:tc>
          <w:tcPr>
            <w:tcW w:w="1327" w:type="dxa"/>
            <w:vAlign w:val="center"/>
          </w:tcPr>
          <w:p>
            <w:pPr>
              <w:pStyle w:val="19"/>
            </w:pPr>
            <w:r>
              <w:t>资金的使用效率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社会稳定水平</w:t>
            </w:r>
          </w:p>
        </w:tc>
        <w:tc>
          <w:tcPr>
            <w:tcW w:w="2654" w:type="dxa"/>
            <w:vAlign w:val="center"/>
          </w:tcPr>
          <w:p>
            <w:pPr>
              <w:pStyle w:val="19"/>
            </w:pPr>
            <w:r>
              <w:t>促进社会稳定水平逐步提高</w:t>
            </w:r>
          </w:p>
        </w:tc>
        <w:tc>
          <w:tcPr>
            <w:tcW w:w="1327" w:type="dxa"/>
            <w:vAlign w:val="center"/>
          </w:tcPr>
          <w:p>
            <w:pPr>
              <w:pStyle w:val="19"/>
            </w:pPr>
            <w:r>
              <w:t>≥100百分比</w:t>
            </w:r>
          </w:p>
        </w:tc>
        <w:tc>
          <w:tcPr>
            <w:tcW w:w="1327" w:type="dxa"/>
            <w:vAlign w:val="center"/>
          </w:tcPr>
          <w:p>
            <w:pPr>
              <w:pStyle w:val="19"/>
            </w:pPr>
            <w:r>
              <w:t>落实老干部政治生活待遇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生态效益提升值</w:t>
            </w:r>
          </w:p>
        </w:tc>
        <w:tc>
          <w:tcPr>
            <w:tcW w:w="2654" w:type="dxa"/>
            <w:vAlign w:val="center"/>
          </w:tcPr>
          <w:p>
            <w:pPr>
              <w:pStyle w:val="19"/>
            </w:pPr>
            <w:r>
              <w:t>促进社会经济及各项事业发展</w:t>
            </w:r>
          </w:p>
        </w:tc>
        <w:tc>
          <w:tcPr>
            <w:tcW w:w="1327" w:type="dxa"/>
            <w:vAlign w:val="center"/>
          </w:tcPr>
          <w:p>
            <w:pPr>
              <w:pStyle w:val="19"/>
            </w:pPr>
            <w:r>
              <w:t>≥100百分比</w:t>
            </w:r>
          </w:p>
        </w:tc>
        <w:tc>
          <w:tcPr>
            <w:tcW w:w="1327" w:type="dxa"/>
            <w:vAlign w:val="center"/>
          </w:tcPr>
          <w:p>
            <w:pPr>
              <w:pStyle w:val="19"/>
            </w:pPr>
            <w:r>
              <w:t>落实老干部政治生活待遇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服务对象满意度</w:t>
            </w:r>
          </w:p>
        </w:tc>
        <w:tc>
          <w:tcPr>
            <w:tcW w:w="2654" w:type="dxa"/>
            <w:vAlign w:val="center"/>
          </w:tcPr>
          <w:p>
            <w:pPr>
              <w:pStyle w:val="19"/>
            </w:pPr>
            <w:r>
              <w:t>服务的重点人群对所提供服务的满意程度</w:t>
            </w:r>
          </w:p>
        </w:tc>
        <w:tc>
          <w:tcPr>
            <w:tcW w:w="1327" w:type="dxa"/>
            <w:vAlign w:val="center"/>
          </w:tcPr>
          <w:p>
            <w:pPr>
              <w:pStyle w:val="19"/>
            </w:pPr>
            <w:r>
              <w:t>≥100百分比</w:t>
            </w:r>
          </w:p>
        </w:tc>
        <w:tc>
          <w:tcPr>
            <w:tcW w:w="1327" w:type="dxa"/>
            <w:vAlign w:val="center"/>
          </w:tcPr>
          <w:p>
            <w:pPr>
              <w:pStyle w:val="19"/>
            </w:pPr>
            <w:r>
              <w:t>老干部满意度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bookmarkStart w:id="19" w:name="_Toc_4_4_0000000020"/>
      <w:r>
        <w:rPr>
          <w:rFonts w:ascii="方正仿宋_GBK" w:hAnsi="方正仿宋_GBK" w:eastAsia="方正仿宋_GBK" w:cs="方正仿宋_GBK"/>
          <w:color w:val="000000"/>
          <w:sz w:val="28"/>
        </w:rPr>
        <w:t>17.“六新改革走新路、三年工作一年干、发展赶超开新局”解放思想大讨论活动资金绩效目标表</w:t>
      </w:r>
      <w:bookmarkEnd w:id="19"/>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w:t>
            </w:r>
            <w:r>
              <w:rPr>
                <w:rFonts w:hint="eastAsia"/>
                <w:lang w:val="en-US" w:eastAsia="zh-CN"/>
              </w:rPr>
              <w:t xml:space="preserve"> </w:t>
            </w:r>
            <w:r>
              <w:t>中国共产党宁晋县委员会组织部</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绩效目标</w:t>
            </w:r>
          </w:p>
        </w:tc>
        <w:tc>
          <w:tcPr>
            <w:tcW w:w="7962" w:type="dxa"/>
            <w:gridSpan w:val="2"/>
            <w:vAlign w:val="center"/>
          </w:tcPr>
          <w:p>
            <w:pPr>
              <w:pStyle w:val="19"/>
            </w:pPr>
            <w:r>
              <w:t>及时支付解放思想大讨论活动资金</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召开会议数量</w:t>
            </w:r>
          </w:p>
        </w:tc>
        <w:tc>
          <w:tcPr>
            <w:tcW w:w="2654" w:type="dxa"/>
            <w:vAlign w:val="center"/>
          </w:tcPr>
          <w:p>
            <w:pPr>
              <w:pStyle w:val="19"/>
            </w:pPr>
            <w:r>
              <w:t>召开会议数量</w:t>
            </w:r>
          </w:p>
        </w:tc>
        <w:tc>
          <w:tcPr>
            <w:tcW w:w="1327" w:type="dxa"/>
            <w:vAlign w:val="center"/>
          </w:tcPr>
          <w:p>
            <w:pPr>
              <w:pStyle w:val="19"/>
            </w:pPr>
            <w:r>
              <w:t>≥1次</w:t>
            </w:r>
          </w:p>
        </w:tc>
        <w:tc>
          <w:tcPr>
            <w:tcW w:w="1327" w:type="dxa"/>
            <w:vAlign w:val="center"/>
          </w:tcPr>
          <w:p>
            <w:pPr>
              <w:pStyle w:val="19"/>
            </w:pPr>
            <w:r>
              <w:t>召开会议数量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专款专用率</w:t>
            </w:r>
          </w:p>
        </w:tc>
        <w:tc>
          <w:tcPr>
            <w:tcW w:w="2654" w:type="dxa"/>
            <w:vAlign w:val="center"/>
          </w:tcPr>
          <w:p>
            <w:pPr>
              <w:pStyle w:val="19"/>
            </w:pPr>
            <w:r>
              <w:t>解放思想大讨论现场会费用专用情况</w:t>
            </w:r>
          </w:p>
        </w:tc>
        <w:tc>
          <w:tcPr>
            <w:tcW w:w="1327" w:type="dxa"/>
            <w:vAlign w:val="center"/>
          </w:tcPr>
          <w:p>
            <w:pPr>
              <w:pStyle w:val="19"/>
            </w:pPr>
            <w:r>
              <w:t>≥95百分比</w:t>
            </w:r>
          </w:p>
        </w:tc>
        <w:tc>
          <w:tcPr>
            <w:tcW w:w="1327" w:type="dxa"/>
            <w:vAlign w:val="center"/>
          </w:tcPr>
          <w:p>
            <w:pPr>
              <w:pStyle w:val="19"/>
            </w:pPr>
            <w:r>
              <w:t>全市“党员之家”（发展壮大农村集体经济）现场会费用专用情况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任务完成时间</w:t>
            </w:r>
          </w:p>
        </w:tc>
        <w:tc>
          <w:tcPr>
            <w:tcW w:w="2654" w:type="dxa"/>
            <w:vAlign w:val="center"/>
          </w:tcPr>
          <w:p>
            <w:pPr>
              <w:pStyle w:val="19"/>
            </w:pPr>
            <w:r>
              <w:t>项目实施完成</w:t>
            </w:r>
          </w:p>
          <w:p>
            <w:pPr>
              <w:pStyle w:val="19"/>
            </w:pPr>
          </w:p>
        </w:tc>
        <w:tc>
          <w:tcPr>
            <w:tcW w:w="1327" w:type="dxa"/>
            <w:vAlign w:val="center"/>
          </w:tcPr>
          <w:p>
            <w:pPr>
              <w:pStyle w:val="19"/>
            </w:pPr>
            <w:r>
              <w:t>≥95百分比</w:t>
            </w:r>
          </w:p>
        </w:tc>
        <w:tc>
          <w:tcPr>
            <w:tcW w:w="1327" w:type="dxa"/>
            <w:vAlign w:val="center"/>
          </w:tcPr>
          <w:p>
            <w:pPr>
              <w:pStyle w:val="19"/>
            </w:pPr>
            <w:r>
              <w:t>项目实施完成</w:t>
            </w:r>
          </w:p>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按会议标准</w:t>
            </w:r>
          </w:p>
        </w:tc>
        <w:tc>
          <w:tcPr>
            <w:tcW w:w="2654" w:type="dxa"/>
            <w:vAlign w:val="center"/>
          </w:tcPr>
          <w:p>
            <w:pPr>
              <w:pStyle w:val="19"/>
            </w:pPr>
            <w:r>
              <w:t>解放思想大讨论现场会成本控制率</w:t>
            </w:r>
          </w:p>
        </w:tc>
        <w:tc>
          <w:tcPr>
            <w:tcW w:w="1327" w:type="dxa"/>
            <w:vAlign w:val="center"/>
          </w:tcPr>
          <w:p>
            <w:pPr>
              <w:pStyle w:val="19"/>
            </w:pPr>
            <w:r>
              <w:t>≥95百分比</w:t>
            </w:r>
          </w:p>
        </w:tc>
        <w:tc>
          <w:tcPr>
            <w:tcW w:w="1327" w:type="dxa"/>
            <w:vAlign w:val="center"/>
          </w:tcPr>
          <w:p>
            <w:pPr>
              <w:pStyle w:val="19"/>
            </w:pPr>
            <w:r>
              <w:t>召开全市“党员之家”（发展壮大农村集体经济）现场会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经济效益指标</w:t>
            </w:r>
          </w:p>
        </w:tc>
        <w:tc>
          <w:tcPr>
            <w:tcW w:w="1327" w:type="dxa"/>
            <w:vAlign w:val="center"/>
          </w:tcPr>
          <w:p>
            <w:pPr>
              <w:pStyle w:val="19"/>
            </w:pPr>
            <w:r>
              <w:t>经济效益增长率</w:t>
            </w:r>
          </w:p>
        </w:tc>
        <w:tc>
          <w:tcPr>
            <w:tcW w:w="2654" w:type="dxa"/>
            <w:vAlign w:val="center"/>
          </w:tcPr>
          <w:p>
            <w:pPr>
              <w:pStyle w:val="19"/>
            </w:pPr>
            <w:r>
              <w:t>经济效益增长率</w:t>
            </w:r>
          </w:p>
        </w:tc>
        <w:tc>
          <w:tcPr>
            <w:tcW w:w="1327" w:type="dxa"/>
            <w:vAlign w:val="center"/>
          </w:tcPr>
          <w:p>
            <w:pPr>
              <w:pStyle w:val="19"/>
            </w:pPr>
            <w:r>
              <w:t>≥95百分比</w:t>
            </w:r>
          </w:p>
        </w:tc>
        <w:tc>
          <w:tcPr>
            <w:tcW w:w="1327" w:type="dxa"/>
            <w:vAlign w:val="center"/>
          </w:tcPr>
          <w:p>
            <w:pPr>
              <w:pStyle w:val="19"/>
            </w:pPr>
            <w:r>
              <w:t>经济效益增长率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社会效益增长率</w:t>
            </w:r>
          </w:p>
        </w:tc>
        <w:tc>
          <w:tcPr>
            <w:tcW w:w="2654" w:type="dxa"/>
            <w:vAlign w:val="center"/>
          </w:tcPr>
          <w:p>
            <w:pPr>
              <w:pStyle w:val="19"/>
            </w:pPr>
            <w:r>
              <w:t>社会效益增长率</w:t>
            </w:r>
          </w:p>
        </w:tc>
        <w:tc>
          <w:tcPr>
            <w:tcW w:w="1327" w:type="dxa"/>
            <w:vAlign w:val="center"/>
          </w:tcPr>
          <w:p>
            <w:pPr>
              <w:pStyle w:val="19"/>
            </w:pPr>
            <w:r>
              <w:t>≥95百分比</w:t>
            </w:r>
          </w:p>
        </w:tc>
        <w:tc>
          <w:tcPr>
            <w:tcW w:w="1327" w:type="dxa"/>
            <w:vAlign w:val="center"/>
          </w:tcPr>
          <w:p>
            <w:pPr>
              <w:pStyle w:val="19"/>
            </w:pPr>
            <w:r>
              <w:t>社会效益增长率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生态效益增长率</w:t>
            </w:r>
          </w:p>
        </w:tc>
        <w:tc>
          <w:tcPr>
            <w:tcW w:w="2654" w:type="dxa"/>
            <w:vAlign w:val="center"/>
          </w:tcPr>
          <w:p>
            <w:pPr>
              <w:pStyle w:val="19"/>
            </w:pPr>
            <w:r>
              <w:t>生态效益增长率</w:t>
            </w:r>
          </w:p>
        </w:tc>
        <w:tc>
          <w:tcPr>
            <w:tcW w:w="1327" w:type="dxa"/>
            <w:vAlign w:val="center"/>
          </w:tcPr>
          <w:p>
            <w:pPr>
              <w:pStyle w:val="19"/>
            </w:pPr>
            <w:r>
              <w:t>≥95百分比</w:t>
            </w:r>
          </w:p>
        </w:tc>
        <w:tc>
          <w:tcPr>
            <w:tcW w:w="1327" w:type="dxa"/>
            <w:vAlign w:val="center"/>
          </w:tcPr>
          <w:p>
            <w:pPr>
              <w:pStyle w:val="19"/>
            </w:pPr>
            <w:r>
              <w:t>生态效益增长率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可持续影响指标</w:t>
            </w:r>
          </w:p>
        </w:tc>
        <w:tc>
          <w:tcPr>
            <w:tcW w:w="1327" w:type="dxa"/>
            <w:vAlign w:val="center"/>
          </w:tcPr>
          <w:p>
            <w:pPr>
              <w:pStyle w:val="19"/>
            </w:pPr>
            <w:r>
              <w:t>社会影响力</w:t>
            </w:r>
          </w:p>
        </w:tc>
        <w:tc>
          <w:tcPr>
            <w:tcW w:w="2654" w:type="dxa"/>
            <w:vAlign w:val="center"/>
          </w:tcPr>
          <w:p>
            <w:pPr>
              <w:pStyle w:val="19"/>
            </w:pPr>
            <w:r>
              <w:t>社会影响力</w:t>
            </w:r>
          </w:p>
        </w:tc>
        <w:tc>
          <w:tcPr>
            <w:tcW w:w="1327" w:type="dxa"/>
            <w:vAlign w:val="center"/>
          </w:tcPr>
          <w:p>
            <w:pPr>
              <w:pStyle w:val="19"/>
            </w:pPr>
            <w:r>
              <w:t>≥95百分比</w:t>
            </w:r>
          </w:p>
        </w:tc>
        <w:tc>
          <w:tcPr>
            <w:tcW w:w="1327" w:type="dxa"/>
            <w:vAlign w:val="center"/>
          </w:tcPr>
          <w:p>
            <w:pPr>
              <w:pStyle w:val="19"/>
            </w:pPr>
            <w: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群众满意度</w:t>
            </w:r>
          </w:p>
        </w:tc>
        <w:tc>
          <w:tcPr>
            <w:tcW w:w="2654" w:type="dxa"/>
            <w:vAlign w:val="center"/>
          </w:tcPr>
          <w:p>
            <w:pPr>
              <w:pStyle w:val="19"/>
            </w:pPr>
            <w:r>
              <w:t>参会人员满意度</w:t>
            </w:r>
          </w:p>
        </w:tc>
        <w:tc>
          <w:tcPr>
            <w:tcW w:w="1327" w:type="dxa"/>
            <w:vAlign w:val="center"/>
          </w:tcPr>
          <w:p>
            <w:pPr>
              <w:pStyle w:val="19"/>
            </w:pPr>
            <w:r>
              <w:t>≥95百分比</w:t>
            </w:r>
          </w:p>
        </w:tc>
        <w:tc>
          <w:tcPr>
            <w:tcW w:w="1327" w:type="dxa"/>
            <w:vAlign w:val="center"/>
          </w:tcPr>
          <w:p>
            <w:pPr>
              <w:pStyle w:val="19"/>
            </w:pPr>
            <w:r>
              <w:t>参会人员满意度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bookmarkStart w:id="20" w:name="_Toc_4_4_0000000021"/>
      <w:r>
        <w:rPr>
          <w:rFonts w:ascii="方正仿宋_GBK" w:hAnsi="方正仿宋_GBK" w:eastAsia="方正仿宋_GBK" w:cs="方正仿宋_GBK"/>
          <w:color w:val="000000"/>
          <w:sz w:val="28"/>
        </w:rPr>
        <w:t>18.“智慧党建”县级平台网络租赁费用绩效目标表</w:t>
      </w:r>
      <w:bookmarkEnd w:id="20"/>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w:t>
            </w:r>
            <w:r>
              <w:rPr>
                <w:rFonts w:hint="eastAsia"/>
                <w:lang w:val="en-US" w:eastAsia="zh-CN"/>
              </w:rPr>
              <w:t xml:space="preserve"> </w:t>
            </w:r>
            <w:r>
              <w:t>中国共产党宁晋县委员会组织部</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绩效目标</w:t>
            </w:r>
          </w:p>
        </w:tc>
        <w:tc>
          <w:tcPr>
            <w:tcW w:w="7962" w:type="dxa"/>
            <w:gridSpan w:val="2"/>
            <w:vAlign w:val="center"/>
          </w:tcPr>
          <w:p>
            <w:pPr>
              <w:pStyle w:val="19"/>
            </w:pPr>
            <w:r>
              <w:t>1.保障智慧党建平台运行</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年度租赁平台数量</w:t>
            </w:r>
          </w:p>
        </w:tc>
        <w:tc>
          <w:tcPr>
            <w:tcW w:w="2654" w:type="dxa"/>
            <w:vAlign w:val="center"/>
          </w:tcPr>
          <w:p>
            <w:pPr>
              <w:pStyle w:val="19"/>
            </w:pPr>
            <w:r>
              <w:t>年度租赁平台数量</w:t>
            </w:r>
          </w:p>
        </w:tc>
        <w:tc>
          <w:tcPr>
            <w:tcW w:w="1327" w:type="dxa"/>
            <w:vAlign w:val="center"/>
          </w:tcPr>
          <w:p>
            <w:pPr>
              <w:pStyle w:val="19"/>
            </w:pPr>
            <w:r>
              <w:t>≥1个</w:t>
            </w:r>
          </w:p>
        </w:tc>
        <w:tc>
          <w:tcPr>
            <w:tcW w:w="1327" w:type="dxa"/>
            <w:vAlign w:val="center"/>
          </w:tcPr>
          <w:p>
            <w:pPr>
              <w:pStyle w:val="19"/>
            </w:pPr>
            <w:r>
              <w:t>年度租赁平台数量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专款专用率</w:t>
            </w:r>
          </w:p>
        </w:tc>
        <w:tc>
          <w:tcPr>
            <w:tcW w:w="2654" w:type="dxa"/>
            <w:vAlign w:val="center"/>
          </w:tcPr>
          <w:p>
            <w:pPr>
              <w:pStyle w:val="19"/>
            </w:pPr>
            <w:r>
              <w:t>”智慧党建“县级平台网络租赁专款专用情况</w:t>
            </w:r>
          </w:p>
          <w:p>
            <w:pPr>
              <w:pStyle w:val="19"/>
            </w:pPr>
          </w:p>
        </w:tc>
        <w:tc>
          <w:tcPr>
            <w:tcW w:w="1327" w:type="dxa"/>
            <w:vAlign w:val="center"/>
          </w:tcPr>
          <w:p>
            <w:pPr>
              <w:pStyle w:val="19"/>
            </w:pPr>
            <w:r>
              <w:t>≥95百分比</w:t>
            </w:r>
          </w:p>
        </w:tc>
        <w:tc>
          <w:tcPr>
            <w:tcW w:w="1327" w:type="dxa"/>
            <w:vAlign w:val="center"/>
          </w:tcPr>
          <w:p>
            <w:pPr>
              <w:pStyle w:val="19"/>
            </w:pPr>
            <w:r>
              <w:t>”智慧党建“县级平台网络租赁专款专用情况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及时性</w:t>
            </w:r>
          </w:p>
        </w:tc>
        <w:tc>
          <w:tcPr>
            <w:tcW w:w="2654" w:type="dxa"/>
            <w:vAlign w:val="center"/>
          </w:tcPr>
          <w:p>
            <w:pPr>
              <w:pStyle w:val="19"/>
            </w:pPr>
            <w:r>
              <w:t>及时支付租赁费用情况</w:t>
            </w:r>
          </w:p>
        </w:tc>
        <w:tc>
          <w:tcPr>
            <w:tcW w:w="1327" w:type="dxa"/>
            <w:vAlign w:val="center"/>
          </w:tcPr>
          <w:p>
            <w:pPr>
              <w:pStyle w:val="19"/>
            </w:pPr>
            <w:r>
              <w:t>≥95百分比</w:t>
            </w:r>
          </w:p>
        </w:tc>
        <w:tc>
          <w:tcPr>
            <w:tcW w:w="1327" w:type="dxa"/>
            <w:vAlign w:val="center"/>
          </w:tcPr>
          <w:p>
            <w:pPr>
              <w:pStyle w:val="19"/>
            </w:pPr>
            <w:r>
              <w:t>及时支付租赁费用情况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预算执行</w:t>
            </w:r>
          </w:p>
        </w:tc>
        <w:tc>
          <w:tcPr>
            <w:tcW w:w="2654" w:type="dxa"/>
            <w:vAlign w:val="center"/>
          </w:tcPr>
          <w:p>
            <w:pPr>
              <w:pStyle w:val="19"/>
            </w:pPr>
            <w:r>
              <w:t>完成年度预算资金安排</w:t>
            </w:r>
          </w:p>
        </w:tc>
        <w:tc>
          <w:tcPr>
            <w:tcW w:w="1327" w:type="dxa"/>
            <w:vAlign w:val="center"/>
          </w:tcPr>
          <w:p>
            <w:pPr>
              <w:pStyle w:val="19"/>
            </w:pPr>
            <w:r>
              <w:t>≥95百分比</w:t>
            </w:r>
          </w:p>
        </w:tc>
        <w:tc>
          <w:tcPr>
            <w:tcW w:w="1327" w:type="dxa"/>
            <w:vAlign w:val="center"/>
          </w:tcPr>
          <w:p>
            <w:pPr>
              <w:pStyle w:val="19"/>
            </w:pPr>
            <w:r>
              <w:t>完成年度预算资金安排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可持续影响指标</w:t>
            </w:r>
          </w:p>
        </w:tc>
        <w:tc>
          <w:tcPr>
            <w:tcW w:w="1327" w:type="dxa"/>
            <w:vAlign w:val="center"/>
          </w:tcPr>
          <w:p>
            <w:pPr>
              <w:pStyle w:val="19"/>
            </w:pPr>
            <w:r>
              <w:t>长期使用性</w:t>
            </w:r>
          </w:p>
        </w:tc>
        <w:tc>
          <w:tcPr>
            <w:tcW w:w="2654" w:type="dxa"/>
            <w:vAlign w:val="center"/>
          </w:tcPr>
          <w:p>
            <w:pPr>
              <w:pStyle w:val="19"/>
            </w:pPr>
            <w:r>
              <w:t>长期使用性</w:t>
            </w:r>
          </w:p>
        </w:tc>
        <w:tc>
          <w:tcPr>
            <w:tcW w:w="1327" w:type="dxa"/>
            <w:vAlign w:val="center"/>
          </w:tcPr>
          <w:p>
            <w:pPr>
              <w:pStyle w:val="19"/>
            </w:pPr>
            <w:r>
              <w:t>≥95百分比</w:t>
            </w:r>
          </w:p>
        </w:tc>
        <w:tc>
          <w:tcPr>
            <w:tcW w:w="1327" w:type="dxa"/>
            <w:vAlign w:val="center"/>
          </w:tcPr>
          <w:p>
            <w:pPr>
              <w:pStyle w:val="19"/>
            </w:pPr>
            <w:r>
              <w:t>长期使用性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经济效益指标</w:t>
            </w:r>
          </w:p>
        </w:tc>
        <w:tc>
          <w:tcPr>
            <w:tcW w:w="1327" w:type="dxa"/>
            <w:vAlign w:val="center"/>
          </w:tcPr>
          <w:p>
            <w:pPr>
              <w:pStyle w:val="19"/>
            </w:pPr>
            <w:r>
              <w:t>提高效率</w:t>
            </w:r>
          </w:p>
        </w:tc>
        <w:tc>
          <w:tcPr>
            <w:tcW w:w="2654" w:type="dxa"/>
            <w:vAlign w:val="center"/>
          </w:tcPr>
          <w:p>
            <w:pPr>
              <w:pStyle w:val="19"/>
            </w:pPr>
            <w:r>
              <w:t>提高工作效率</w:t>
            </w:r>
          </w:p>
        </w:tc>
        <w:tc>
          <w:tcPr>
            <w:tcW w:w="1327" w:type="dxa"/>
            <w:vAlign w:val="center"/>
          </w:tcPr>
          <w:p>
            <w:pPr>
              <w:pStyle w:val="19"/>
            </w:pPr>
            <w:r>
              <w:t>≥95百分比</w:t>
            </w:r>
          </w:p>
        </w:tc>
        <w:tc>
          <w:tcPr>
            <w:tcW w:w="1327" w:type="dxa"/>
            <w:vAlign w:val="center"/>
          </w:tcPr>
          <w:p>
            <w:pPr>
              <w:pStyle w:val="19"/>
            </w:pPr>
            <w:r>
              <w:t>提高工作效率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平台费用支付率</w:t>
            </w:r>
          </w:p>
        </w:tc>
        <w:tc>
          <w:tcPr>
            <w:tcW w:w="2654" w:type="dxa"/>
            <w:vAlign w:val="center"/>
          </w:tcPr>
          <w:p>
            <w:pPr>
              <w:pStyle w:val="19"/>
            </w:pPr>
            <w:r>
              <w:t>平台费用支付率</w:t>
            </w:r>
          </w:p>
        </w:tc>
        <w:tc>
          <w:tcPr>
            <w:tcW w:w="1327" w:type="dxa"/>
            <w:vAlign w:val="center"/>
          </w:tcPr>
          <w:p>
            <w:pPr>
              <w:pStyle w:val="19"/>
            </w:pPr>
            <w:r>
              <w:t>100百分比</w:t>
            </w:r>
          </w:p>
        </w:tc>
        <w:tc>
          <w:tcPr>
            <w:tcW w:w="1327" w:type="dxa"/>
            <w:vAlign w:val="center"/>
          </w:tcPr>
          <w:p>
            <w:pPr>
              <w:pStyle w:val="19"/>
            </w:pPr>
            <w:r>
              <w:t>平台费用支付率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生态效益指标</w:t>
            </w:r>
          </w:p>
        </w:tc>
        <w:tc>
          <w:tcPr>
            <w:tcW w:w="2654" w:type="dxa"/>
            <w:vAlign w:val="center"/>
          </w:tcPr>
          <w:p>
            <w:pPr>
              <w:pStyle w:val="19"/>
            </w:pPr>
            <w:r>
              <w:t>生态效益指标</w:t>
            </w:r>
          </w:p>
        </w:tc>
        <w:tc>
          <w:tcPr>
            <w:tcW w:w="1327" w:type="dxa"/>
            <w:vAlign w:val="center"/>
          </w:tcPr>
          <w:p>
            <w:pPr>
              <w:pStyle w:val="19"/>
            </w:pPr>
            <w:r>
              <w:t>≥95百分比</w:t>
            </w:r>
          </w:p>
        </w:tc>
        <w:tc>
          <w:tcPr>
            <w:tcW w:w="1327" w:type="dxa"/>
            <w:vAlign w:val="center"/>
          </w:tcPr>
          <w:p>
            <w:pPr>
              <w:pStyle w:val="19"/>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服务对象满意度</w:t>
            </w:r>
          </w:p>
        </w:tc>
        <w:tc>
          <w:tcPr>
            <w:tcW w:w="2654" w:type="dxa"/>
            <w:vAlign w:val="center"/>
          </w:tcPr>
          <w:p>
            <w:pPr>
              <w:pStyle w:val="19"/>
            </w:pPr>
            <w:r>
              <w:t>基层党员满意程度</w:t>
            </w:r>
          </w:p>
        </w:tc>
        <w:tc>
          <w:tcPr>
            <w:tcW w:w="1327" w:type="dxa"/>
            <w:vAlign w:val="center"/>
          </w:tcPr>
          <w:p>
            <w:pPr>
              <w:pStyle w:val="19"/>
            </w:pPr>
            <w:r>
              <w:t>≥95百分比</w:t>
            </w:r>
          </w:p>
        </w:tc>
        <w:tc>
          <w:tcPr>
            <w:tcW w:w="1327" w:type="dxa"/>
            <w:vAlign w:val="center"/>
          </w:tcPr>
          <w:p>
            <w:pPr>
              <w:pStyle w:val="19"/>
            </w:pPr>
            <w:r>
              <w:t>基层党员满意程度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bookmarkStart w:id="21" w:name="_Toc_4_4_0000000022"/>
      <w:r>
        <w:rPr>
          <w:rFonts w:ascii="方正仿宋_GBK" w:hAnsi="方正仿宋_GBK" w:eastAsia="方正仿宋_GBK" w:cs="方正仿宋_GBK"/>
          <w:color w:val="000000"/>
          <w:sz w:val="28"/>
        </w:rPr>
        <w:t>19.党群服务中心运行经费绩效目标表</w:t>
      </w:r>
      <w:bookmarkEnd w:id="21"/>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w:t>
            </w:r>
            <w:r>
              <w:rPr>
                <w:rFonts w:hint="eastAsia"/>
                <w:lang w:val="en-US" w:eastAsia="zh-CN"/>
              </w:rPr>
              <w:t xml:space="preserve"> </w:t>
            </w:r>
            <w:r>
              <w:t>中国共产党宁晋县委员会组织部</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绩效目标</w:t>
            </w:r>
          </w:p>
        </w:tc>
        <w:tc>
          <w:tcPr>
            <w:tcW w:w="7962" w:type="dxa"/>
            <w:gridSpan w:val="2"/>
            <w:vAlign w:val="center"/>
          </w:tcPr>
          <w:p>
            <w:pPr>
              <w:pStyle w:val="19"/>
            </w:pPr>
            <w:r>
              <w:t>1.保障党群服务中心运行</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保障运维数量</w:t>
            </w:r>
          </w:p>
        </w:tc>
        <w:tc>
          <w:tcPr>
            <w:tcW w:w="2654" w:type="dxa"/>
            <w:vAlign w:val="center"/>
          </w:tcPr>
          <w:p>
            <w:pPr>
              <w:pStyle w:val="19"/>
            </w:pPr>
            <w:r>
              <w:t>保障系统中心运维数量</w:t>
            </w:r>
          </w:p>
        </w:tc>
        <w:tc>
          <w:tcPr>
            <w:tcW w:w="1327" w:type="dxa"/>
            <w:vAlign w:val="center"/>
          </w:tcPr>
          <w:p>
            <w:pPr>
              <w:pStyle w:val="19"/>
            </w:pPr>
            <w:r>
              <w:t>≥2次</w:t>
            </w:r>
          </w:p>
        </w:tc>
        <w:tc>
          <w:tcPr>
            <w:tcW w:w="1327" w:type="dxa"/>
            <w:vAlign w:val="center"/>
          </w:tcPr>
          <w:p>
            <w:pPr>
              <w:pStyle w:val="19"/>
            </w:pPr>
            <w:r>
              <w:t>保障系统中心运维数量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党群服务中心正常运转率</w:t>
            </w:r>
          </w:p>
        </w:tc>
        <w:tc>
          <w:tcPr>
            <w:tcW w:w="2654" w:type="dxa"/>
            <w:vAlign w:val="center"/>
          </w:tcPr>
          <w:p>
            <w:pPr>
              <w:pStyle w:val="19"/>
            </w:pPr>
            <w:r>
              <w:t>党群服务中心正常运转率</w:t>
            </w:r>
          </w:p>
        </w:tc>
        <w:tc>
          <w:tcPr>
            <w:tcW w:w="1327" w:type="dxa"/>
            <w:vAlign w:val="center"/>
          </w:tcPr>
          <w:p>
            <w:pPr>
              <w:pStyle w:val="19"/>
            </w:pPr>
            <w:r>
              <w:t>≥90百分比</w:t>
            </w:r>
          </w:p>
        </w:tc>
        <w:tc>
          <w:tcPr>
            <w:tcW w:w="1327" w:type="dxa"/>
            <w:vAlign w:val="center"/>
          </w:tcPr>
          <w:p>
            <w:pPr>
              <w:pStyle w:val="19"/>
            </w:pPr>
            <w:r>
              <w:t>党群服务中心正常运转率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及时性</w:t>
            </w:r>
          </w:p>
        </w:tc>
        <w:tc>
          <w:tcPr>
            <w:tcW w:w="2654" w:type="dxa"/>
            <w:vAlign w:val="center"/>
          </w:tcPr>
          <w:p>
            <w:pPr>
              <w:pStyle w:val="19"/>
            </w:pPr>
            <w:r>
              <w:t>及时处理党群服务中心运转问题</w:t>
            </w:r>
          </w:p>
        </w:tc>
        <w:tc>
          <w:tcPr>
            <w:tcW w:w="1327" w:type="dxa"/>
            <w:vAlign w:val="center"/>
          </w:tcPr>
          <w:p>
            <w:pPr>
              <w:pStyle w:val="19"/>
            </w:pPr>
            <w:r>
              <w:t>≥90百分比</w:t>
            </w:r>
          </w:p>
        </w:tc>
        <w:tc>
          <w:tcPr>
            <w:tcW w:w="1327" w:type="dxa"/>
            <w:vAlign w:val="center"/>
          </w:tcPr>
          <w:p>
            <w:pPr>
              <w:pStyle w:val="19"/>
            </w:pPr>
            <w:r>
              <w:t>及时处理党群服务中心运转问题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资金成本</w:t>
            </w:r>
          </w:p>
        </w:tc>
        <w:tc>
          <w:tcPr>
            <w:tcW w:w="2654" w:type="dxa"/>
            <w:vAlign w:val="center"/>
          </w:tcPr>
          <w:p>
            <w:pPr>
              <w:pStyle w:val="19"/>
            </w:pPr>
            <w:r>
              <w:t>资金成本</w:t>
            </w:r>
          </w:p>
        </w:tc>
        <w:tc>
          <w:tcPr>
            <w:tcW w:w="1327" w:type="dxa"/>
            <w:vAlign w:val="center"/>
          </w:tcPr>
          <w:p>
            <w:pPr>
              <w:pStyle w:val="19"/>
            </w:pPr>
            <w:r>
              <w:t>≤100百分比</w:t>
            </w:r>
          </w:p>
        </w:tc>
        <w:tc>
          <w:tcPr>
            <w:tcW w:w="1327" w:type="dxa"/>
            <w:vAlign w:val="center"/>
          </w:tcPr>
          <w:p>
            <w:pPr>
              <w:pStyle w:val="19"/>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可持续影响指标</w:t>
            </w:r>
          </w:p>
        </w:tc>
        <w:tc>
          <w:tcPr>
            <w:tcW w:w="1327" w:type="dxa"/>
            <w:vAlign w:val="center"/>
          </w:tcPr>
          <w:p>
            <w:pPr>
              <w:pStyle w:val="19"/>
            </w:pPr>
            <w:r>
              <w:t>长期使用性</w:t>
            </w:r>
          </w:p>
        </w:tc>
        <w:tc>
          <w:tcPr>
            <w:tcW w:w="2654" w:type="dxa"/>
            <w:vAlign w:val="center"/>
          </w:tcPr>
          <w:p>
            <w:pPr>
              <w:pStyle w:val="19"/>
            </w:pPr>
            <w:r>
              <w:t>能够长期较好的满足党群服务中心需求</w:t>
            </w:r>
          </w:p>
        </w:tc>
        <w:tc>
          <w:tcPr>
            <w:tcW w:w="1327" w:type="dxa"/>
            <w:vAlign w:val="center"/>
          </w:tcPr>
          <w:p>
            <w:pPr>
              <w:pStyle w:val="19"/>
            </w:pPr>
            <w:r>
              <w:t>≥90百分比</w:t>
            </w:r>
          </w:p>
        </w:tc>
        <w:tc>
          <w:tcPr>
            <w:tcW w:w="1327" w:type="dxa"/>
            <w:vAlign w:val="center"/>
          </w:tcPr>
          <w:p>
            <w:pPr>
              <w:pStyle w:val="19"/>
            </w:pPr>
            <w:r>
              <w:t>能够长期较好的满足党群服务中心需求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经济效益指标</w:t>
            </w:r>
          </w:p>
        </w:tc>
        <w:tc>
          <w:tcPr>
            <w:tcW w:w="1327" w:type="dxa"/>
            <w:vAlign w:val="center"/>
          </w:tcPr>
          <w:p>
            <w:pPr>
              <w:pStyle w:val="19"/>
            </w:pPr>
            <w:r>
              <w:t>综合利用率</w:t>
            </w:r>
          </w:p>
        </w:tc>
        <w:tc>
          <w:tcPr>
            <w:tcW w:w="2654" w:type="dxa"/>
            <w:vAlign w:val="center"/>
          </w:tcPr>
          <w:p>
            <w:pPr>
              <w:pStyle w:val="19"/>
            </w:pPr>
            <w:r>
              <w:t xml:space="preserve">党群服务中心利用、使用情况 </w:t>
            </w:r>
          </w:p>
          <w:p>
            <w:pPr>
              <w:pStyle w:val="19"/>
            </w:pPr>
          </w:p>
        </w:tc>
        <w:tc>
          <w:tcPr>
            <w:tcW w:w="1327" w:type="dxa"/>
            <w:vAlign w:val="center"/>
          </w:tcPr>
          <w:p>
            <w:pPr>
              <w:pStyle w:val="19"/>
            </w:pPr>
            <w:r>
              <w:t>≥90百分比</w:t>
            </w:r>
          </w:p>
        </w:tc>
        <w:tc>
          <w:tcPr>
            <w:tcW w:w="1327" w:type="dxa"/>
            <w:vAlign w:val="center"/>
          </w:tcPr>
          <w:p>
            <w:pPr>
              <w:pStyle w:val="19"/>
            </w:pPr>
            <w:r>
              <w:t xml:space="preserve">党群服务中心利用、使用情况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党群服务中心办事大厅受理工作数量</w:t>
            </w:r>
          </w:p>
        </w:tc>
        <w:tc>
          <w:tcPr>
            <w:tcW w:w="2654" w:type="dxa"/>
            <w:vAlign w:val="center"/>
          </w:tcPr>
          <w:p>
            <w:pPr>
              <w:pStyle w:val="19"/>
            </w:pPr>
            <w:r>
              <w:t>党群服务中心办事大厅受理工作数量</w:t>
            </w:r>
          </w:p>
        </w:tc>
        <w:tc>
          <w:tcPr>
            <w:tcW w:w="1327" w:type="dxa"/>
            <w:vAlign w:val="center"/>
          </w:tcPr>
          <w:p>
            <w:pPr>
              <w:pStyle w:val="19"/>
            </w:pPr>
            <w:r>
              <w:t>≥500百分比</w:t>
            </w:r>
          </w:p>
        </w:tc>
        <w:tc>
          <w:tcPr>
            <w:tcW w:w="1327" w:type="dxa"/>
            <w:vAlign w:val="center"/>
          </w:tcPr>
          <w:p>
            <w:pPr>
              <w:pStyle w:val="19"/>
            </w:pPr>
            <w:r>
              <w:t>党群服务中心办事大厅受理工作数量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生态效益指标</w:t>
            </w:r>
          </w:p>
        </w:tc>
        <w:tc>
          <w:tcPr>
            <w:tcW w:w="2654" w:type="dxa"/>
            <w:vAlign w:val="center"/>
          </w:tcPr>
          <w:p>
            <w:pPr>
              <w:pStyle w:val="19"/>
            </w:pPr>
            <w:r>
              <w:t>生态效益指标</w:t>
            </w:r>
          </w:p>
        </w:tc>
        <w:tc>
          <w:tcPr>
            <w:tcW w:w="1327" w:type="dxa"/>
            <w:vAlign w:val="center"/>
          </w:tcPr>
          <w:p>
            <w:pPr>
              <w:pStyle w:val="19"/>
            </w:pPr>
            <w:r>
              <w:t>≥90百分比</w:t>
            </w:r>
          </w:p>
        </w:tc>
        <w:tc>
          <w:tcPr>
            <w:tcW w:w="1327" w:type="dxa"/>
            <w:vAlign w:val="center"/>
          </w:tcPr>
          <w:p>
            <w:pPr>
              <w:pStyle w:val="19"/>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群众满意度</w:t>
            </w:r>
          </w:p>
        </w:tc>
        <w:tc>
          <w:tcPr>
            <w:tcW w:w="2654" w:type="dxa"/>
            <w:vAlign w:val="center"/>
          </w:tcPr>
          <w:p>
            <w:pPr>
              <w:pStyle w:val="19"/>
            </w:pPr>
            <w:r>
              <w:t>办事群众对党群服务中心服务的整体满意度</w:t>
            </w:r>
          </w:p>
        </w:tc>
        <w:tc>
          <w:tcPr>
            <w:tcW w:w="1327" w:type="dxa"/>
            <w:vAlign w:val="center"/>
          </w:tcPr>
          <w:p>
            <w:pPr>
              <w:pStyle w:val="19"/>
            </w:pPr>
            <w:r>
              <w:t>≥90百分比</w:t>
            </w:r>
          </w:p>
        </w:tc>
        <w:tc>
          <w:tcPr>
            <w:tcW w:w="1327" w:type="dxa"/>
            <w:vAlign w:val="center"/>
          </w:tcPr>
          <w:p>
            <w:pPr>
              <w:pStyle w:val="19"/>
            </w:pPr>
            <w:r>
              <w:t>办事群众对党群服务中心服务的整体满意度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bookmarkStart w:id="22" w:name="_Toc_4_4_0000000023"/>
      <w:r>
        <w:rPr>
          <w:rFonts w:ascii="方正仿宋_GBK" w:hAnsi="方正仿宋_GBK" w:eastAsia="方正仿宋_GBK" w:cs="方正仿宋_GBK"/>
          <w:color w:val="000000"/>
          <w:sz w:val="28"/>
        </w:rPr>
        <w:t>20.党员干部远程教育运行费绩效目标表</w:t>
      </w:r>
      <w:bookmarkEnd w:id="22"/>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w:t>
            </w:r>
            <w:r>
              <w:rPr>
                <w:rFonts w:hint="eastAsia"/>
                <w:lang w:val="en-US" w:eastAsia="zh-CN"/>
              </w:rPr>
              <w:t xml:space="preserve"> </w:t>
            </w:r>
            <w:r>
              <w:t>中国共产党宁晋县委员会组织部</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绩效目标</w:t>
            </w:r>
          </w:p>
        </w:tc>
        <w:tc>
          <w:tcPr>
            <w:tcW w:w="7962" w:type="dxa"/>
            <w:gridSpan w:val="2"/>
            <w:vAlign w:val="center"/>
          </w:tcPr>
          <w:p>
            <w:pPr>
              <w:pStyle w:val="19"/>
            </w:pPr>
            <w:r>
              <w:t>1.保障远程教育站点运行</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年度服务部门数量</w:t>
            </w:r>
          </w:p>
        </w:tc>
        <w:tc>
          <w:tcPr>
            <w:tcW w:w="2654" w:type="dxa"/>
            <w:vAlign w:val="center"/>
          </w:tcPr>
          <w:p>
            <w:pPr>
              <w:pStyle w:val="19"/>
            </w:pPr>
            <w:r>
              <w:t>年度服务部门数量</w:t>
            </w:r>
          </w:p>
        </w:tc>
        <w:tc>
          <w:tcPr>
            <w:tcW w:w="1327" w:type="dxa"/>
            <w:vAlign w:val="center"/>
          </w:tcPr>
          <w:p>
            <w:pPr>
              <w:pStyle w:val="19"/>
            </w:pPr>
            <w:r>
              <w:t>≥392个</w:t>
            </w:r>
          </w:p>
        </w:tc>
        <w:tc>
          <w:tcPr>
            <w:tcW w:w="1327" w:type="dxa"/>
            <w:vAlign w:val="center"/>
          </w:tcPr>
          <w:p>
            <w:pPr>
              <w:pStyle w:val="19"/>
            </w:pPr>
            <w:r>
              <w:t>年度服务部门数量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专款专用率</w:t>
            </w:r>
          </w:p>
        </w:tc>
        <w:tc>
          <w:tcPr>
            <w:tcW w:w="2654" w:type="dxa"/>
            <w:vAlign w:val="center"/>
          </w:tcPr>
          <w:p>
            <w:pPr>
              <w:pStyle w:val="19"/>
            </w:pPr>
            <w:r>
              <w:t>党员干部远程教育运行费专款专用情况</w:t>
            </w:r>
          </w:p>
          <w:p>
            <w:pPr>
              <w:pStyle w:val="19"/>
            </w:pPr>
          </w:p>
        </w:tc>
        <w:tc>
          <w:tcPr>
            <w:tcW w:w="1327" w:type="dxa"/>
            <w:vAlign w:val="center"/>
          </w:tcPr>
          <w:p>
            <w:pPr>
              <w:pStyle w:val="19"/>
            </w:pPr>
            <w:r>
              <w:t>≥95百分比</w:t>
            </w:r>
          </w:p>
        </w:tc>
        <w:tc>
          <w:tcPr>
            <w:tcW w:w="1327" w:type="dxa"/>
            <w:vAlign w:val="center"/>
          </w:tcPr>
          <w:p>
            <w:pPr>
              <w:pStyle w:val="19"/>
            </w:pPr>
            <w:r>
              <w:t>党员干部远程教育运行费专款专用情况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及时性</w:t>
            </w:r>
          </w:p>
        </w:tc>
        <w:tc>
          <w:tcPr>
            <w:tcW w:w="2654" w:type="dxa"/>
            <w:vAlign w:val="center"/>
          </w:tcPr>
          <w:p>
            <w:pPr>
              <w:pStyle w:val="19"/>
            </w:pPr>
            <w:r>
              <w:t>及时支付运行费用情况</w:t>
            </w:r>
          </w:p>
        </w:tc>
        <w:tc>
          <w:tcPr>
            <w:tcW w:w="1327" w:type="dxa"/>
            <w:vAlign w:val="center"/>
          </w:tcPr>
          <w:p>
            <w:pPr>
              <w:pStyle w:val="19"/>
            </w:pPr>
            <w:r>
              <w:t>≥95百分比</w:t>
            </w:r>
          </w:p>
        </w:tc>
        <w:tc>
          <w:tcPr>
            <w:tcW w:w="1327" w:type="dxa"/>
            <w:vAlign w:val="center"/>
          </w:tcPr>
          <w:p>
            <w:pPr>
              <w:pStyle w:val="19"/>
            </w:pPr>
            <w:r>
              <w:t>及时支付运行费用情况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预算执行</w:t>
            </w:r>
          </w:p>
        </w:tc>
        <w:tc>
          <w:tcPr>
            <w:tcW w:w="2654" w:type="dxa"/>
            <w:vAlign w:val="center"/>
          </w:tcPr>
          <w:p>
            <w:pPr>
              <w:pStyle w:val="19"/>
            </w:pPr>
            <w:r>
              <w:t>完成年度预算资金安排</w:t>
            </w:r>
          </w:p>
        </w:tc>
        <w:tc>
          <w:tcPr>
            <w:tcW w:w="1327" w:type="dxa"/>
            <w:vAlign w:val="center"/>
          </w:tcPr>
          <w:p>
            <w:pPr>
              <w:pStyle w:val="19"/>
            </w:pPr>
            <w:r>
              <w:t>≥95百分比</w:t>
            </w:r>
          </w:p>
        </w:tc>
        <w:tc>
          <w:tcPr>
            <w:tcW w:w="1327" w:type="dxa"/>
            <w:vAlign w:val="center"/>
          </w:tcPr>
          <w:p>
            <w:pPr>
              <w:pStyle w:val="19"/>
            </w:pPr>
            <w:r>
              <w:t>完成年度预算资金安排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可持续影响指标</w:t>
            </w:r>
          </w:p>
        </w:tc>
        <w:tc>
          <w:tcPr>
            <w:tcW w:w="1327" w:type="dxa"/>
            <w:vAlign w:val="center"/>
          </w:tcPr>
          <w:p>
            <w:pPr>
              <w:pStyle w:val="19"/>
            </w:pPr>
            <w:r>
              <w:t>长期使用性</w:t>
            </w:r>
          </w:p>
        </w:tc>
        <w:tc>
          <w:tcPr>
            <w:tcW w:w="2654" w:type="dxa"/>
            <w:vAlign w:val="center"/>
          </w:tcPr>
          <w:p>
            <w:pPr>
              <w:pStyle w:val="19"/>
            </w:pPr>
            <w:r>
              <w:t>长期使用性</w:t>
            </w:r>
          </w:p>
        </w:tc>
        <w:tc>
          <w:tcPr>
            <w:tcW w:w="1327" w:type="dxa"/>
            <w:vAlign w:val="center"/>
          </w:tcPr>
          <w:p>
            <w:pPr>
              <w:pStyle w:val="19"/>
            </w:pPr>
            <w:r>
              <w:t>≥95百分比</w:t>
            </w:r>
          </w:p>
        </w:tc>
        <w:tc>
          <w:tcPr>
            <w:tcW w:w="1327" w:type="dxa"/>
            <w:vAlign w:val="center"/>
          </w:tcPr>
          <w:p>
            <w:pPr>
              <w:pStyle w:val="19"/>
            </w:pPr>
            <w:r>
              <w:t>长期使用性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经济效益指标</w:t>
            </w:r>
          </w:p>
        </w:tc>
        <w:tc>
          <w:tcPr>
            <w:tcW w:w="1327" w:type="dxa"/>
            <w:vAlign w:val="center"/>
          </w:tcPr>
          <w:p>
            <w:pPr>
              <w:pStyle w:val="19"/>
            </w:pPr>
            <w:r>
              <w:t>提高效率</w:t>
            </w:r>
          </w:p>
        </w:tc>
        <w:tc>
          <w:tcPr>
            <w:tcW w:w="2654" w:type="dxa"/>
            <w:vAlign w:val="center"/>
          </w:tcPr>
          <w:p>
            <w:pPr>
              <w:pStyle w:val="19"/>
            </w:pPr>
            <w:r>
              <w:t>提高工作效率</w:t>
            </w:r>
          </w:p>
        </w:tc>
        <w:tc>
          <w:tcPr>
            <w:tcW w:w="1327" w:type="dxa"/>
            <w:vAlign w:val="center"/>
          </w:tcPr>
          <w:p>
            <w:pPr>
              <w:pStyle w:val="19"/>
            </w:pPr>
            <w:r>
              <w:t>≥95百分比</w:t>
            </w:r>
          </w:p>
        </w:tc>
        <w:tc>
          <w:tcPr>
            <w:tcW w:w="1327" w:type="dxa"/>
            <w:vAlign w:val="center"/>
          </w:tcPr>
          <w:p>
            <w:pPr>
              <w:pStyle w:val="19"/>
            </w:pPr>
            <w:r>
              <w:t>提高工作效率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站点支付率</w:t>
            </w:r>
          </w:p>
        </w:tc>
        <w:tc>
          <w:tcPr>
            <w:tcW w:w="2654" w:type="dxa"/>
            <w:vAlign w:val="center"/>
          </w:tcPr>
          <w:p>
            <w:pPr>
              <w:pStyle w:val="19"/>
            </w:pPr>
            <w:r>
              <w:t>支付费用的站点占应维护的站点比率</w:t>
            </w:r>
          </w:p>
        </w:tc>
        <w:tc>
          <w:tcPr>
            <w:tcW w:w="1327" w:type="dxa"/>
            <w:vAlign w:val="center"/>
          </w:tcPr>
          <w:p>
            <w:pPr>
              <w:pStyle w:val="19"/>
            </w:pPr>
            <w:r>
              <w:t>≥95百分比</w:t>
            </w:r>
          </w:p>
        </w:tc>
        <w:tc>
          <w:tcPr>
            <w:tcW w:w="1327" w:type="dxa"/>
            <w:vAlign w:val="center"/>
          </w:tcPr>
          <w:p>
            <w:pPr>
              <w:pStyle w:val="19"/>
            </w:pPr>
            <w:r>
              <w:t>支付费用的站点占应维护的站点比率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生态效益指标</w:t>
            </w:r>
          </w:p>
        </w:tc>
        <w:tc>
          <w:tcPr>
            <w:tcW w:w="2654" w:type="dxa"/>
            <w:vAlign w:val="center"/>
          </w:tcPr>
          <w:p>
            <w:pPr>
              <w:pStyle w:val="19"/>
            </w:pPr>
            <w:r>
              <w:t>生态效益指标</w:t>
            </w:r>
          </w:p>
        </w:tc>
        <w:tc>
          <w:tcPr>
            <w:tcW w:w="1327" w:type="dxa"/>
            <w:vAlign w:val="center"/>
          </w:tcPr>
          <w:p>
            <w:pPr>
              <w:pStyle w:val="19"/>
            </w:pPr>
            <w:r>
              <w:t>≥95百分比</w:t>
            </w:r>
          </w:p>
        </w:tc>
        <w:tc>
          <w:tcPr>
            <w:tcW w:w="1327" w:type="dxa"/>
            <w:vAlign w:val="center"/>
          </w:tcPr>
          <w:p>
            <w:pPr>
              <w:pStyle w:val="19"/>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服务对象满意度</w:t>
            </w:r>
          </w:p>
        </w:tc>
        <w:tc>
          <w:tcPr>
            <w:tcW w:w="2654" w:type="dxa"/>
            <w:vAlign w:val="center"/>
          </w:tcPr>
          <w:p>
            <w:pPr>
              <w:pStyle w:val="19"/>
            </w:pPr>
            <w:r>
              <w:t>基层党员满意程度</w:t>
            </w:r>
          </w:p>
        </w:tc>
        <w:tc>
          <w:tcPr>
            <w:tcW w:w="1327" w:type="dxa"/>
            <w:vAlign w:val="center"/>
          </w:tcPr>
          <w:p>
            <w:pPr>
              <w:pStyle w:val="19"/>
            </w:pPr>
            <w:r>
              <w:t>≥95百分比</w:t>
            </w:r>
          </w:p>
        </w:tc>
        <w:tc>
          <w:tcPr>
            <w:tcW w:w="1327" w:type="dxa"/>
            <w:vAlign w:val="center"/>
          </w:tcPr>
          <w:p>
            <w:pPr>
              <w:pStyle w:val="19"/>
            </w:pPr>
            <w:r>
              <w:t>基层党员满意程度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bookmarkStart w:id="23" w:name="_Toc_4_4_0000000024"/>
      <w:r>
        <w:rPr>
          <w:rFonts w:ascii="方正仿宋_GBK" w:hAnsi="方正仿宋_GBK" w:eastAsia="方正仿宋_GBK" w:cs="方正仿宋_GBK"/>
          <w:color w:val="000000"/>
          <w:sz w:val="28"/>
        </w:rPr>
        <w:t>21.干部教育培训绩效目标表</w:t>
      </w:r>
      <w:bookmarkEnd w:id="23"/>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w:t>
            </w:r>
            <w:r>
              <w:rPr>
                <w:rFonts w:hint="eastAsia"/>
                <w:lang w:val="en-US" w:eastAsia="zh-CN"/>
              </w:rPr>
              <w:t xml:space="preserve"> </w:t>
            </w:r>
            <w:r>
              <w:t>中国共产党宁晋县委员会组织部</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绩效目标</w:t>
            </w:r>
          </w:p>
        </w:tc>
        <w:tc>
          <w:tcPr>
            <w:tcW w:w="7962" w:type="dxa"/>
            <w:gridSpan w:val="2"/>
            <w:vAlign w:val="center"/>
          </w:tcPr>
          <w:p>
            <w:pPr>
              <w:pStyle w:val="19"/>
            </w:pPr>
            <w:r>
              <w:t>对全县干部进行培训</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开展培训次数</w:t>
            </w:r>
          </w:p>
        </w:tc>
        <w:tc>
          <w:tcPr>
            <w:tcW w:w="2654" w:type="dxa"/>
            <w:vAlign w:val="center"/>
          </w:tcPr>
          <w:p>
            <w:pPr>
              <w:pStyle w:val="19"/>
            </w:pPr>
            <w:r>
              <w:t>开展培训次数</w:t>
            </w:r>
          </w:p>
        </w:tc>
        <w:tc>
          <w:tcPr>
            <w:tcW w:w="1327" w:type="dxa"/>
            <w:vAlign w:val="center"/>
          </w:tcPr>
          <w:p>
            <w:pPr>
              <w:pStyle w:val="19"/>
            </w:pPr>
            <w:r>
              <w:t>≥4次</w:t>
            </w:r>
          </w:p>
        </w:tc>
        <w:tc>
          <w:tcPr>
            <w:tcW w:w="1327" w:type="dxa"/>
            <w:vAlign w:val="center"/>
          </w:tcPr>
          <w:p>
            <w:pPr>
              <w:pStyle w:val="19"/>
            </w:pPr>
            <w:r>
              <w:t>开展培训次数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专款专用率</w:t>
            </w:r>
          </w:p>
        </w:tc>
        <w:tc>
          <w:tcPr>
            <w:tcW w:w="2654" w:type="dxa"/>
            <w:vAlign w:val="center"/>
          </w:tcPr>
          <w:p>
            <w:pPr>
              <w:pStyle w:val="19"/>
            </w:pPr>
            <w:r>
              <w:t>开展培训次数</w:t>
            </w:r>
          </w:p>
          <w:p>
            <w:pPr>
              <w:pStyle w:val="19"/>
            </w:pPr>
          </w:p>
        </w:tc>
        <w:tc>
          <w:tcPr>
            <w:tcW w:w="1327" w:type="dxa"/>
            <w:vAlign w:val="center"/>
          </w:tcPr>
          <w:p>
            <w:pPr>
              <w:pStyle w:val="19"/>
            </w:pPr>
            <w:r>
              <w:t>≥90百分比</w:t>
            </w:r>
          </w:p>
        </w:tc>
        <w:tc>
          <w:tcPr>
            <w:tcW w:w="1327" w:type="dxa"/>
            <w:vAlign w:val="center"/>
          </w:tcPr>
          <w:p>
            <w:pPr>
              <w:pStyle w:val="19"/>
            </w:pPr>
            <w:r>
              <w:t>开展培训次数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各项任务完成及时率（%）</w:t>
            </w:r>
          </w:p>
        </w:tc>
        <w:tc>
          <w:tcPr>
            <w:tcW w:w="2654" w:type="dxa"/>
            <w:vAlign w:val="center"/>
          </w:tcPr>
          <w:p>
            <w:pPr>
              <w:pStyle w:val="19"/>
            </w:pPr>
            <w:r>
              <w:t>各项任务完成及时率（%）</w:t>
            </w:r>
          </w:p>
        </w:tc>
        <w:tc>
          <w:tcPr>
            <w:tcW w:w="1327" w:type="dxa"/>
            <w:vAlign w:val="center"/>
          </w:tcPr>
          <w:p>
            <w:pPr>
              <w:pStyle w:val="19"/>
            </w:pPr>
            <w:r>
              <w:t>≥90百分比</w:t>
            </w:r>
          </w:p>
        </w:tc>
        <w:tc>
          <w:tcPr>
            <w:tcW w:w="1327" w:type="dxa"/>
            <w:vAlign w:val="center"/>
          </w:tcPr>
          <w:p>
            <w:pPr>
              <w:pStyle w:val="19"/>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资金成本</w:t>
            </w:r>
          </w:p>
        </w:tc>
        <w:tc>
          <w:tcPr>
            <w:tcW w:w="2654" w:type="dxa"/>
            <w:vAlign w:val="center"/>
          </w:tcPr>
          <w:p>
            <w:pPr>
              <w:pStyle w:val="19"/>
            </w:pPr>
            <w:r>
              <w:t>资金成本</w:t>
            </w:r>
          </w:p>
        </w:tc>
        <w:tc>
          <w:tcPr>
            <w:tcW w:w="1327" w:type="dxa"/>
            <w:vAlign w:val="center"/>
          </w:tcPr>
          <w:p>
            <w:pPr>
              <w:pStyle w:val="19"/>
            </w:pPr>
            <w:r>
              <w:t>≥90百分比</w:t>
            </w:r>
          </w:p>
        </w:tc>
        <w:tc>
          <w:tcPr>
            <w:tcW w:w="1327" w:type="dxa"/>
            <w:vAlign w:val="center"/>
          </w:tcPr>
          <w:p>
            <w:pPr>
              <w:pStyle w:val="19"/>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可持续影响指标</w:t>
            </w:r>
          </w:p>
        </w:tc>
        <w:tc>
          <w:tcPr>
            <w:tcW w:w="1327" w:type="dxa"/>
            <w:vAlign w:val="center"/>
          </w:tcPr>
          <w:p>
            <w:pPr>
              <w:pStyle w:val="19"/>
            </w:pPr>
            <w:r>
              <w:t>社会影响力</w:t>
            </w:r>
          </w:p>
        </w:tc>
        <w:tc>
          <w:tcPr>
            <w:tcW w:w="2654" w:type="dxa"/>
            <w:vAlign w:val="center"/>
          </w:tcPr>
          <w:p>
            <w:pPr>
              <w:pStyle w:val="19"/>
            </w:pPr>
            <w:r>
              <w:t>提高干部队伍理论水平</w:t>
            </w:r>
          </w:p>
        </w:tc>
        <w:tc>
          <w:tcPr>
            <w:tcW w:w="1327" w:type="dxa"/>
            <w:vAlign w:val="center"/>
          </w:tcPr>
          <w:p>
            <w:pPr>
              <w:pStyle w:val="19"/>
            </w:pPr>
            <w:r>
              <w:t>≥90百分比</w:t>
            </w:r>
          </w:p>
        </w:tc>
        <w:tc>
          <w:tcPr>
            <w:tcW w:w="1327" w:type="dxa"/>
            <w:vAlign w:val="center"/>
          </w:tcPr>
          <w:p>
            <w:pPr>
              <w:pStyle w:val="19"/>
            </w:pPr>
            <w:r>
              <w:t>提高干部队伍理论水平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经济效益指标</w:t>
            </w:r>
          </w:p>
        </w:tc>
        <w:tc>
          <w:tcPr>
            <w:tcW w:w="1327" w:type="dxa"/>
            <w:vAlign w:val="center"/>
          </w:tcPr>
          <w:p>
            <w:pPr>
              <w:pStyle w:val="19"/>
            </w:pPr>
            <w:r>
              <w:t>综合利用率</w:t>
            </w:r>
          </w:p>
        </w:tc>
        <w:tc>
          <w:tcPr>
            <w:tcW w:w="2654" w:type="dxa"/>
            <w:vAlign w:val="center"/>
          </w:tcPr>
          <w:p>
            <w:pPr>
              <w:pStyle w:val="19"/>
            </w:pPr>
            <w:r>
              <w:t>干部教育培训影响率</w:t>
            </w:r>
          </w:p>
        </w:tc>
        <w:tc>
          <w:tcPr>
            <w:tcW w:w="1327" w:type="dxa"/>
            <w:vAlign w:val="center"/>
          </w:tcPr>
          <w:p>
            <w:pPr>
              <w:pStyle w:val="19"/>
            </w:pPr>
            <w:r>
              <w:t>≥90百分比</w:t>
            </w:r>
          </w:p>
        </w:tc>
        <w:tc>
          <w:tcPr>
            <w:tcW w:w="1327" w:type="dxa"/>
            <w:vAlign w:val="center"/>
          </w:tcPr>
          <w:p>
            <w:pPr>
              <w:pStyle w:val="19"/>
            </w:pPr>
            <w:r>
              <w:t>干部教育培训影响率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受训学员出勤率</w:t>
            </w:r>
          </w:p>
        </w:tc>
        <w:tc>
          <w:tcPr>
            <w:tcW w:w="2654" w:type="dxa"/>
            <w:vAlign w:val="center"/>
          </w:tcPr>
          <w:p>
            <w:pPr>
              <w:pStyle w:val="19"/>
            </w:pPr>
            <w:r>
              <w:t>受训学员出勤率</w:t>
            </w:r>
          </w:p>
        </w:tc>
        <w:tc>
          <w:tcPr>
            <w:tcW w:w="1327" w:type="dxa"/>
            <w:vAlign w:val="center"/>
          </w:tcPr>
          <w:p>
            <w:pPr>
              <w:pStyle w:val="19"/>
            </w:pPr>
            <w:r>
              <w:t>≥80百分比</w:t>
            </w:r>
          </w:p>
        </w:tc>
        <w:tc>
          <w:tcPr>
            <w:tcW w:w="1327" w:type="dxa"/>
            <w:vAlign w:val="center"/>
          </w:tcPr>
          <w:p>
            <w:pPr>
              <w:pStyle w:val="19"/>
            </w:pPr>
            <w:r>
              <w:t>受训学员出勤率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生态效益指标</w:t>
            </w:r>
          </w:p>
        </w:tc>
        <w:tc>
          <w:tcPr>
            <w:tcW w:w="2654" w:type="dxa"/>
            <w:vAlign w:val="center"/>
          </w:tcPr>
          <w:p>
            <w:pPr>
              <w:pStyle w:val="19"/>
            </w:pPr>
            <w:r>
              <w:t>生态效益指标</w:t>
            </w:r>
          </w:p>
        </w:tc>
        <w:tc>
          <w:tcPr>
            <w:tcW w:w="1327" w:type="dxa"/>
            <w:vAlign w:val="center"/>
          </w:tcPr>
          <w:p>
            <w:pPr>
              <w:pStyle w:val="19"/>
            </w:pPr>
            <w:r>
              <w:t>≥90百分比</w:t>
            </w:r>
          </w:p>
        </w:tc>
        <w:tc>
          <w:tcPr>
            <w:tcW w:w="1327" w:type="dxa"/>
            <w:vAlign w:val="center"/>
          </w:tcPr>
          <w:p>
            <w:pPr>
              <w:pStyle w:val="19"/>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服务对象满意度</w:t>
            </w:r>
          </w:p>
        </w:tc>
        <w:tc>
          <w:tcPr>
            <w:tcW w:w="2654" w:type="dxa"/>
            <w:vAlign w:val="center"/>
          </w:tcPr>
          <w:p>
            <w:pPr>
              <w:pStyle w:val="19"/>
            </w:pPr>
            <w:r>
              <w:t>受训学员的满意程度</w:t>
            </w:r>
          </w:p>
        </w:tc>
        <w:tc>
          <w:tcPr>
            <w:tcW w:w="1327" w:type="dxa"/>
            <w:vAlign w:val="center"/>
          </w:tcPr>
          <w:p>
            <w:pPr>
              <w:pStyle w:val="19"/>
            </w:pPr>
            <w:r>
              <w:t>≥90百分比</w:t>
            </w:r>
          </w:p>
        </w:tc>
        <w:tc>
          <w:tcPr>
            <w:tcW w:w="1327" w:type="dxa"/>
            <w:vAlign w:val="center"/>
          </w:tcPr>
          <w:p>
            <w:pPr>
              <w:pStyle w:val="19"/>
            </w:pPr>
            <w:r>
              <w:t>受训学员的满意程度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bookmarkStart w:id="24" w:name="_Toc_4_4_0000000025"/>
      <w:r>
        <w:rPr>
          <w:rFonts w:ascii="方正仿宋_GBK" w:hAnsi="方正仿宋_GBK" w:eastAsia="方正仿宋_GBK" w:cs="方正仿宋_GBK"/>
          <w:color w:val="000000"/>
          <w:sz w:val="28"/>
        </w:rPr>
        <w:t>22.干部人事档案专项经费绩效目标表</w:t>
      </w:r>
      <w:bookmarkEnd w:id="24"/>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w:t>
            </w:r>
            <w:r>
              <w:rPr>
                <w:rFonts w:hint="eastAsia"/>
                <w:lang w:val="en-US" w:eastAsia="zh-CN"/>
              </w:rPr>
              <w:t xml:space="preserve"> </w:t>
            </w:r>
            <w:r>
              <w:t>中国共产党宁晋县委员会组织部</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绩效目标</w:t>
            </w:r>
          </w:p>
        </w:tc>
        <w:tc>
          <w:tcPr>
            <w:tcW w:w="7962" w:type="dxa"/>
            <w:gridSpan w:val="2"/>
            <w:vAlign w:val="center"/>
          </w:tcPr>
          <w:p>
            <w:pPr>
              <w:pStyle w:val="19"/>
            </w:pPr>
            <w:r>
              <w:t>1.保障人事档案工作顺利进行</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高清档案制作份数</w:t>
            </w:r>
          </w:p>
        </w:tc>
        <w:tc>
          <w:tcPr>
            <w:tcW w:w="2654" w:type="dxa"/>
            <w:vAlign w:val="center"/>
          </w:tcPr>
          <w:p>
            <w:pPr>
              <w:pStyle w:val="19"/>
            </w:pPr>
            <w:r>
              <w:t>高清档案制作份数</w:t>
            </w:r>
          </w:p>
        </w:tc>
        <w:tc>
          <w:tcPr>
            <w:tcW w:w="1327" w:type="dxa"/>
            <w:vAlign w:val="center"/>
          </w:tcPr>
          <w:p>
            <w:pPr>
              <w:pStyle w:val="19"/>
            </w:pPr>
            <w:r>
              <w:t>≥100份</w:t>
            </w:r>
          </w:p>
        </w:tc>
        <w:tc>
          <w:tcPr>
            <w:tcW w:w="1327" w:type="dxa"/>
            <w:vAlign w:val="center"/>
          </w:tcPr>
          <w:p>
            <w:pPr>
              <w:pStyle w:val="19"/>
            </w:pPr>
            <w:r>
              <w:t>高清档案制作份数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专款专用率</w:t>
            </w:r>
          </w:p>
        </w:tc>
        <w:tc>
          <w:tcPr>
            <w:tcW w:w="2654" w:type="dxa"/>
            <w:vAlign w:val="center"/>
          </w:tcPr>
          <w:p>
            <w:pPr>
              <w:pStyle w:val="19"/>
            </w:pPr>
            <w:r>
              <w:t>干部人事档案专项经费专款专用情况</w:t>
            </w:r>
          </w:p>
        </w:tc>
        <w:tc>
          <w:tcPr>
            <w:tcW w:w="1327" w:type="dxa"/>
            <w:vAlign w:val="center"/>
          </w:tcPr>
          <w:p>
            <w:pPr>
              <w:pStyle w:val="19"/>
            </w:pPr>
            <w:r>
              <w:t>≥90百分比</w:t>
            </w:r>
          </w:p>
        </w:tc>
        <w:tc>
          <w:tcPr>
            <w:tcW w:w="1327" w:type="dxa"/>
            <w:vAlign w:val="center"/>
          </w:tcPr>
          <w:p>
            <w:pPr>
              <w:pStyle w:val="19"/>
            </w:pPr>
            <w:r>
              <w:t>干部人事档案专项经费专款专用情况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完成率</w:t>
            </w:r>
          </w:p>
        </w:tc>
        <w:tc>
          <w:tcPr>
            <w:tcW w:w="2654" w:type="dxa"/>
            <w:vAlign w:val="center"/>
          </w:tcPr>
          <w:p>
            <w:pPr>
              <w:pStyle w:val="19"/>
            </w:pPr>
            <w:r>
              <w:t>按照日常工作进度完成</w:t>
            </w:r>
          </w:p>
        </w:tc>
        <w:tc>
          <w:tcPr>
            <w:tcW w:w="1327" w:type="dxa"/>
            <w:vAlign w:val="center"/>
          </w:tcPr>
          <w:p>
            <w:pPr>
              <w:pStyle w:val="19"/>
            </w:pPr>
            <w:r>
              <w:t>≥90百分比</w:t>
            </w:r>
          </w:p>
        </w:tc>
        <w:tc>
          <w:tcPr>
            <w:tcW w:w="1327" w:type="dxa"/>
            <w:vAlign w:val="center"/>
          </w:tcPr>
          <w:p>
            <w:pPr>
              <w:pStyle w:val="19"/>
            </w:pPr>
            <w:r>
              <w:t>按照日常工作进度完成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预算执行率（%）</w:t>
            </w:r>
          </w:p>
        </w:tc>
        <w:tc>
          <w:tcPr>
            <w:tcW w:w="2654" w:type="dxa"/>
            <w:vAlign w:val="center"/>
          </w:tcPr>
          <w:p>
            <w:pPr>
              <w:pStyle w:val="19"/>
            </w:pPr>
            <w:r>
              <w:t>预算执行率（%）</w:t>
            </w:r>
          </w:p>
        </w:tc>
        <w:tc>
          <w:tcPr>
            <w:tcW w:w="1327" w:type="dxa"/>
            <w:vAlign w:val="center"/>
          </w:tcPr>
          <w:p>
            <w:pPr>
              <w:pStyle w:val="19"/>
            </w:pPr>
            <w:r>
              <w:t>≥90百分比</w:t>
            </w:r>
          </w:p>
        </w:tc>
        <w:tc>
          <w:tcPr>
            <w:tcW w:w="1327" w:type="dxa"/>
            <w:vAlign w:val="center"/>
          </w:tcPr>
          <w:p>
            <w:pPr>
              <w:pStyle w:val="19"/>
            </w:pPr>
            <w:r>
              <w:t>预算执行率（%）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可持续影响指标</w:t>
            </w:r>
          </w:p>
        </w:tc>
        <w:tc>
          <w:tcPr>
            <w:tcW w:w="1327" w:type="dxa"/>
            <w:vAlign w:val="center"/>
          </w:tcPr>
          <w:p>
            <w:pPr>
              <w:pStyle w:val="19"/>
            </w:pPr>
            <w:r>
              <w:t>工作水平</w:t>
            </w:r>
          </w:p>
        </w:tc>
        <w:tc>
          <w:tcPr>
            <w:tcW w:w="2654" w:type="dxa"/>
            <w:vAlign w:val="center"/>
          </w:tcPr>
          <w:p>
            <w:pPr>
              <w:pStyle w:val="19"/>
            </w:pPr>
            <w:r>
              <w:t>提高干部人事档案工作水平</w:t>
            </w:r>
          </w:p>
        </w:tc>
        <w:tc>
          <w:tcPr>
            <w:tcW w:w="1327" w:type="dxa"/>
            <w:vAlign w:val="center"/>
          </w:tcPr>
          <w:p>
            <w:pPr>
              <w:pStyle w:val="19"/>
            </w:pPr>
            <w:r>
              <w:t>≥90百分比</w:t>
            </w:r>
          </w:p>
        </w:tc>
        <w:tc>
          <w:tcPr>
            <w:tcW w:w="1327" w:type="dxa"/>
            <w:vAlign w:val="center"/>
          </w:tcPr>
          <w:p>
            <w:pPr>
              <w:pStyle w:val="19"/>
            </w:pPr>
            <w:r>
              <w:t>提高干部人事档案工作水平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经济效益指标</w:t>
            </w:r>
          </w:p>
        </w:tc>
        <w:tc>
          <w:tcPr>
            <w:tcW w:w="1327" w:type="dxa"/>
            <w:vAlign w:val="center"/>
          </w:tcPr>
          <w:p>
            <w:pPr>
              <w:pStyle w:val="19"/>
            </w:pPr>
            <w:r>
              <w:t>公共服务水平提升情况</w:t>
            </w:r>
          </w:p>
        </w:tc>
        <w:tc>
          <w:tcPr>
            <w:tcW w:w="2654" w:type="dxa"/>
            <w:vAlign w:val="center"/>
          </w:tcPr>
          <w:p>
            <w:pPr>
              <w:pStyle w:val="19"/>
            </w:pPr>
            <w:r>
              <w:t>保障相关业务、工作等开展情况</w:t>
            </w:r>
          </w:p>
        </w:tc>
        <w:tc>
          <w:tcPr>
            <w:tcW w:w="1327" w:type="dxa"/>
            <w:vAlign w:val="center"/>
          </w:tcPr>
          <w:p>
            <w:pPr>
              <w:pStyle w:val="19"/>
            </w:pPr>
            <w:r>
              <w:t>≥90百分比</w:t>
            </w:r>
          </w:p>
        </w:tc>
        <w:tc>
          <w:tcPr>
            <w:tcW w:w="1327" w:type="dxa"/>
            <w:vAlign w:val="center"/>
          </w:tcPr>
          <w:p>
            <w:pPr>
              <w:pStyle w:val="19"/>
            </w:pPr>
            <w:r>
              <w:t>保障相关业务、工作等开展情况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散档案材料录入份数占应录入的比例</w:t>
            </w:r>
          </w:p>
        </w:tc>
        <w:tc>
          <w:tcPr>
            <w:tcW w:w="2654" w:type="dxa"/>
            <w:vAlign w:val="center"/>
          </w:tcPr>
          <w:p>
            <w:pPr>
              <w:pStyle w:val="19"/>
            </w:pPr>
            <w:r>
              <w:t>散档案材料录入份数占应录入的比例</w:t>
            </w:r>
          </w:p>
        </w:tc>
        <w:tc>
          <w:tcPr>
            <w:tcW w:w="1327" w:type="dxa"/>
            <w:vAlign w:val="center"/>
          </w:tcPr>
          <w:p>
            <w:pPr>
              <w:pStyle w:val="19"/>
            </w:pPr>
            <w:r>
              <w:t>≥90百分比</w:t>
            </w:r>
          </w:p>
        </w:tc>
        <w:tc>
          <w:tcPr>
            <w:tcW w:w="1327" w:type="dxa"/>
            <w:vAlign w:val="center"/>
          </w:tcPr>
          <w:p>
            <w:pPr>
              <w:pStyle w:val="19"/>
            </w:pPr>
            <w:r>
              <w:t>散档案材料录入份数占应录入的比例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生态效益指标</w:t>
            </w:r>
          </w:p>
        </w:tc>
        <w:tc>
          <w:tcPr>
            <w:tcW w:w="2654" w:type="dxa"/>
            <w:vAlign w:val="center"/>
          </w:tcPr>
          <w:p>
            <w:pPr>
              <w:pStyle w:val="19"/>
            </w:pPr>
            <w:r>
              <w:t>生态效益指标</w:t>
            </w:r>
          </w:p>
        </w:tc>
        <w:tc>
          <w:tcPr>
            <w:tcW w:w="1327" w:type="dxa"/>
            <w:vAlign w:val="center"/>
          </w:tcPr>
          <w:p>
            <w:pPr>
              <w:pStyle w:val="19"/>
            </w:pPr>
            <w:r>
              <w:t>≥90百分比</w:t>
            </w:r>
          </w:p>
        </w:tc>
        <w:tc>
          <w:tcPr>
            <w:tcW w:w="1327" w:type="dxa"/>
            <w:vAlign w:val="center"/>
          </w:tcPr>
          <w:p>
            <w:pPr>
              <w:pStyle w:val="19"/>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服务对象满意度</w:t>
            </w:r>
          </w:p>
        </w:tc>
        <w:tc>
          <w:tcPr>
            <w:tcW w:w="2654" w:type="dxa"/>
            <w:vAlign w:val="center"/>
          </w:tcPr>
          <w:p>
            <w:pPr>
              <w:pStyle w:val="19"/>
            </w:pPr>
            <w:r>
              <w:t>受管理的干部的满意程度</w:t>
            </w:r>
          </w:p>
        </w:tc>
        <w:tc>
          <w:tcPr>
            <w:tcW w:w="1327" w:type="dxa"/>
            <w:vAlign w:val="center"/>
          </w:tcPr>
          <w:p>
            <w:pPr>
              <w:pStyle w:val="19"/>
            </w:pPr>
            <w:r>
              <w:t>≥90百分比</w:t>
            </w:r>
          </w:p>
        </w:tc>
        <w:tc>
          <w:tcPr>
            <w:tcW w:w="1327" w:type="dxa"/>
            <w:vAlign w:val="center"/>
          </w:tcPr>
          <w:p>
            <w:pPr>
              <w:pStyle w:val="19"/>
            </w:pPr>
            <w:r>
              <w:t>受管理的干部的满意程度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bookmarkStart w:id="25" w:name="_Toc_4_4_0000000026"/>
      <w:r>
        <w:rPr>
          <w:rFonts w:ascii="方正仿宋_GBK" w:hAnsi="方正仿宋_GBK" w:eastAsia="方正仿宋_GBK" w:cs="方正仿宋_GBK"/>
          <w:color w:val="000000"/>
          <w:sz w:val="28"/>
        </w:rPr>
        <w:t>23.工资管理系统连接电子政务内网及技术运维服务费用绩效目标表</w:t>
      </w:r>
      <w:bookmarkEnd w:id="25"/>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w:t>
            </w:r>
            <w:r>
              <w:rPr>
                <w:rFonts w:hint="eastAsia"/>
                <w:lang w:val="en-US" w:eastAsia="zh-CN"/>
              </w:rPr>
              <w:t xml:space="preserve"> </w:t>
            </w:r>
            <w:r>
              <w:t>中国共产党宁晋县委员会组织部</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绩效目标</w:t>
            </w:r>
          </w:p>
        </w:tc>
        <w:tc>
          <w:tcPr>
            <w:tcW w:w="7962" w:type="dxa"/>
            <w:gridSpan w:val="2"/>
            <w:vAlign w:val="center"/>
          </w:tcPr>
          <w:p>
            <w:pPr>
              <w:pStyle w:val="19"/>
            </w:pPr>
            <w:r>
              <w:t>1.保障工资系统顺利运行</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年度服务部门数量</w:t>
            </w:r>
          </w:p>
        </w:tc>
        <w:tc>
          <w:tcPr>
            <w:tcW w:w="2654" w:type="dxa"/>
            <w:vAlign w:val="center"/>
          </w:tcPr>
          <w:p>
            <w:pPr>
              <w:pStyle w:val="19"/>
            </w:pPr>
            <w:r>
              <w:t>年度服务部门数量</w:t>
            </w:r>
          </w:p>
        </w:tc>
        <w:tc>
          <w:tcPr>
            <w:tcW w:w="1327" w:type="dxa"/>
            <w:vAlign w:val="center"/>
          </w:tcPr>
          <w:p>
            <w:pPr>
              <w:pStyle w:val="19"/>
            </w:pPr>
            <w:r>
              <w:t>≥50个</w:t>
            </w:r>
          </w:p>
        </w:tc>
        <w:tc>
          <w:tcPr>
            <w:tcW w:w="1327" w:type="dxa"/>
            <w:vAlign w:val="center"/>
          </w:tcPr>
          <w:p>
            <w:pPr>
              <w:pStyle w:val="19"/>
            </w:pPr>
            <w:r>
              <w:t>年度服务部门数量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专款专用率</w:t>
            </w:r>
          </w:p>
        </w:tc>
        <w:tc>
          <w:tcPr>
            <w:tcW w:w="2654" w:type="dxa"/>
            <w:vAlign w:val="center"/>
          </w:tcPr>
          <w:p>
            <w:pPr>
              <w:pStyle w:val="19"/>
            </w:pPr>
            <w:r>
              <w:t>工资管理系统运维服务费用专款专用率</w:t>
            </w:r>
          </w:p>
        </w:tc>
        <w:tc>
          <w:tcPr>
            <w:tcW w:w="1327" w:type="dxa"/>
            <w:vAlign w:val="center"/>
          </w:tcPr>
          <w:p>
            <w:pPr>
              <w:pStyle w:val="19"/>
            </w:pPr>
            <w:r>
              <w:t>≥90百分比</w:t>
            </w:r>
          </w:p>
        </w:tc>
        <w:tc>
          <w:tcPr>
            <w:tcW w:w="1327" w:type="dxa"/>
            <w:vAlign w:val="center"/>
          </w:tcPr>
          <w:p>
            <w:pPr>
              <w:pStyle w:val="19"/>
            </w:pPr>
            <w:r>
              <w:t>工资管理系统运维服务费用专款专用率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服务的完成度</w:t>
            </w:r>
          </w:p>
        </w:tc>
        <w:tc>
          <w:tcPr>
            <w:tcW w:w="2654" w:type="dxa"/>
            <w:vAlign w:val="center"/>
          </w:tcPr>
          <w:p>
            <w:pPr>
              <w:pStyle w:val="19"/>
            </w:pPr>
            <w:r>
              <w:t>服务的完成度</w:t>
            </w:r>
          </w:p>
        </w:tc>
        <w:tc>
          <w:tcPr>
            <w:tcW w:w="1327" w:type="dxa"/>
            <w:vAlign w:val="center"/>
          </w:tcPr>
          <w:p>
            <w:pPr>
              <w:pStyle w:val="19"/>
            </w:pPr>
            <w:r>
              <w:t>≥90百分比</w:t>
            </w:r>
          </w:p>
        </w:tc>
        <w:tc>
          <w:tcPr>
            <w:tcW w:w="1327" w:type="dxa"/>
            <w:vAlign w:val="center"/>
          </w:tcPr>
          <w:p>
            <w:pPr>
              <w:pStyle w:val="19"/>
            </w:pPr>
            <w:r>
              <w:t>服务的完成度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预算执行率（%）</w:t>
            </w:r>
          </w:p>
        </w:tc>
        <w:tc>
          <w:tcPr>
            <w:tcW w:w="2654" w:type="dxa"/>
            <w:vAlign w:val="center"/>
          </w:tcPr>
          <w:p>
            <w:pPr>
              <w:pStyle w:val="19"/>
            </w:pPr>
            <w:r>
              <w:t>预算执行率（%）</w:t>
            </w:r>
          </w:p>
        </w:tc>
        <w:tc>
          <w:tcPr>
            <w:tcW w:w="1327" w:type="dxa"/>
            <w:vAlign w:val="center"/>
          </w:tcPr>
          <w:p>
            <w:pPr>
              <w:pStyle w:val="19"/>
            </w:pPr>
            <w:r>
              <w:t>≥90百分比</w:t>
            </w:r>
          </w:p>
        </w:tc>
        <w:tc>
          <w:tcPr>
            <w:tcW w:w="1327" w:type="dxa"/>
            <w:vAlign w:val="center"/>
          </w:tcPr>
          <w:p>
            <w:pPr>
              <w:pStyle w:val="19"/>
            </w:pPr>
            <w:r>
              <w:t>预算执行率（%）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可持续影响指标</w:t>
            </w:r>
          </w:p>
        </w:tc>
        <w:tc>
          <w:tcPr>
            <w:tcW w:w="1327" w:type="dxa"/>
            <w:vAlign w:val="center"/>
          </w:tcPr>
          <w:p>
            <w:pPr>
              <w:pStyle w:val="19"/>
            </w:pPr>
            <w:r>
              <w:t>工作水平</w:t>
            </w:r>
          </w:p>
        </w:tc>
        <w:tc>
          <w:tcPr>
            <w:tcW w:w="2654" w:type="dxa"/>
            <w:vAlign w:val="center"/>
          </w:tcPr>
          <w:p>
            <w:pPr>
              <w:pStyle w:val="19"/>
            </w:pPr>
            <w:r>
              <w:t>提高干部人事档案工作水平</w:t>
            </w:r>
          </w:p>
        </w:tc>
        <w:tc>
          <w:tcPr>
            <w:tcW w:w="1327" w:type="dxa"/>
            <w:vAlign w:val="center"/>
          </w:tcPr>
          <w:p>
            <w:pPr>
              <w:pStyle w:val="19"/>
            </w:pPr>
            <w:r>
              <w:t>≥90百分比</w:t>
            </w:r>
          </w:p>
        </w:tc>
        <w:tc>
          <w:tcPr>
            <w:tcW w:w="1327" w:type="dxa"/>
            <w:vAlign w:val="center"/>
          </w:tcPr>
          <w:p>
            <w:pPr>
              <w:pStyle w:val="19"/>
            </w:pPr>
            <w:r>
              <w:t>提高干部人事档案工作水平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经济效益指标</w:t>
            </w:r>
          </w:p>
        </w:tc>
        <w:tc>
          <w:tcPr>
            <w:tcW w:w="1327" w:type="dxa"/>
            <w:vAlign w:val="center"/>
          </w:tcPr>
          <w:p>
            <w:pPr>
              <w:pStyle w:val="19"/>
            </w:pPr>
            <w:r>
              <w:t>公共服务水平提升情况</w:t>
            </w:r>
          </w:p>
        </w:tc>
        <w:tc>
          <w:tcPr>
            <w:tcW w:w="2654" w:type="dxa"/>
            <w:vAlign w:val="center"/>
          </w:tcPr>
          <w:p>
            <w:pPr>
              <w:pStyle w:val="19"/>
            </w:pPr>
            <w:r>
              <w:t>保障相关业务、工作等开展情况</w:t>
            </w:r>
          </w:p>
        </w:tc>
        <w:tc>
          <w:tcPr>
            <w:tcW w:w="1327" w:type="dxa"/>
            <w:vAlign w:val="center"/>
          </w:tcPr>
          <w:p>
            <w:pPr>
              <w:pStyle w:val="19"/>
            </w:pPr>
            <w:r>
              <w:t>≥90百分比</w:t>
            </w:r>
          </w:p>
        </w:tc>
        <w:tc>
          <w:tcPr>
            <w:tcW w:w="1327" w:type="dxa"/>
            <w:vAlign w:val="center"/>
          </w:tcPr>
          <w:p>
            <w:pPr>
              <w:pStyle w:val="19"/>
            </w:pPr>
            <w:r>
              <w:t>保障相关业务、工作等开展情况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保障我县工资管理系统运转</w:t>
            </w:r>
          </w:p>
        </w:tc>
        <w:tc>
          <w:tcPr>
            <w:tcW w:w="2654" w:type="dxa"/>
            <w:vAlign w:val="center"/>
          </w:tcPr>
          <w:p>
            <w:pPr>
              <w:pStyle w:val="19"/>
            </w:pPr>
            <w:r>
              <w:t>保障我县工资管理系统运转</w:t>
            </w:r>
          </w:p>
        </w:tc>
        <w:tc>
          <w:tcPr>
            <w:tcW w:w="1327" w:type="dxa"/>
            <w:vAlign w:val="center"/>
          </w:tcPr>
          <w:p>
            <w:pPr>
              <w:pStyle w:val="19"/>
            </w:pPr>
            <w:r>
              <w:t>≥90百分比</w:t>
            </w:r>
          </w:p>
        </w:tc>
        <w:tc>
          <w:tcPr>
            <w:tcW w:w="1327" w:type="dxa"/>
            <w:vAlign w:val="center"/>
          </w:tcPr>
          <w:p>
            <w:pPr>
              <w:pStyle w:val="19"/>
            </w:pPr>
            <w:r>
              <w:t>保障我县工资管理系统运转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生态效益指标</w:t>
            </w:r>
          </w:p>
        </w:tc>
        <w:tc>
          <w:tcPr>
            <w:tcW w:w="2654" w:type="dxa"/>
            <w:vAlign w:val="center"/>
          </w:tcPr>
          <w:p>
            <w:pPr>
              <w:pStyle w:val="19"/>
            </w:pPr>
            <w:r>
              <w:t>生态效益指标</w:t>
            </w:r>
          </w:p>
        </w:tc>
        <w:tc>
          <w:tcPr>
            <w:tcW w:w="1327" w:type="dxa"/>
            <w:vAlign w:val="center"/>
          </w:tcPr>
          <w:p>
            <w:pPr>
              <w:pStyle w:val="19"/>
            </w:pPr>
            <w:r>
              <w:t>≥90百分比</w:t>
            </w:r>
          </w:p>
        </w:tc>
        <w:tc>
          <w:tcPr>
            <w:tcW w:w="1327" w:type="dxa"/>
            <w:vAlign w:val="center"/>
          </w:tcPr>
          <w:p>
            <w:pPr>
              <w:pStyle w:val="19"/>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服务对象满意度</w:t>
            </w:r>
          </w:p>
        </w:tc>
        <w:tc>
          <w:tcPr>
            <w:tcW w:w="2654" w:type="dxa"/>
            <w:vAlign w:val="center"/>
          </w:tcPr>
          <w:p>
            <w:pPr>
              <w:pStyle w:val="19"/>
            </w:pPr>
            <w:r>
              <w:t>全县干部的满意程度</w:t>
            </w:r>
          </w:p>
        </w:tc>
        <w:tc>
          <w:tcPr>
            <w:tcW w:w="1327" w:type="dxa"/>
            <w:vAlign w:val="center"/>
          </w:tcPr>
          <w:p>
            <w:pPr>
              <w:pStyle w:val="19"/>
            </w:pPr>
            <w:r>
              <w:t>≥90百分比</w:t>
            </w:r>
          </w:p>
        </w:tc>
        <w:tc>
          <w:tcPr>
            <w:tcW w:w="1327" w:type="dxa"/>
            <w:vAlign w:val="center"/>
          </w:tcPr>
          <w:p>
            <w:pPr>
              <w:pStyle w:val="19"/>
            </w:pPr>
            <w:r>
              <w:t>全县干部的满意程度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bookmarkStart w:id="26" w:name="_Toc_4_4_0000000027"/>
      <w:r>
        <w:rPr>
          <w:rFonts w:ascii="方正仿宋_GBK" w:hAnsi="方正仿宋_GBK" w:eastAsia="方正仿宋_GBK" w:cs="方正仿宋_GBK"/>
          <w:color w:val="000000"/>
          <w:sz w:val="28"/>
        </w:rPr>
        <w:t>24.关于提前下派选调生到村工作中央财政补助资金的通知绩效目标表</w:t>
      </w:r>
      <w:bookmarkEnd w:id="26"/>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w:t>
            </w:r>
            <w:r>
              <w:rPr>
                <w:rFonts w:hint="eastAsia"/>
                <w:lang w:val="en-US" w:eastAsia="zh-CN"/>
              </w:rPr>
              <w:t xml:space="preserve"> </w:t>
            </w:r>
            <w:r>
              <w:t>中国共产党宁晋县委员会组织部</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绩效目标</w:t>
            </w:r>
          </w:p>
        </w:tc>
        <w:tc>
          <w:tcPr>
            <w:tcW w:w="7962" w:type="dxa"/>
            <w:gridSpan w:val="2"/>
            <w:vAlign w:val="center"/>
          </w:tcPr>
          <w:p>
            <w:pPr>
              <w:pStyle w:val="19"/>
            </w:pPr>
            <w:r>
              <w:t>1.解决到村任职选调生的后顾之忧， 帮助他们尽快适应基层工作</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保障选调生人数</w:t>
            </w:r>
          </w:p>
        </w:tc>
        <w:tc>
          <w:tcPr>
            <w:tcW w:w="2654" w:type="dxa"/>
            <w:vAlign w:val="center"/>
          </w:tcPr>
          <w:p>
            <w:pPr>
              <w:pStyle w:val="19"/>
            </w:pPr>
            <w:r>
              <w:t>保障选调生人数</w:t>
            </w:r>
          </w:p>
        </w:tc>
        <w:tc>
          <w:tcPr>
            <w:tcW w:w="1327" w:type="dxa"/>
            <w:vAlign w:val="center"/>
          </w:tcPr>
          <w:p>
            <w:pPr>
              <w:pStyle w:val="19"/>
            </w:pPr>
            <w:r>
              <w:t>≥11人</w:t>
            </w:r>
          </w:p>
        </w:tc>
        <w:tc>
          <w:tcPr>
            <w:tcW w:w="1327" w:type="dxa"/>
            <w:vAlign w:val="center"/>
          </w:tcPr>
          <w:p>
            <w:pPr>
              <w:pStyle w:val="19"/>
            </w:pPr>
            <w:r>
              <w:t>保障选调生人数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专款专用率</w:t>
            </w:r>
          </w:p>
        </w:tc>
        <w:tc>
          <w:tcPr>
            <w:tcW w:w="2654" w:type="dxa"/>
            <w:vAlign w:val="center"/>
          </w:tcPr>
          <w:p>
            <w:pPr>
              <w:pStyle w:val="19"/>
            </w:pPr>
            <w:r>
              <w:t>下派选调生到村工作中央财政补助资金拨款专款专用情况</w:t>
            </w:r>
          </w:p>
        </w:tc>
        <w:tc>
          <w:tcPr>
            <w:tcW w:w="1327" w:type="dxa"/>
            <w:vAlign w:val="center"/>
          </w:tcPr>
          <w:p>
            <w:pPr>
              <w:pStyle w:val="19"/>
            </w:pPr>
            <w:r>
              <w:t>≥100百分比</w:t>
            </w:r>
          </w:p>
        </w:tc>
        <w:tc>
          <w:tcPr>
            <w:tcW w:w="1327" w:type="dxa"/>
            <w:vAlign w:val="center"/>
          </w:tcPr>
          <w:p>
            <w:pPr>
              <w:pStyle w:val="19"/>
            </w:pPr>
            <w:r>
              <w:t>下派选调生到村工作中央财政补助资金拨款专款专用情况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完成率</w:t>
            </w:r>
          </w:p>
        </w:tc>
        <w:tc>
          <w:tcPr>
            <w:tcW w:w="2654" w:type="dxa"/>
            <w:vAlign w:val="center"/>
          </w:tcPr>
          <w:p>
            <w:pPr>
              <w:pStyle w:val="19"/>
            </w:pPr>
            <w:r>
              <w:t>形成一批优秀调研成果比例</w:t>
            </w:r>
          </w:p>
        </w:tc>
        <w:tc>
          <w:tcPr>
            <w:tcW w:w="1327" w:type="dxa"/>
            <w:vAlign w:val="center"/>
          </w:tcPr>
          <w:p>
            <w:pPr>
              <w:pStyle w:val="19"/>
            </w:pPr>
            <w:r>
              <w:t>≥95百分比</w:t>
            </w:r>
          </w:p>
        </w:tc>
        <w:tc>
          <w:tcPr>
            <w:tcW w:w="1327" w:type="dxa"/>
            <w:vAlign w:val="center"/>
          </w:tcPr>
          <w:p>
            <w:pPr>
              <w:pStyle w:val="19"/>
            </w:pPr>
            <w:r>
              <w:t>形成一批优秀调研成果比例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总成本</w:t>
            </w:r>
          </w:p>
        </w:tc>
        <w:tc>
          <w:tcPr>
            <w:tcW w:w="2654" w:type="dxa"/>
            <w:vAlign w:val="center"/>
          </w:tcPr>
          <w:p>
            <w:pPr>
              <w:pStyle w:val="19"/>
            </w:pPr>
            <w:r>
              <w:t>项目完成不超总成本</w:t>
            </w:r>
          </w:p>
        </w:tc>
        <w:tc>
          <w:tcPr>
            <w:tcW w:w="1327" w:type="dxa"/>
            <w:vAlign w:val="center"/>
          </w:tcPr>
          <w:p>
            <w:pPr>
              <w:pStyle w:val="19"/>
            </w:pPr>
            <w:r>
              <w:t>≥95百分比</w:t>
            </w:r>
          </w:p>
        </w:tc>
        <w:tc>
          <w:tcPr>
            <w:tcW w:w="1327" w:type="dxa"/>
            <w:vAlign w:val="center"/>
          </w:tcPr>
          <w:p>
            <w:pPr>
              <w:pStyle w:val="19"/>
            </w:pPr>
            <w:r>
              <w:t>项目完成总成本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经济效益指标</w:t>
            </w:r>
          </w:p>
        </w:tc>
        <w:tc>
          <w:tcPr>
            <w:tcW w:w="1327" w:type="dxa"/>
            <w:vAlign w:val="center"/>
          </w:tcPr>
          <w:p>
            <w:pPr>
              <w:pStyle w:val="19"/>
            </w:pPr>
            <w:r>
              <w:t>经济效益指标</w:t>
            </w:r>
          </w:p>
        </w:tc>
        <w:tc>
          <w:tcPr>
            <w:tcW w:w="2654" w:type="dxa"/>
            <w:vAlign w:val="center"/>
          </w:tcPr>
          <w:p>
            <w:pPr>
              <w:pStyle w:val="19"/>
            </w:pPr>
            <w:r>
              <w:t>经济效益指标</w:t>
            </w:r>
          </w:p>
        </w:tc>
        <w:tc>
          <w:tcPr>
            <w:tcW w:w="1327" w:type="dxa"/>
            <w:vAlign w:val="center"/>
          </w:tcPr>
          <w:p>
            <w:pPr>
              <w:pStyle w:val="19"/>
            </w:pPr>
            <w:r>
              <w:t>≥95百分比</w:t>
            </w:r>
          </w:p>
        </w:tc>
        <w:tc>
          <w:tcPr>
            <w:tcW w:w="1327" w:type="dxa"/>
            <w:vAlign w:val="center"/>
          </w:tcPr>
          <w:p>
            <w:pPr>
              <w:pStyle w:val="19"/>
            </w:pPr>
            <w:r>
              <w:t>经济效益指标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社会效益指标</w:t>
            </w:r>
          </w:p>
        </w:tc>
        <w:tc>
          <w:tcPr>
            <w:tcW w:w="2654" w:type="dxa"/>
            <w:vAlign w:val="center"/>
          </w:tcPr>
          <w:p>
            <w:pPr>
              <w:pStyle w:val="19"/>
            </w:pPr>
            <w:r>
              <w:t>社会效益指标</w:t>
            </w:r>
          </w:p>
        </w:tc>
        <w:tc>
          <w:tcPr>
            <w:tcW w:w="1327" w:type="dxa"/>
            <w:vAlign w:val="center"/>
          </w:tcPr>
          <w:p>
            <w:pPr>
              <w:pStyle w:val="19"/>
            </w:pPr>
            <w:r>
              <w:t>≥95百分比</w:t>
            </w:r>
          </w:p>
        </w:tc>
        <w:tc>
          <w:tcPr>
            <w:tcW w:w="1327" w:type="dxa"/>
            <w:vAlign w:val="center"/>
          </w:tcPr>
          <w:p>
            <w:pPr>
              <w:pStyle w:val="19"/>
            </w:pPr>
            <w:r>
              <w:t>社会效益指标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生态效益指标</w:t>
            </w:r>
          </w:p>
        </w:tc>
        <w:tc>
          <w:tcPr>
            <w:tcW w:w="2654" w:type="dxa"/>
            <w:vAlign w:val="center"/>
          </w:tcPr>
          <w:p>
            <w:pPr>
              <w:pStyle w:val="19"/>
            </w:pPr>
            <w:r>
              <w:t>生态效益指标</w:t>
            </w:r>
          </w:p>
        </w:tc>
        <w:tc>
          <w:tcPr>
            <w:tcW w:w="1327" w:type="dxa"/>
            <w:vAlign w:val="center"/>
          </w:tcPr>
          <w:p>
            <w:pPr>
              <w:pStyle w:val="19"/>
            </w:pPr>
            <w:r>
              <w:t>≥95百分比</w:t>
            </w:r>
          </w:p>
        </w:tc>
        <w:tc>
          <w:tcPr>
            <w:tcW w:w="1327" w:type="dxa"/>
            <w:vAlign w:val="center"/>
          </w:tcPr>
          <w:p>
            <w:pPr>
              <w:pStyle w:val="19"/>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可持续影响指标</w:t>
            </w:r>
          </w:p>
        </w:tc>
        <w:tc>
          <w:tcPr>
            <w:tcW w:w="1327" w:type="dxa"/>
            <w:vAlign w:val="center"/>
          </w:tcPr>
          <w:p>
            <w:pPr>
              <w:pStyle w:val="19"/>
            </w:pPr>
            <w:r>
              <w:t>可持续性</w:t>
            </w:r>
          </w:p>
        </w:tc>
        <w:tc>
          <w:tcPr>
            <w:tcW w:w="2654" w:type="dxa"/>
            <w:vAlign w:val="center"/>
          </w:tcPr>
          <w:p>
            <w:pPr>
              <w:pStyle w:val="19"/>
            </w:pPr>
            <w:r>
              <w:t>可持续性</w:t>
            </w:r>
          </w:p>
        </w:tc>
        <w:tc>
          <w:tcPr>
            <w:tcW w:w="1327" w:type="dxa"/>
            <w:vAlign w:val="center"/>
          </w:tcPr>
          <w:p>
            <w:pPr>
              <w:pStyle w:val="19"/>
            </w:pPr>
            <w:r>
              <w:t>≥95百分比</w:t>
            </w:r>
          </w:p>
        </w:tc>
        <w:tc>
          <w:tcPr>
            <w:tcW w:w="1327" w:type="dxa"/>
            <w:vAlign w:val="center"/>
          </w:tcPr>
          <w:p>
            <w:pPr>
              <w:pStyle w:val="19"/>
            </w:pPr>
            <w:r>
              <w:t>可持续性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对政策落实情况满意的到村任职选调生占应保人数之比</w:t>
            </w:r>
          </w:p>
        </w:tc>
        <w:tc>
          <w:tcPr>
            <w:tcW w:w="2654" w:type="dxa"/>
            <w:vAlign w:val="center"/>
          </w:tcPr>
          <w:p>
            <w:pPr>
              <w:pStyle w:val="19"/>
            </w:pPr>
            <w:r>
              <w:t>对政策落实情况满意的到村任职选调生占应保人数之比</w:t>
            </w:r>
          </w:p>
        </w:tc>
        <w:tc>
          <w:tcPr>
            <w:tcW w:w="1327" w:type="dxa"/>
            <w:vAlign w:val="center"/>
          </w:tcPr>
          <w:p>
            <w:pPr>
              <w:pStyle w:val="19"/>
            </w:pPr>
            <w:r>
              <w:t>≥95百分比</w:t>
            </w:r>
          </w:p>
        </w:tc>
        <w:tc>
          <w:tcPr>
            <w:tcW w:w="1327" w:type="dxa"/>
            <w:vAlign w:val="center"/>
          </w:tcPr>
          <w:p>
            <w:pPr>
              <w:pStyle w:val="19"/>
            </w:pPr>
            <w:r>
              <w:t>对政策落实情况满意的到村任职选调生占应保人数之比</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bookmarkStart w:id="27" w:name="_Toc_4_4_0000000028"/>
      <w:r>
        <w:rPr>
          <w:rFonts w:ascii="方正仿宋_GBK" w:hAnsi="方正仿宋_GBK" w:eastAsia="方正仿宋_GBK" w:cs="方正仿宋_GBK"/>
          <w:color w:val="000000"/>
          <w:sz w:val="28"/>
        </w:rPr>
        <w:t>25.基层党建专项经费绩效目标表</w:t>
      </w:r>
      <w:bookmarkEnd w:id="27"/>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w:t>
            </w:r>
            <w:r>
              <w:rPr>
                <w:rFonts w:hint="eastAsia"/>
                <w:lang w:val="en-US" w:eastAsia="zh-CN"/>
              </w:rPr>
              <w:t xml:space="preserve"> </w:t>
            </w:r>
            <w:r>
              <w:t>中国共产党宁晋县委员会组织部</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绩效目标</w:t>
            </w:r>
          </w:p>
        </w:tc>
        <w:tc>
          <w:tcPr>
            <w:tcW w:w="7962" w:type="dxa"/>
            <w:gridSpan w:val="2"/>
            <w:vAlign w:val="center"/>
          </w:tcPr>
          <w:p>
            <w:pPr>
              <w:pStyle w:val="19"/>
            </w:pPr>
            <w:r>
              <w:t>1.保障组织工作顺利进行</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完成任务数量百分比</w:t>
            </w:r>
          </w:p>
        </w:tc>
        <w:tc>
          <w:tcPr>
            <w:tcW w:w="2654" w:type="dxa"/>
            <w:vAlign w:val="center"/>
          </w:tcPr>
          <w:p>
            <w:pPr>
              <w:pStyle w:val="19"/>
            </w:pPr>
            <w:r>
              <w:t>完成任务数量百分比</w:t>
            </w:r>
          </w:p>
        </w:tc>
        <w:tc>
          <w:tcPr>
            <w:tcW w:w="1327" w:type="dxa"/>
            <w:vAlign w:val="center"/>
          </w:tcPr>
          <w:p>
            <w:pPr>
              <w:pStyle w:val="19"/>
            </w:pPr>
            <w:r>
              <w:t>≥95百分比</w:t>
            </w:r>
          </w:p>
        </w:tc>
        <w:tc>
          <w:tcPr>
            <w:tcW w:w="1327" w:type="dxa"/>
            <w:vAlign w:val="center"/>
          </w:tcPr>
          <w:p>
            <w:pPr>
              <w:pStyle w:val="19"/>
            </w:pPr>
            <w:r>
              <w:t>完成任务数量百分比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按要求完成各项任务</w:t>
            </w:r>
          </w:p>
        </w:tc>
        <w:tc>
          <w:tcPr>
            <w:tcW w:w="2654" w:type="dxa"/>
            <w:vAlign w:val="center"/>
          </w:tcPr>
          <w:p>
            <w:pPr>
              <w:pStyle w:val="19"/>
            </w:pPr>
            <w:r>
              <w:t>按要求完成各项任务</w:t>
            </w:r>
          </w:p>
        </w:tc>
        <w:tc>
          <w:tcPr>
            <w:tcW w:w="1327" w:type="dxa"/>
            <w:vAlign w:val="center"/>
          </w:tcPr>
          <w:p>
            <w:pPr>
              <w:pStyle w:val="19"/>
            </w:pPr>
            <w:r>
              <w:t>≥95百分比</w:t>
            </w:r>
          </w:p>
        </w:tc>
        <w:tc>
          <w:tcPr>
            <w:tcW w:w="1327" w:type="dxa"/>
            <w:vAlign w:val="center"/>
          </w:tcPr>
          <w:p>
            <w:pPr>
              <w:pStyle w:val="19"/>
            </w:pPr>
            <w:r>
              <w:t>按要求完成各项任务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完成率</w:t>
            </w:r>
          </w:p>
        </w:tc>
        <w:tc>
          <w:tcPr>
            <w:tcW w:w="2654" w:type="dxa"/>
            <w:vAlign w:val="center"/>
          </w:tcPr>
          <w:p>
            <w:pPr>
              <w:pStyle w:val="19"/>
            </w:pPr>
            <w:r>
              <w:t>按照要求和计划完成任务的比例（百分比）</w:t>
            </w:r>
          </w:p>
        </w:tc>
        <w:tc>
          <w:tcPr>
            <w:tcW w:w="1327" w:type="dxa"/>
            <w:vAlign w:val="center"/>
          </w:tcPr>
          <w:p>
            <w:pPr>
              <w:pStyle w:val="19"/>
            </w:pPr>
            <w:r>
              <w:t>≥95百分比</w:t>
            </w:r>
          </w:p>
        </w:tc>
        <w:tc>
          <w:tcPr>
            <w:tcW w:w="1327" w:type="dxa"/>
            <w:vAlign w:val="center"/>
          </w:tcPr>
          <w:p>
            <w:pPr>
              <w:pStyle w:val="19"/>
            </w:pPr>
            <w:r>
              <w:t>按照要求和计划完成任务的比例（百分比）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资金成本</w:t>
            </w:r>
          </w:p>
        </w:tc>
        <w:tc>
          <w:tcPr>
            <w:tcW w:w="2654" w:type="dxa"/>
            <w:vAlign w:val="center"/>
          </w:tcPr>
          <w:p>
            <w:pPr>
              <w:pStyle w:val="19"/>
            </w:pPr>
            <w:r>
              <w:t>资金成本</w:t>
            </w:r>
          </w:p>
        </w:tc>
        <w:tc>
          <w:tcPr>
            <w:tcW w:w="1327" w:type="dxa"/>
            <w:vAlign w:val="center"/>
          </w:tcPr>
          <w:p>
            <w:pPr>
              <w:pStyle w:val="19"/>
            </w:pPr>
            <w:r>
              <w:t>≥100百分比</w:t>
            </w:r>
          </w:p>
        </w:tc>
        <w:tc>
          <w:tcPr>
            <w:tcW w:w="1327" w:type="dxa"/>
            <w:vAlign w:val="center"/>
          </w:tcPr>
          <w:p>
            <w:pPr>
              <w:pStyle w:val="19"/>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可持续影响指标</w:t>
            </w:r>
          </w:p>
        </w:tc>
        <w:tc>
          <w:tcPr>
            <w:tcW w:w="1327" w:type="dxa"/>
            <w:vAlign w:val="center"/>
          </w:tcPr>
          <w:p>
            <w:pPr>
              <w:pStyle w:val="19"/>
            </w:pPr>
            <w:r>
              <w:t>工作水平</w:t>
            </w:r>
          </w:p>
        </w:tc>
        <w:tc>
          <w:tcPr>
            <w:tcW w:w="2654" w:type="dxa"/>
            <w:vAlign w:val="center"/>
          </w:tcPr>
          <w:p>
            <w:pPr>
              <w:pStyle w:val="19"/>
            </w:pPr>
            <w:r>
              <w:t>提高我部工作水平</w:t>
            </w:r>
          </w:p>
        </w:tc>
        <w:tc>
          <w:tcPr>
            <w:tcW w:w="1327" w:type="dxa"/>
            <w:vAlign w:val="center"/>
          </w:tcPr>
          <w:p>
            <w:pPr>
              <w:pStyle w:val="19"/>
            </w:pPr>
            <w:r>
              <w:t>≥95百分比</w:t>
            </w:r>
          </w:p>
        </w:tc>
        <w:tc>
          <w:tcPr>
            <w:tcW w:w="1327" w:type="dxa"/>
            <w:vAlign w:val="center"/>
          </w:tcPr>
          <w:p>
            <w:pPr>
              <w:pStyle w:val="19"/>
            </w:pPr>
            <w:r>
              <w:t>提高我部工作水平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经济效益指标</w:t>
            </w:r>
          </w:p>
        </w:tc>
        <w:tc>
          <w:tcPr>
            <w:tcW w:w="1327" w:type="dxa"/>
            <w:vAlign w:val="center"/>
          </w:tcPr>
          <w:p>
            <w:pPr>
              <w:pStyle w:val="19"/>
            </w:pPr>
            <w:r>
              <w:t>综合利用率</w:t>
            </w:r>
          </w:p>
        </w:tc>
        <w:tc>
          <w:tcPr>
            <w:tcW w:w="2654" w:type="dxa"/>
            <w:vAlign w:val="center"/>
          </w:tcPr>
          <w:p>
            <w:pPr>
              <w:pStyle w:val="19"/>
            </w:pPr>
            <w:r>
              <w:t>经费使用率</w:t>
            </w:r>
          </w:p>
        </w:tc>
        <w:tc>
          <w:tcPr>
            <w:tcW w:w="1327" w:type="dxa"/>
            <w:vAlign w:val="center"/>
          </w:tcPr>
          <w:p>
            <w:pPr>
              <w:pStyle w:val="19"/>
            </w:pPr>
            <w:r>
              <w:t>≥95百分比</w:t>
            </w:r>
          </w:p>
        </w:tc>
        <w:tc>
          <w:tcPr>
            <w:tcW w:w="1327" w:type="dxa"/>
            <w:vAlign w:val="center"/>
          </w:tcPr>
          <w:p>
            <w:pPr>
              <w:pStyle w:val="19"/>
            </w:pPr>
            <w:r>
              <w:t>经费使用率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提升基层党建治理</w:t>
            </w:r>
          </w:p>
        </w:tc>
        <w:tc>
          <w:tcPr>
            <w:tcW w:w="2654" w:type="dxa"/>
            <w:vAlign w:val="center"/>
          </w:tcPr>
          <w:p>
            <w:pPr>
              <w:pStyle w:val="19"/>
            </w:pPr>
            <w:r>
              <w:t>坚持和加强党的全面领导落实到基层</w:t>
            </w:r>
          </w:p>
        </w:tc>
        <w:tc>
          <w:tcPr>
            <w:tcW w:w="1327" w:type="dxa"/>
            <w:vAlign w:val="center"/>
          </w:tcPr>
          <w:p>
            <w:pPr>
              <w:pStyle w:val="19"/>
            </w:pPr>
            <w:r>
              <w:t>≥95百分比</w:t>
            </w:r>
          </w:p>
        </w:tc>
        <w:tc>
          <w:tcPr>
            <w:tcW w:w="1327" w:type="dxa"/>
            <w:vAlign w:val="center"/>
          </w:tcPr>
          <w:p>
            <w:pPr>
              <w:pStyle w:val="19"/>
            </w:pPr>
            <w:r>
              <w:t>坚持和加强党的全面领导落实到基层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生态效益指标</w:t>
            </w:r>
          </w:p>
        </w:tc>
        <w:tc>
          <w:tcPr>
            <w:tcW w:w="2654" w:type="dxa"/>
            <w:vAlign w:val="center"/>
          </w:tcPr>
          <w:p>
            <w:pPr>
              <w:pStyle w:val="19"/>
            </w:pPr>
            <w:r>
              <w:t>生态效益指标</w:t>
            </w:r>
          </w:p>
        </w:tc>
        <w:tc>
          <w:tcPr>
            <w:tcW w:w="1327" w:type="dxa"/>
            <w:vAlign w:val="center"/>
          </w:tcPr>
          <w:p>
            <w:pPr>
              <w:pStyle w:val="19"/>
            </w:pPr>
            <w:r>
              <w:t>≥95百分比</w:t>
            </w:r>
          </w:p>
        </w:tc>
        <w:tc>
          <w:tcPr>
            <w:tcW w:w="1327" w:type="dxa"/>
            <w:vAlign w:val="center"/>
          </w:tcPr>
          <w:p>
            <w:pPr>
              <w:pStyle w:val="19"/>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服务对象满意度</w:t>
            </w:r>
          </w:p>
        </w:tc>
        <w:tc>
          <w:tcPr>
            <w:tcW w:w="2654" w:type="dxa"/>
            <w:vAlign w:val="center"/>
          </w:tcPr>
          <w:p>
            <w:pPr>
              <w:pStyle w:val="19"/>
            </w:pPr>
            <w:r>
              <w:t>接受服务的重点人群对所提供服务的满意程度</w:t>
            </w:r>
          </w:p>
        </w:tc>
        <w:tc>
          <w:tcPr>
            <w:tcW w:w="1327" w:type="dxa"/>
            <w:vAlign w:val="center"/>
          </w:tcPr>
          <w:p>
            <w:pPr>
              <w:pStyle w:val="19"/>
            </w:pPr>
            <w:r>
              <w:t>≥95百分比</w:t>
            </w:r>
          </w:p>
        </w:tc>
        <w:tc>
          <w:tcPr>
            <w:tcW w:w="1327" w:type="dxa"/>
            <w:vAlign w:val="center"/>
          </w:tcPr>
          <w:p>
            <w:pPr>
              <w:pStyle w:val="19"/>
            </w:pPr>
            <w:r>
              <w:t>接受服务的重点人群对所提供服务的满意程度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bookmarkStart w:id="28" w:name="_Toc_4_4_0000000029"/>
      <w:r>
        <w:rPr>
          <w:rFonts w:ascii="方正仿宋_GBK" w:hAnsi="方正仿宋_GBK" w:eastAsia="方正仿宋_GBK" w:cs="方正仿宋_GBK"/>
          <w:color w:val="000000"/>
          <w:sz w:val="28"/>
        </w:rPr>
        <w:t>26.基层组织建设经费绩效目标表</w:t>
      </w:r>
      <w:bookmarkEnd w:id="28"/>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w:t>
            </w:r>
            <w:r>
              <w:rPr>
                <w:rFonts w:hint="eastAsia"/>
                <w:lang w:val="en-US" w:eastAsia="zh-CN"/>
              </w:rPr>
              <w:t xml:space="preserve"> </w:t>
            </w:r>
            <w:r>
              <w:t>中国共产党宁晋县委员会组织部</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绩效目标</w:t>
            </w:r>
          </w:p>
        </w:tc>
        <w:tc>
          <w:tcPr>
            <w:tcW w:w="7962" w:type="dxa"/>
            <w:gridSpan w:val="2"/>
            <w:vAlign w:val="center"/>
          </w:tcPr>
          <w:p>
            <w:pPr>
              <w:pStyle w:val="19"/>
            </w:pPr>
            <w:r>
              <w:t>1.保障基层党建工作顺利进行</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任务完成率</w:t>
            </w:r>
          </w:p>
        </w:tc>
        <w:tc>
          <w:tcPr>
            <w:tcW w:w="2654" w:type="dxa"/>
            <w:vAlign w:val="center"/>
          </w:tcPr>
          <w:p>
            <w:pPr>
              <w:pStyle w:val="19"/>
            </w:pPr>
            <w:r>
              <w:t>完成任务数量占总任务数量的比率</w:t>
            </w:r>
          </w:p>
        </w:tc>
        <w:tc>
          <w:tcPr>
            <w:tcW w:w="1327" w:type="dxa"/>
            <w:vAlign w:val="center"/>
          </w:tcPr>
          <w:p>
            <w:pPr>
              <w:pStyle w:val="19"/>
            </w:pPr>
            <w:r>
              <w:t>≥90百分比</w:t>
            </w:r>
          </w:p>
        </w:tc>
        <w:tc>
          <w:tcPr>
            <w:tcW w:w="1327" w:type="dxa"/>
            <w:vAlign w:val="center"/>
          </w:tcPr>
          <w:p>
            <w:pPr>
              <w:pStyle w:val="19"/>
            </w:pPr>
            <w:r>
              <w:t>完成任务数量占总任务数量的比率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专款专用率</w:t>
            </w:r>
          </w:p>
        </w:tc>
        <w:tc>
          <w:tcPr>
            <w:tcW w:w="2654" w:type="dxa"/>
            <w:vAlign w:val="center"/>
          </w:tcPr>
          <w:p>
            <w:pPr>
              <w:pStyle w:val="19"/>
            </w:pPr>
            <w:r>
              <w:t>基层组织建设经费专款专用情况</w:t>
            </w:r>
          </w:p>
        </w:tc>
        <w:tc>
          <w:tcPr>
            <w:tcW w:w="1327" w:type="dxa"/>
            <w:vAlign w:val="center"/>
          </w:tcPr>
          <w:p>
            <w:pPr>
              <w:pStyle w:val="19"/>
            </w:pPr>
            <w:r>
              <w:t>≥90百分比</w:t>
            </w:r>
          </w:p>
        </w:tc>
        <w:tc>
          <w:tcPr>
            <w:tcW w:w="1327" w:type="dxa"/>
            <w:vAlign w:val="center"/>
          </w:tcPr>
          <w:p>
            <w:pPr>
              <w:pStyle w:val="19"/>
            </w:pPr>
            <w:r>
              <w:t>基层组织建设经费专款专用情况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资金支出情况</w:t>
            </w:r>
          </w:p>
        </w:tc>
        <w:tc>
          <w:tcPr>
            <w:tcW w:w="2654" w:type="dxa"/>
            <w:vAlign w:val="center"/>
          </w:tcPr>
          <w:p>
            <w:pPr>
              <w:pStyle w:val="19"/>
            </w:pPr>
            <w:r>
              <w:t>按进度支出</w:t>
            </w:r>
          </w:p>
        </w:tc>
        <w:tc>
          <w:tcPr>
            <w:tcW w:w="1327" w:type="dxa"/>
            <w:vAlign w:val="center"/>
          </w:tcPr>
          <w:p>
            <w:pPr>
              <w:pStyle w:val="19"/>
            </w:pPr>
            <w:r>
              <w:t>≥90百分比</w:t>
            </w:r>
          </w:p>
        </w:tc>
        <w:tc>
          <w:tcPr>
            <w:tcW w:w="1327" w:type="dxa"/>
            <w:vAlign w:val="center"/>
          </w:tcPr>
          <w:p>
            <w:pPr>
              <w:pStyle w:val="19"/>
            </w:pPr>
            <w:r>
              <w:t>按进度支出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预算执行</w:t>
            </w:r>
          </w:p>
        </w:tc>
        <w:tc>
          <w:tcPr>
            <w:tcW w:w="2654" w:type="dxa"/>
            <w:vAlign w:val="center"/>
          </w:tcPr>
          <w:p>
            <w:pPr>
              <w:pStyle w:val="19"/>
            </w:pPr>
            <w:r>
              <w:t>完成年度预算资金安排</w:t>
            </w:r>
          </w:p>
        </w:tc>
        <w:tc>
          <w:tcPr>
            <w:tcW w:w="1327" w:type="dxa"/>
            <w:vAlign w:val="center"/>
          </w:tcPr>
          <w:p>
            <w:pPr>
              <w:pStyle w:val="19"/>
            </w:pPr>
            <w:r>
              <w:t>≥100百分比</w:t>
            </w:r>
          </w:p>
        </w:tc>
        <w:tc>
          <w:tcPr>
            <w:tcW w:w="1327" w:type="dxa"/>
            <w:vAlign w:val="center"/>
          </w:tcPr>
          <w:p>
            <w:pPr>
              <w:pStyle w:val="19"/>
            </w:pPr>
            <w:r>
              <w:t>完成年度预算资金安排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可持续影响指标</w:t>
            </w:r>
          </w:p>
        </w:tc>
        <w:tc>
          <w:tcPr>
            <w:tcW w:w="1327" w:type="dxa"/>
            <w:vAlign w:val="center"/>
          </w:tcPr>
          <w:p>
            <w:pPr>
              <w:pStyle w:val="19"/>
            </w:pPr>
            <w:r>
              <w:t>工作水平</w:t>
            </w:r>
          </w:p>
        </w:tc>
        <w:tc>
          <w:tcPr>
            <w:tcW w:w="2654" w:type="dxa"/>
            <w:vAlign w:val="center"/>
          </w:tcPr>
          <w:p>
            <w:pPr>
              <w:pStyle w:val="19"/>
            </w:pPr>
            <w:r>
              <w:t>提升基层党组织工作水平</w:t>
            </w:r>
          </w:p>
        </w:tc>
        <w:tc>
          <w:tcPr>
            <w:tcW w:w="1327" w:type="dxa"/>
            <w:vAlign w:val="center"/>
          </w:tcPr>
          <w:p>
            <w:pPr>
              <w:pStyle w:val="19"/>
            </w:pPr>
            <w:r>
              <w:t>≥90百分比</w:t>
            </w:r>
          </w:p>
        </w:tc>
        <w:tc>
          <w:tcPr>
            <w:tcW w:w="1327" w:type="dxa"/>
            <w:vAlign w:val="center"/>
          </w:tcPr>
          <w:p>
            <w:pPr>
              <w:pStyle w:val="19"/>
            </w:pPr>
            <w:r>
              <w:t>提升基层党组织工作水平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经济效益指标</w:t>
            </w:r>
          </w:p>
        </w:tc>
        <w:tc>
          <w:tcPr>
            <w:tcW w:w="1327" w:type="dxa"/>
            <w:vAlign w:val="center"/>
          </w:tcPr>
          <w:p>
            <w:pPr>
              <w:pStyle w:val="19"/>
            </w:pPr>
            <w:r>
              <w:t>综合利用率</w:t>
            </w:r>
          </w:p>
        </w:tc>
        <w:tc>
          <w:tcPr>
            <w:tcW w:w="2654" w:type="dxa"/>
            <w:vAlign w:val="center"/>
          </w:tcPr>
          <w:p>
            <w:pPr>
              <w:pStyle w:val="19"/>
            </w:pPr>
            <w:r>
              <w:t>基层组织建设费用使用情况</w:t>
            </w:r>
          </w:p>
        </w:tc>
        <w:tc>
          <w:tcPr>
            <w:tcW w:w="1327" w:type="dxa"/>
            <w:vAlign w:val="center"/>
          </w:tcPr>
          <w:p>
            <w:pPr>
              <w:pStyle w:val="19"/>
            </w:pPr>
            <w:r>
              <w:t>≥90百分比</w:t>
            </w:r>
          </w:p>
        </w:tc>
        <w:tc>
          <w:tcPr>
            <w:tcW w:w="1327" w:type="dxa"/>
            <w:vAlign w:val="center"/>
          </w:tcPr>
          <w:p>
            <w:pPr>
              <w:pStyle w:val="19"/>
            </w:pPr>
            <w:r>
              <w:t>基层组织建设费用使用情况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保障基层党组织运转</w:t>
            </w:r>
          </w:p>
        </w:tc>
        <w:tc>
          <w:tcPr>
            <w:tcW w:w="2654" w:type="dxa"/>
            <w:vAlign w:val="center"/>
          </w:tcPr>
          <w:p>
            <w:pPr>
              <w:pStyle w:val="19"/>
            </w:pPr>
            <w:r>
              <w:t>保障基层党组织运转</w:t>
            </w:r>
          </w:p>
        </w:tc>
        <w:tc>
          <w:tcPr>
            <w:tcW w:w="1327" w:type="dxa"/>
            <w:vAlign w:val="center"/>
          </w:tcPr>
          <w:p>
            <w:pPr>
              <w:pStyle w:val="19"/>
            </w:pPr>
            <w:r>
              <w:t>≥90百分比</w:t>
            </w:r>
          </w:p>
        </w:tc>
        <w:tc>
          <w:tcPr>
            <w:tcW w:w="1327" w:type="dxa"/>
            <w:vAlign w:val="center"/>
          </w:tcPr>
          <w:p>
            <w:pPr>
              <w:pStyle w:val="19"/>
            </w:pPr>
            <w:r>
              <w:t>保障基层党组织运转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生态效益指标</w:t>
            </w:r>
          </w:p>
        </w:tc>
        <w:tc>
          <w:tcPr>
            <w:tcW w:w="2654" w:type="dxa"/>
            <w:vAlign w:val="center"/>
          </w:tcPr>
          <w:p>
            <w:pPr>
              <w:pStyle w:val="19"/>
            </w:pPr>
            <w:r>
              <w:t>生态效益指标</w:t>
            </w:r>
          </w:p>
        </w:tc>
        <w:tc>
          <w:tcPr>
            <w:tcW w:w="1327" w:type="dxa"/>
            <w:vAlign w:val="center"/>
          </w:tcPr>
          <w:p>
            <w:pPr>
              <w:pStyle w:val="19"/>
            </w:pPr>
            <w:r>
              <w:t>≥90百分比</w:t>
            </w:r>
          </w:p>
        </w:tc>
        <w:tc>
          <w:tcPr>
            <w:tcW w:w="1327" w:type="dxa"/>
            <w:vAlign w:val="center"/>
          </w:tcPr>
          <w:p>
            <w:pPr>
              <w:pStyle w:val="19"/>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服务对象满意度</w:t>
            </w:r>
          </w:p>
        </w:tc>
        <w:tc>
          <w:tcPr>
            <w:tcW w:w="2654" w:type="dxa"/>
            <w:vAlign w:val="center"/>
          </w:tcPr>
          <w:p>
            <w:pPr>
              <w:pStyle w:val="19"/>
            </w:pPr>
            <w:r>
              <w:t>服务对象满意度</w:t>
            </w:r>
          </w:p>
        </w:tc>
        <w:tc>
          <w:tcPr>
            <w:tcW w:w="1327" w:type="dxa"/>
            <w:vAlign w:val="center"/>
          </w:tcPr>
          <w:p>
            <w:pPr>
              <w:pStyle w:val="19"/>
            </w:pPr>
            <w:r>
              <w:t>≥90百分比</w:t>
            </w:r>
          </w:p>
        </w:tc>
        <w:tc>
          <w:tcPr>
            <w:tcW w:w="1327" w:type="dxa"/>
            <w:vAlign w:val="center"/>
          </w:tcPr>
          <w:p>
            <w:pPr>
              <w:pStyle w:val="19"/>
            </w:pPr>
            <w:r>
              <w:t>服务对象满意度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bookmarkStart w:id="29" w:name="_Toc_4_4_0000000030"/>
      <w:r>
        <w:rPr>
          <w:rFonts w:ascii="方正仿宋_GBK" w:hAnsi="方正仿宋_GBK" w:eastAsia="方正仿宋_GBK" w:cs="方正仿宋_GBK"/>
          <w:color w:val="000000"/>
          <w:sz w:val="28"/>
        </w:rPr>
        <w:t>27.目标责任制考核绩效目标表</w:t>
      </w:r>
      <w:bookmarkEnd w:id="29"/>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w:t>
            </w:r>
            <w:r>
              <w:rPr>
                <w:rFonts w:hint="eastAsia"/>
                <w:lang w:val="en-US" w:eastAsia="zh-CN"/>
              </w:rPr>
              <w:t xml:space="preserve"> </w:t>
            </w:r>
            <w:r>
              <w:t>中国共产党宁晋县委员会组织部</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绩效目标</w:t>
            </w:r>
          </w:p>
        </w:tc>
        <w:tc>
          <w:tcPr>
            <w:tcW w:w="7962" w:type="dxa"/>
            <w:gridSpan w:val="2"/>
            <w:vAlign w:val="center"/>
          </w:tcPr>
          <w:p>
            <w:pPr>
              <w:pStyle w:val="19"/>
            </w:pPr>
            <w:r>
              <w:t>1.细化县直单位责任分工，对全县经济社会发展目标、重点工作任务等分解到各责任单位</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细化县直单位责任目标</w:t>
            </w:r>
          </w:p>
        </w:tc>
        <w:tc>
          <w:tcPr>
            <w:tcW w:w="2654" w:type="dxa"/>
            <w:vAlign w:val="center"/>
          </w:tcPr>
          <w:p>
            <w:pPr>
              <w:pStyle w:val="19"/>
            </w:pPr>
            <w:r>
              <w:t>梳理各项重点工作任务，综合县直单位职责，采取任务下达和单位申报等方式，逐单位量化分解和编制2021年度职能业务目标。</w:t>
            </w:r>
          </w:p>
        </w:tc>
        <w:tc>
          <w:tcPr>
            <w:tcW w:w="1327" w:type="dxa"/>
            <w:vAlign w:val="center"/>
          </w:tcPr>
          <w:p>
            <w:pPr>
              <w:pStyle w:val="19"/>
            </w:pPr>
            <w:r>
              <w:t>≥95百分比</w:t>
            </w:r>
          </w:p>
        </w:tc>
        <w:tc>
          <w:tcPr>
            <w:tcW w:w="1327" w:type="dxa"/>
            <w:vAlign w:val="center"/>
          </w:tcPr>
          <w:p>
            <w:pPr>
              <w:pStyle w:val="1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精准量化任务</w:t>
            </w:r>
          </w:p>
        </w:tc>
        <w:tc>
          <w:tcPr>
            <w:tcW w:w="2654" w:type="dxa"/>
            <w:vAlign w:val="center"/>
          </w:tcPr>
          <w:p>
            <w:pPr>
              <w:pStyle w:val="19"/>
            </w:pPr>
            <w:r>
              <w:t>精准量化任务</w:t>
            </w:r>
          </w:p>
        </w:tc>
        <w:tc>
          <w:tcPr>
            <w:tcW w:w="1327" w:type="dxa"/>
            <w:vAlign w:val="center"/>
          </w:tcPr>
          <w:p>
            <w:pPr>
              <w:pStyle w:val="19"/>
            </w:pPr>
            <w:r>
              <w:t>≥95百分比</w:t>
            </w:r>
          </w:p>
        </w:tc>
        <w:tc>
          <w:tcPr>
            <w:tcW w:w="1327" w:type="dxa"/>
            <w:vAlign w:val="center"/>
          </w:tcPr>
          <w:p>
            <w:pPr>
              <w:pStyle w:val="1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按时完成任务</w:t>
            </w:r>
          </w:p>
        </w:tc>
        <w:tc>
          <w:tcPr>
            <w:tcW w:w="2654" w:type="dxa"/>
            <w:vAlign w:val="center"/>
          </w:tcPr>
          <w:p>
            <w:pPr>
              <w:pStyle w:val="19"/>
            </w:pPr>
            <w:r>
              <w:t>按时完成任务</w:t>
            </w:r>
          </w:p>
        </w:tc>
        <w:tc>
          <w:tcPr>
            <w:tcW w:w="1327" w:type="dxa"/>
            <w:vAlign w:val="center"/>
          </w:tcPr>
          <w:p>
            <w:pPr>
              <w:pStyle w:val="19"/>
            </w:pPr>
            <w:r>
              <w:t>≥95百分比</w:t>
            </w:r>
          </w:p>
        </w:tc>
        <w:tc>
          <w:tcPr>
            <w:tcW w:w="1327" w:type="dxa"/>
            <w:vAlign w:val="center"/>
          </w:tcPr>
          <w:p>
            <w:pPr>
              <w:pStyle w:val="1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预算执行</w:t>
            </w:r>
          </w:p>
        </w:tc>
        <w:tc>
          <w:tcPr>
            <w:tcW w:w="2654" w:type="dxa"/>
            <w:vAlign w:val="center"/>
          </w:tcPr>
          <w:p>
            <w:pPr>
              <w:pStyle w:val="19"/>
            </w:pPr>
            <w:r>
              <w:t>完成年度预算资金安排</w:t>
            </w:r>
          </w:p>
        </w:tc>
        <w:tc>
          <w:tcPr>
            <w:tcW w:w="1327" w:type="dxa"/>
            <w:vAlign w:val="center"/>
          </w:tcPr>
          <w:p>
            <w:pPr>
              <w:pStyle w:val="19"/>
            </w:pPr>
            <w:r>
              <w:t>≥95百分比</w:t>
            </w:r>
          </w:p>
        </w:tc>
        <w:tc>
          <w:tcPr>
            <w:tcW w:w="1327" w:type="dxa"/>
            <w:vAlign w:val="center"/>
          </w:tcPr>
          <w:p>
            <w:pPr>
              <w:pStyle w:val="1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可持续影响指标</w:t>
            </w:r>
          </w:p>
        </w:tc>
        <w:tc>
          <w:tcPr>
            <w:tcW w:w="1327" w:type="dxa"/>
            <w:vAlign w:val="center"/>
          </w:tcPr>
          <w:p>
            <w:pPr>
              <w:pStyle w:val="19"/>
            </w:pPr>
            <w:r>
              <w:t>不涉及</w:t>
            </w:r>
          </w:p>
        </w:tc>
        <w:tc>
          <w:tcPr>
            <w:tcW w:w="2654" w:type="dxa"/>
            <w:vAlign w:val="center"/>
          </w:tcPr>
          <w:p>
            <w:pPr>
              <w:pStyle w:val="19"/>
            </w:pPr>
            <w:r>
              <w:t>不涉及</w:t>
            </w:r>
          </w:p>
        </w:tc>
        <w:tc>
          <w:tcPr>
            <w:tcW w:w="1327" w:type="dxa"/>
            <w:vAlign w:val="center"/>
          </w:tcPr>
          <w:p>
            <w:pPr>
              <w:pStyle w:val="19"/>
            </w:pPr>
            <w:r>
              <w:t>≥95百分比</w:t>
            </w:r>
          </w:p>
        </w:tc>
        <w:tc>
          <w:tcPr>
            <w:tcW w:w="1327" w:type="dxa"/>
            <w:vAlign w:val="center"/>
          </w:tcPr>
          <w:p>
            <w:pPr>
              <w:pStyle w:val="1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经济效益指标</w:t>
            </w:r>
          </w:p>
        </w:tc>
        <w:tc>
          <w:tcPr>
            <w:tcW w:w="1327" w:type="dxa"/>
            <w:vAlign w:val="center"/>
          </w:tcPr>
          <w:p>
            <w:pPr>
              <w:pStyle w:val="19"/>
            </w:pPr>
            <w:r>
              <w:t>可持续性</w:t>
            </w:r>
          </w:p>
        </w:tc>
        <w:tc>
          <w:tcPr>
            <w:tcW w:w="2654" w:type="dxa"/>
            <w:vAlign w:val="center"/>
          </w:tcPr>
          <w:p>
            <w:pPr>
              <w:pStyle w:val="19"/>
            </w:pPr>
            <w:r>
              <w:t>可持续性</w:t>
            </w:r>
          </w:p>
        </w:tc>
        <w:tc>
          <w:tcPr>
            <w:tcW w:w="1327" w:type="dxa"/>
            <w:vAlign w:val="center"/>
          </w:tcPr>
          <w:p>
            <w:pPr>
              <w:pStyle w:val="19"/>
            </w:pPr>
            <w:r>
              <w:t>≥95百分比</w:t>
            </w:r>
          </w:p>
        </w:tc>
        <w:tc>
          <w:tcPr>
            <w:tcW w:w="1327" w:type="dxa"/>
            <w:vAlign w:val="center"/>
          </w:tcPr>
          <w:p>
            <w:pPr>
              <w:pStyle w:val="1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资金的使用效率</w:t>
            </w:r>
          </w:p>
        </w:tc>
        <w:tc>
          <w:tcPr>
            <w:tcW w:w="2654" w:type="dxa"/>
            <w:vAlign w:val="center"/>
          </w:tcPr>
          <w:p>
            <w:pPr>
              <w:pStyle w:val="19"/>
            </w:pPr>
            <w:r>
              <w:t>资金的使用效率</w:t>
            </w:r>
          </w:p>
        </w:tc>
        <w:tc>
          <w:tcPr>
            <w:tcW w:w="1327" w:type="dxa"/>
            <w:vAlign w:val="center"/>
          </w:tcPr>
          <w:p>
            <w:pPr>
              <w:pStyle w:val="19"/>
            </w:pPr>
            <w:r>
              <w:t>≥95百分比</w:t>
            </w:r>
          </w:p>
        </w:tc>
        <w:tc>
          <w:tcPr>
            <w:tcW w:w="1327" w:type="dxa"/>
            <w:vAlign w:val="center"/>
          </w:tcPr>
          <w:p>
            <w:pPr>
              <w:pStyle w:val="1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推动经济社会发展</w:t>
            </w:r>
          </w:p>
        </w:tc>
        <w:tc>
          <w:tcPr>
            <w:tcW w:w="2654" w:type="dxa"/>
            <w:vAlign w:val="center"/>
          </w:tcPr>
          <w:p>
            <w:pPr>
              <w:pStyle w:val="19"/>
            </w:pPr>
            <w:r>
              <w:t>推动经济社会发展</w:t>
            </w:r>
          </w:p>
        </w:tc>
        <w:tc>
          <w:tcPr>
            <w:tcW w:w="1327" w:type="dxa"/>
            <w:vAlign w:val="center"/>
          </w:tcPr>
          <w:p>
            <w:pPr>
              <w:pStyle w:val="19"/>
            </w:pPr>
            <w:r>
              <w:t>≥95百分比</w:t>
            </w:r>
          </w:p>
        </w:tc>
        <w:tc>
          <w:tcPr>
            <w:tcW w:w="1327" w:type="dxa"/>
            <w:vAlign w:val="center"/>
          </w:tcPr>
          <w:p>
            <w:pPr>
              <w:pStyle w:val="1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群众满意度</w:t>
            </w:r>
          </w:p>
        </w:tc>
        <w:tc>
          <w:tcPr>
            <w:tcW w:w="2654" w:type="dxa"/>
            <w:vAlign w:val="center"/>
          </w:tcPr>
          <w:p>
            <w:pPr>
              <w:pStyle w:val="19"/>
            </w:pPr>
            <w:r>
              <w:t>群众对乡科级领导班子和领导干部的满意度</w:t>
            </w:r>
          </w:p>
        </w:tc>
        <w:tc>
          <w:tcPr>
            <w:tcW w:w="1327" w:type="dxa"/>
            <w:vAlign w:val="center"/>
          </w:tcPr>
          <w:p>
            <w:pPr>
              <w:pStyle w:val="19"/>
            </w:pPr>
            <w:r>
              <w:t>≥90百分比</w:t>
            </w:r>
          </w:p>
        </w:tc>
        <w:tc>
          <w:tcPr>
            <w:tcW w:w="1327" w:type="dxa"/>
            <w:vAlign w:val="center"/>
          </w:tcPr>
          <w:p>
            <w:pPr>
              <w:pStyle w:val="19"/>
            </w:pPr>
            <w:r>
              <w:t>考核办法</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bookmarkStart w:id="30" w:name="_Toc_4_4_0000000031"/>
      <w:r>
        <w:rPr>
          <w:rFonts w:ascii="方正仿宋_GBK" w:hAnsi="方正仿宋_GBK" w:eastAsia="方正仿宋_GBK" w:cs="方正仿宋_GBK"/>
          <w:color w:val="000000"/>
          <w:sz w:val="28"/>
        </w:rPr>
        <w:t>28.年终考核绩效目标表</w:t>
      </w:r>
      <w:bookmarkEnd w:id="30"/>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w:t>
            </w:r>
            <w:r>
              <w:rPr>
                <w:rFonts w:hint="eastAsia"/>
                <w:lang w:val="en-US" w:eastAsia="zh-CN"/>
              </w:rPr>
              <w:t xml:space="preserve"> </w:t>
            </w:r>
            <w:r>
              <w:t>中国共产党宁晋县委员会组织部</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绩效目标</w:t>
            </w:r>
          </w:p>
        </w:tc>
        <w:tc>
          <w:tcPr>
            <w:tcW w:w="7962" w:type="dxa"/>
            <w:gridSpan w:val="2"/>
            <w:vAlign w:val="center"/>
          </w:tcPr>
          <w:p>
            <w:pPr>
              <w:pStyle w:val="19"/>
            </w:pPr>
            <w:r>
              <w:t>1.完善考核办法，修订考核指标体系。</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完善考核办法，组织年度考核</w:t>
            </w:r>
          </w:p>
        </w:tc>
        <w:tc>
          <w:tcPr>
            <w:tcW w:w="2654" w:type="dxa"/>
            <w:vAlign w:val="center"/>
          </w:tcPr>
          <w:p>
            <w:pPr>
              <w:pStyle w:val="19"/>
            </w:pPr>
            <w:r>
              <w:t>完善考核办法，组织年度考核</w:t>
            </w:r>
          </w:p>
        </w:tc>
        <w:tc>
          <w:tcPr>
            <w:tcW w:w="1327" w:type="dxa"/>
            <w:vAlign w:val="center"/>
          </w:tcPr>
          <w:p>
            <w:pPr>
              <w:pStyle w:val="19"/>
            </w:pPr>
            <w:r>
              <w:t>≥95百分比</w:t>
            </w:r>
          </w:p>
        </w:tc>
        <w:tc>
          <w:tcPr>
            <w:tcW w:w="1327" w:type="dxa"/>
            <w:vAlign w:val="center"/>
          </w:tcPr>
          <w:p>
            <w:pPr>
              <w:pStyle w:val="1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优化办法，精准实施考核</w:t>
            </w:r>
          </w:p>
        </w:tc>
        <w:tc>
          <w:tcPr>
            <w:tcW w:w="2654" w:type="dxa"/>
            <w:vAlign w:val="center"/>
          </w:tcPr>
          <w:p>
            <w:pPr>
              <w:pStyle w:val="19"/>
            </w:pPr>
            <w:r>
              <w:t>优化办法，精准实施考核</w:t>
            </w:r>
          </w:p>
        </w:tc>
        <w:tc>
          <w:tcPr>
            <w:tcW w:w="1327" w:type="dxa"/>
            <w:vAlign w:val="center"/>
          </w:tcPr>
          <w:p>
            <w:pPr>
              <w:pStyle w:val="19"/>
            </w:pPr>
            <w:r>
              <w:t>≥95百分比</w:t>
            </w:r>
          </w:p>
        </w:tc>
        <w:tc>
          <w:tcPr>
            <w:tcW w:w="1327" w:type="dxa"/>
            <w:vAlign w:val="center"/>
          </w:tcPr>
          <w:p>
            <w:pPr>
              <w:pStyle w:val="1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按时完成任务</w:t>
            </w:r>
          </w:p>
        </w:tc>
        <w:tc>
          <w:tcPr>
            <w:tcW w:w="2654" w:type="dxa"/>
            <w:vAlign w:val="center"/>
          </w:tcPr>
          <w:p>
            <w:pPr>
              <w:pStyle w:val="19"/>
            </w:pPr>
            <w:r>
              <w:t>按时完成任务</w:t>
            </w:r>
          </w:p>
        </w:tc>
        <w:tc>
          <w:tcPr>
            <w:tcW w:w="1327" w:type="dxa"/>
            <w:vAlign w:val="center"/>
          </w:tcPr>
          <w:p>
            <w:pPr>
              <w:pStyle w:val="19"/>
            </w:pPr>
            <w:r>
              <w:t>≥95百分比</w:t>
            </w:r>
          </w:p>
        </w:tc>
        <w:tc>
          <w:tcPr>
            <w:tcW w:w="1327" w:type="dxa"/>
            <w:vAlign w:val="center"/>
          </w:tcPr>
          <w:p>
            <w:pPr>
              <w:pStyle w:val="1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预算执行</w:t>
            </w:r>
          </w:p>
        </w:tc>
        <w:tc>
          <w:tcPr>
            <w:tcW w:w="2654" w:type="dxa"/>
            <w:vAlign w:val="center"/>
          </w:tcPr>
          <w:p>
            <w:pPr>
              <w:pStyle w:val="19"/>
            </w:pPr>
            <w:r>
              <w:t>完成年度预算资金安排</w:t>
            </w:r>
          </w:p>
        </w:tc>
        <w:tc>
          <w:tcPr>
            <w:tcW w:w="1327" w:type="dxa"/>
            <w:vAlign w:val="center"/>
          </w:tcPr>
          <w:p>
            <w:pPr>
              <w:pStyle w:val="19"/>
            </w:pPr>
            <w:r>
              <w:t>≥95百分比</w:t>
            </w:r>
          </w:p>
        </w:tc>
        <w:tc>
          <w:tcPr>
            <w:tcW w:w="1327" w:type="dxa"/>
            <w:vAlign w:val="center"/>
          </w:tcPr>
          <w:p>
            <w:pPr>
              <w:pStyle w:val="1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可持续影响指标</w:t>
            </w:r>
          </w:p>
        </w:tc>
        <w:tc>
          <w:tcPr>
            <w:tcW w:w="1327" w:type="dxa"/>
            <w:vAlign w:val="center"/>
          </w:tcPr>
          <w:p>
            <w:pPr>
              <w:pStyle w:val="19"/>
            </w:pPr>
            <w:r>
              <w:t>不涉及</w:t>
            </w:r>
          </w:p>
        </w:tc>
        <w:tc>
          <w:tcPr>
            <w:tcW w:w="2654" w:type="dxa"/>
            <w:vAlign w:val="center"/>
          </w:tcPr>
          <w:p>
            <w:pPr>
              <w:pStyle w:val="19"/>
            </w:pPr>
            <w:r>
              <w:t>不涉及</w:t>
            </w:r>
          </w:p>
        </w:tc>
        <w:tc>
          <w:tcPr>
            <w:tcW w:w="1327" w:type="dxa"/>
            <w:vAlign w:val="center"/>
          </w:tcPr>
          <w:p>
            <w:pPr>
              <w:pStyle w:val="19"/>
            </w:pPr>
            <w:r>
              <w:t>≥95百分比</w:t>
            </w:r>
          </w:p>
        </w:tc>
        <w:tc>
          <w:tcPr>
            <w:tcW w:w="1327" w:type="dxa"/>
            <w:vAlign w:val="center"/>
          </w:tcPr>
          <w:p>
            <w:pPr>
              <w:pStyle w:val="1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经济效益指标</w:t>
            </w:r>
          </w:p>
        </w:tc>
        <w:tc>
          <w:tcPr>
            <w:tcW w:w="1327" w:type="dxa"/>
            <w:vAlign w:val="center"/>
          </w:tcPr>
          <w:p>
            <w:pPr>
              <w:pStyle w:val="19"/>
            </w:pPr>
            <w:r>
              <w:t>可持续性</w:t>
            </w:r>
          </w:p>
        </w:tc>
        <w:tc>
          <w:tcPr>
            <w:tcW w:w="2654" w:type="dxa"/>
            <w:vAlign w:val="center"/>
          </w:tcPr>
          <w:p>
            <w:pPr>
              <w:pStyle w:val="19"/>
            </w:pPr>
            <w:r>
              <w:t>可持续性</w:t>
            </w:r>
          </w:p>
        </w:tc>
        <w:tc>
          <w:tcPr>
            <w:tcW w:w="1327" w:type="dxa"/>
            <w:vAlign w:val="center"/>
          </w:tcPr>
          <w:p>
            <w:pPr>
              <w:pStyle w:val="19"/>
            </w:pPr>
            <w:r>
              <w:t>≥95百分比</w:t>
            </w:r>
          </w:p>
        </w:tc>
        <w:tc>
          <w:tcPr>
            <w:tcW w:w="1327" w:type="dxa"/>
            <w:vAlign w:val="center"/>
          </w:tcPr>
          <w:p>
            <w:pPr>
              <w:pStyle w:val="1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资金的使用效率</w:t>
            </w:r>
          </w:p>
        </w:tc>
        <w:tc>
          <w:tcPr>
            <w:tcW w:w="2654" w:type="dxa"/>
            <w:vAlign w:val="center"/>
          </w:tcPr>
          <w:p>
            <w:pPr>
              <w:pStyle w:val="19"/>
            </w:pPr>
            <w:r>
              <w:t>资金的使用效率</w:t>
            </w:r>
          </w:p>
        </w:tc>
        <w:tc>
          <w:tcPr>
            <w:tcW w:w="1327" w:type="dxa"/>
            <w:vAlign w:val="center"/>
          </w:tcPr>
          <w:p>
            <w:pPr>
              <w:pStyle w:val="19"/>
            </w:pPr>
            <w:r>
              <w:t>≥95百分比</w:t>
            </w:r>
          </w:p>
        </w:tc>
        <w:tc>
          <w:tcPr>
            <w:tcW w:w="1327" w:type="dxa"/>
            <w:vAlign w:val="center"/>
          </w:tcPr>
          <w:p>
            <w:pPr>
              <w:pStyle w:val="1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推动经济社会发展</w:t>
            </w:r>
          </w:p>
        </w:tc>
        <w:tc>
          <w:tcPr>
            <w:tcW w:w="2654" w:type="dxa"/>
            <w:vAlign w:val="center"/>
          </w:tcPr>
          <w:p>
            <w:pPr>
              <w:pStyle w:val="19"/>
            </w:pPr>
            <w:r>
              <w:t>推动经济社会发展</w:t>
            </w:r>
          </w:p>
        </w:tc>
        <w:tc>
          <w:tcPr>
            <w:tcW w:w="1327" w:type="dxa"/>
            <w:vAlign w:val="center"/>
          </w:tcPr>
          <w:p>
            <w:pPr>
              <w:pStyle w:val="19"/>
            </w:pPr>
            <w:r>
              <w:t>≥95百分比</w:t>
            </w:r>
          </w:p>
        </w:tc>
        <w:tc>
          <w:tcPr>
            <w:tcW w:w="1327" w:type="dxa"/>
            <w:vAlign w:val="center"/>
          </w:tcPr>
          <w:p>
            <w:pPr>
              <w:pStyle w:val="1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群众满意度</w:t>
            </w:r>
          </w:p>
        </w:tc>
        <w:tc>
          <w:tcPr>
            <w:tcW w:w="2654" w:type="dxa"/>
            <w:vAlign w:val="center"/>
          </w:tcPr>
          <w:p>
            <w:pPr>
              <w:pStyle w:val="19"/>
            </w:pPr>
            <w:r>
              <w:t>群众满意度</w:t>
            </w:r>
          </w:p>
        </w:tc>
        <w:tc>
          <w:tcPr>
            <w:tcW w:w="1327" w:type="dxa"/>
            <w:vAlign w:val="center"/>
          </w:tcPr>
          <w:p>
            <w:pPr>
              <w:pStyle w:val="19"/>
            </w:pPr>
            <w:r>
              <w:t>≥90百分比</w:t>
            </w:r>
          </w:p>
        </w:tc>
        <w:tc>
          <w:tcPr>
            <w:tcW w:w="1327" w:type="dxa"/>
            <w:vAlign w:val="center"/>
          </w:tcPr>
          <w:p>
            <w:pPr>
              <w:pStyle w:val="19"/>
            </w:pPr>
            <w:r>
              <w:t>考核办法</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bookmarkStart w:id="31" w:name="_Toc_4_4_0000000032"/>
      <w:r>
        <w:rPr>
          <w:rFonts w:ascii="方正仿宋_GBK" w:hAnsi="方正仿宋_GBK" w:eastAsia="方正仿宋_GBK" w:cs="方正仿宋_GBK"/>
          <w:color w:val="000000"/>
          <w:sz w:val="28"/>
        </w:rPr>
        <w:t>29.宁晋县人才发展资金绩效目标表</w:t>
      </w:r>
      <w:bookmarkEnd w:id="31"/>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w:t>
            </w:r>
            <w:r>
              <w:rPr>
                <w:rFonts w:hint="eastAsia"/>
                <w:lang w:val="en-US" w:eastAsia="zh-CN"/>
              </w:rPr>
              <w:t xml:space="preserve"> </w:t>
            </w:r>
            <w:r>
              <w:t>中国共产党宁晋县委员会组织部</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绩效目标</w:t>
            </w:r>
          </w:p>
        </w:tc>
        <w:tc>
          <w:tcPr>
            <w:tcW w:w="7962" w:type="dxa"/>
            <w:gridSpan w:val="2"/>
            <w:vAlign w:val="center"/>
          </w:tcPr>
          <w:p>
            <w:pPr>
              <w:pStyle w:val="19"/>
            </w:pPr>
            <w:r>
              <w:t>1.保障人才工作顺利进行</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发放人才补贴人数</w:t>
            </w:r>
          </w:p>
        </w:tc>
        <w:tc>
          <w:tcPr>
            <w:tcW w:w="2654" w:type="dxa"/>
            <w:vAlign w:val="center"/>
          </w:tcPr>
          <w:p>
            <w:pPr>
              <w:pStyle w:val="19"/>
            </w:pPr>
            <w:r>
              <w:t>发放人才补贴人数</w:t>
            </w:r>
          </w:p>
        </w:tc>
        <w:tc>
          <w:tcPr>
            <w:tcW w:w="1327" w:type="dxa"/>
            <w:vAlign w:val="center"/>
          </w:tcPr>
          <w:p>
            <w:pPr>
              <w:pStyle w:val="19"/>
            </w:pPr>
            <w:r>
              <w:t>≥5人</w:t>
            </w:r>
          </w:p>
        </w:tc>
        <w:tc>
          <w:tcPr>
            <w:tcW w:w="1327" w:type="dxa"/>
            <w:vAlign w:val="center"/>
          </w:tcPr>
          <w:p>
            <w:pPr>
              <w:pStyle w:val="19"/>
            </w:pPr>
            <w:r>
              <w:t>发放人才补贴人数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专款专用率</w:t>
            </w:r>
          </w:p>
        </w:tc>
        <w:tc>
          <w:tcPr>
            <w:tcW w:w="2654" w:type="dxa"/>
            <w:vAlign w:val="center"/>
          </w:tcPr>
          <w:p>
            <w:pPr>
              <w:pStyle w:val="19"/>
            </w:pPr>
            <w:r>
              <w:t>宁晋县人才发展资金专款专用情况</w:t>
            </w:r>
          </w:p>
        </w:tc>
        <w:tc>
          <w:tcPr>
            <w:tcW w:w="1327" w:type="dxa"/>
            <w:vAlign w:val="center"/>
          </w:tcPr>
          <w:p>
            <w:pPr>
              <w:pStyle w:val="19"/>
            </w:pPr>
            <w:r>
              <w:t>≥95百分比</w:t>
            </w:r>
          </w:p>
        </w:tc>
        <w:tc>
          <w:tcPr>
            <w:tcW w:w="1327" w:type="dxa"/>
            <w:vAlign w:val="center"/>
          </w:tcPr>
          <w:p>
            <w:pPr>
              <w:pStyle w:val="19"/>
            </w:pPr>
            <w:r>
              <w:t>宁晋县人才发展资金专款专用情况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及时性</w:t>
            </w:r>
          </w:p>
        </w:tc>
        <w:tc>
          <w:tcPr>
            <w:tcW w:w="2654" w:type="dxa"/>
            <w:vAlign w:val="center"/>
          </w:tcPr>
          <w:p>
            <w:pPr>
              <w:pStyle w:val="19"/>
            </w:pPr>
            <w:r>
              <w:t>及时为高层次人才发放资助</w:t>
            </w:r>
          </w:p>
        </w:tc>
        <w:tc>
          <w:tcPr>
            <w:tcW w:w="1327" w:type="dxa"/>
            <w:vAlign w:val="center"/>
          </w:tcPr>
          <w:p>
            <w:pPr>
              <w:pStyle w:val="19"/>
            </w:pPr>
            <w:r>
              <w:t>≥90百分比</w:t>
            </w:r>
          </w:p>
        </w:tc>
        <w:tc>
          <w:tcPr>
            <w:tcW w:w="1327" w:type="dxa"/>
            <w:vAlign w:val="center"/>
          </w:tcPr>
          <w:p>
            <w:pPr>
              <w:pStyle w:val="19"/>
            </w:pPr>
            <w:r>
              <w:t>及时为高层次人才发放资助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人均发放水平</w:t>
            </w:r>
          </w:p>
        </w:tc>
        <w:tc>
          <w:tcPr>
            <w:tcW w:w="2654" w:type="dxa"/>
            <w:vAlign w:val="center"/>
          </w:tcPr>
          <w:p>
            <w:pPr>
              <w:pStyle w:val="19"/>
            </w:pPr>
            <w:r>
              <w:t>为拔尖人才发放足额生活补贴</w:t>
            </w:r>
          </w:p>
        </w:tc>
        <w:tc>
          <w:tcPr>
            <w:tcW w:w="1327" w:type="dxa"/>
            <w:vAlign w:val="center"/>
          </w:tcPr>
          <w:p>
            <w:pPr>
              <w:pStyle w:val="19"/>
            </w:pPr>
            <w:r>
              <w:t>≥95百分比</w:t>
            </w:r>
          </w:p>
        </w:tc>
        <w:tc>
          <w:tcPr>
            <w:tcW w:w="1327" w:type="dxa"/>
            <w:vAlign w:val="center"/>
          </w:tcPr>
          <w:p>
            <w:pPr>
              <w:pStyle w:val="19"/>
            </w:pPr>
            <w:r>
              <w:t>为拔尖人才发放足额生活补贴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可持续影响指标</w:t>
            </w:r>
          </w:p>
        </w:tc>
        <w:tc>
          <w:tcPr>
            <w:tcW w:w="1327" w:type="dxa"/>
            <w:vAlign w:val="center"/>
          </w:tcPr>
          <w:p>
            <w:pPr>
              <w:pStyle w:val="19"/>
            </w:pPr>
            <w:r>
              <w:t>维护社会稳定</w:t>
            </w:r>
          </w:p>
        </w:tc>
        <w:tc>
          <w:tcPr>
            <w:tcW w:w="2654" w:type="dxa"/>
            <w:vAlign w:val="center"/>
          </w:tcPr>
          <w:p>
            <w:pPr>
              <w:pStyle w:val="19"/>
            </w:pPr>
            <w:r>
              <w:t>维护社会稳定</w:t>
            </w:r>
          </w:p>
        </w:tc>
        <w:tc>
          <w:tcPr>
            <w:tcW w:w="1327" w:type="dxa"/>
            <w:vAlign w:val="center"/>
          </w:tcPr>
          <w:p>
            <w:pPr>
              <w:pStyle w:val="19"/>
            </w:pPr>
            <w:r>
              <w:t>≥90百分比</w:t>
            </w:r>
          </w:p>
        </w:tc>
        <w:tc>
          <w:tcPr>
            <w:tcW w:w="1327" w:type="dxa"/>
            <w:vAlign w:val="center"/>
          </w:tcPr>
          <w:p>
            <w:pPr>
              <w:pStyle w:val="19"/>
            </w:pPr>
            <w:r>
              <w:t>维护社会稳定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经济效益指标</w:t>
            </w:r>
          </w:p>
        </w:tc>
        <w:tc>
          <w:tcPr>
            <w:tcW w:w="1327" w:type="dxa"/>
            <w:vAlign w:val="center"/>
          </w:tcPr>
          <w:p>
            <w:pPr>
              <w:pStyle w:val="19"/>
            </w:pPr>
            <w:r>
              <w:t>综合利用率</w:t>
            </w:r>
          </w:p>
        </w:tc>
        <w:tc>
          <w:tcPr>
            <w:tcW w:w="2654" w:type="dxa"/>
            <w:vAlign w:val="center"/>
          </w:tcPr>
          <w:p>
            <w:pPr>
              <w:pStyle w:val="19"/>
            </w:pPr>
            <w:r>
              <w:t>资金使用情况</w:t>
            </w:r>
          </w:p>
        </w:tc>
        <w:tc>
          <w:tcPr>
            <w:tcW w:w="1327" w:type="dxa"/>
            <w:vAlign w:val="center"/>
          </w:tcPr>
          <w:p>
            <w:pPr>
              <w:pStyle w:val="19"/>
            </w:pPr>
            <w:r>
              <w:t>≥90百分比</w:t>
            </w:r>
          </w:p>
        </w:tc>
        <w:tc>
          <w:tcPr>
            <w:tcW w:w="1327" w:type="dxa"/>
            <w:vAlign w:val="center"/>
          </w:tcPr>
          <w:p>
            <w:pPr>
              <w:pStyle w:val="19"/>
            </w:pPr>
            <w:r>
              <w:t>资金使用情况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补贴发放率</w:t>
            </w:r>
          </w:p>
        </w:tc>
        <w:tc>
          <w:tcPr>
            <w:tcW w:w="2654" w:type="dxa"/>
            <w:vAlign w:val="center"/>
          </w:tcPr>
          <w:p>
            <w:pPr>
              <w:pStyle w:val="19"/>
            </w:pPr>
            <w:r>
              <w:t>人才补贴发放完成率</w:t>
            </w:r>
          </w:p>
        </w:tc>
        <w:tc>
          <w:tcPr>
            <w:tcW w:w="1327" w:type="dxa"/>
            <w:vAlign w:val="center"/>
          </w:tcPr>
          <w:p>
            <w:pPr>
              <w:pStyle w:val="19"/>
            </w:pPr>
            <w:r>
              <w:t>≥90百分比</w:t>
            </w:r>
          </w:p>
        </w:tc>
        <w:tc>
          <w:tcPr>
            <w:tcW w:w="1327" w:type="dxa"/>
            <w:vAlign w:val="center"/>
          </w:tcPr>
          <w:p>
            <w:pPr>
              <w:pStyle w:val="19"/>
            </w:pPr>
            <w:r>
              <w:t>人才补贴发放完成率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生态效益指标</w:t>
            </w:r>
          </w:p>
        </w:tc>
        <w:tc>
          <w:tcPr>
            <w:tcW w:w="2654" w:type="dxa"/>
            <w:vAlign w:val="center"/>
          </w:tcPr>
          <w:p>
            <w:pPr>
              <w:pStyle w:val="19"/>
            </w:pPr>
            <w:r>
              <w:t>生态效益指标</w:t>
            </w:r>
          </w:p>
        </w:tc>
        <w:tc>
          <w:tcPr>
            <w:tcW w:w="1327" w:type="dxa"/>
            <w:vAlign w:val="center"/>
          </w:tcPr>
          <w:p>
            <w:pPr>
              <w:pStyle w:val="19"/>
            </w:pPr>
            <w:r>
              <w:t>≥90百分比</w:t>
            </w:r>
          </w:p>
        </w:tc>
        <w:tc>
          <w:tcPr>
            <w:tcW w:w="1327" w:type="dxa"/>
            <w:vAlign w:val="center"/>
          </w:tcPr>
          <w:p>
            <w:pPr>
              <w:pStyle w:val="19"/>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服务对象满意度</w:t>
            </w:r>
          </w:p>
        </w:tc>
        <w:tc>
          <w:tcPr>
            <w:tcW w:w="2654" w:type="dxa"/>
            <w:vAlign w:val="center"/>
          </w:tcPr>
          <w:p>
            <w:pPr>
              <w:pStyle w:val="19"/>
            </w:pPr>
            <w:r>
              <w:t>被发放补贴人才满意度</w:t>
            </w:r>
          </w:p>
        </w:tc>
        <w:tc>
          <w:tcPr>
            <w:tcW w:w="1327" w:type="dxa"/>
            <w:vAlign w:val="center"/>
          </w:tcPr>
          <w:p>
            <w:pPr>
              <w:pStyle w:val="19"/>
            </w:pPr>
            <w:r>
              <w:t>≥90百分比</w:t>
            </w:r>
          </w:p>
        </w:tc>
        <w:tc>
          <w:tcPr>
            <w:tcW w:w="1327" w:type="dxa"/>
            <w:vAlign w:val="center"/>
          </w:tcPr>
          <w:p>
            <w:pPr>
              <w:pStyle w:val="19"/>
            </w:pPr>
            <w:r>
              <w:t>被发放补贴人才满意度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bookmarkStart w:id="32" w:name="_Toc_4_4_0000000033"/>
      <w:r>
        <w:rPr>
          <w:rFonts w:ascii="方正仿宋_GBK" w:hAnsi="方正仿宋_GBK" w:eastAsia="方正仿宋_GBK" w:cs="方正仿宋_GBK"/>
          <w:color w:val="000000"/>
          <w:sz w:val="28"/>
        </w:rPr>
        <w:t>30.平时考核绩效目标表</w:t>
      </w:r>
      <w:bookmarkEnd w:id="32"/>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w:t>
            </w:r>
            <w:r>
              <w:rPr>
                <w:rFonts w:hint="eastAsia"/>
                <w:lang w:val="en-US" w:eastAsia="zh-CN"/>
              </w:rPr>
              <w:t xml:space="preserve"> </w:t>
            </w:r>
            <w:r>
              <w:t>中国共产党宁晋县委员会组织部</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绩效目标</w:t>
            </w:r>
          </w:p>
        </w:tc>
        <w:tc>
          <w:tcPr>
            <w:tcW w:w="7962" w:type="dxa"/>
            <w:gridSpan w:val="2"/>
            <w:vAlign w:val="center"/>
          </w:tcPr>
          <w:p>
            <w:pPr>
              <w:pStyle w:val="19"/>
            </w:pPr>
            <w:r>
              <w:t>1.对各单位按年度任务、计划进度、完成情况等动态记实。</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建立考核事项协调机制和审批机制</w:t>
            </w:r>
          </w:p>
        </w:tc>
        <w:tc>
          <w:tcPr>
            <w:tcW w:w="2654" w:type="dxa"/>
            <w:vAlign w:val="center"/>
          </w:tcPr>
          <w:p>
            <w:pPr>
              <w:pStyle w:val="19"/>
            </w:pPr>
            <w:r>
              <w:t>对各单位落实上级决策部署、省市考核任务、全县重点工作等跟踪督考。</w:t>
            </w:r>
          </w:p>
        </w:tc>
        <w:tc>
          <w:tcPr>
            <w:tcW w:w="1327" w:type="dxa"/>
            <w:vAlign w:val="center"/>
          </w:tcPr>
          <w:p>
            <w:pPr>
              <w:pStyle w:val="19"/>
            </w:pPr>
            <w:r>
              <w:t>≥95百分比</w:t>
            </w:r>
          </w:p>
        </w:tc>
        <w:tc>
          <w:tcPr>
            <w:tcW w:w="1327" w:type="dxa"/>
            <w:vAlign w:val="center"/>
          </w:tcPr>
          <w:p>
            <w:pPr>
              <w:pStyle w:val="1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定期督考通报</w:t>
            </w:r>
          </w:p>
        </w:tc>
        <w:tc>
          <w:tcPr>
            <w:tcW w:w="2654" w:type="dxa"/>
            <w:vAlign w:val="center"/>
          </w:tcPr>
          <w:p>
            <w:pPr>
              <w:pStyle w:val="19"/>
            </w:pPr>
            <w:r>
              <w:t>定期督考通报</w:t>
            </w:r>
          </w:p>
        </w:tc>
        <w:tc>
          <w:tcPr>
            <w:tcW w:w="1327" w:type="dxa"/>
            <w:vAlign w:val="center"/>
          </w:tcPr>
          <w:p>
            <w:pPr>
              <w:pStyle w:val="19"/>
            </w:pPr>
            <w:r>
              <w:t>≥95百分比</w:t>
            </w:r>
          </w:p>
        </w:tc>
        <w:tc>
          <w:tcPr>
            <w:tcW w:w="1327" w:type="dxa"/>
            <w:vAlign w:val="center"/>
          </w:tcPr>
          <w:p>
            <w:pPr>
              <w:pStyle w:val="1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按时完成任务</w:t>
            </w:r>
          </w:p>
        </w:tc>
        <w:tc>
          <w:tcPr>
            <w:tcW w:w="2654" w:type="dxa"/>
            <w:vAlign w:val="center"/>
          </w:tcPr>
          <w:p>
            <w:pPr>
              <w:pStyle w:val="19"/>
            </w:pPr>
            <w:r>
              <w:t>按时完成任务</w:t>
            </w:r>
          </w:p>
        </w:tc>
        <w:tc>
          <w:tcPr>
            <w:tcW w:w="1327" w:type="dxa"/>
            <w:vAlign w:val="center"/>
          </w:tcPr>
          <w:p>
            <w:pPr>
              <w:pStyle w:val="19"/>
            </w:pPr>
            <w:r>
              <w:t>≥95百分比</w:t>
            </w:r>
          </w:p>
        </w:tc>
        <w:tc>
          <w:tcPr>
            <w:tcW w:w="1327" w:type="dxa"/>
            <w:vAlign w:val="center"/>
          </w:tcPr>
          <w:p>
            <w:pPr>
              <w:pStyle w:val="1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预算执行</w:t>
            </w:r>
          </w:p>
        </w:tc>
        <w:tc>
          <w:tcPr>
            <w:tcW w:w="2654" w:type="dxa"/>
            <w:vAlign w:val="center"/>
          </w:tcPr>
          <w:p>
            <w:pPr>
              <w:pStyle w:val="19"/>
            </w:pPr>
            <w:r>
              <w:t>完成年度预算资金安排</w:t>
            </w:r>
          </w:p>
        </w:tc>
        <w:tc>
          <w:tcPr>
            <w:tcW w:w="1327" w:type="dxa"/>
            <w:vAlign w:val="center"/>
          </w:tcPr>
          <w:p>
            <w:pPr>
              <w:pStyle w:val="19"/>
            </w:pPr>
            <w:r>
              <w:t>≥95百分比</w:t>
            </w:r>
          </w:p>
        </w:tc>
        <w:tc>
          <w:tcPr>
            <w:tcW w:w="1327" w:type="dxa"/>
            <w:vAlign w:val="center"/>
          </w:tcPr>
          <w:p>
            <w:pPr>
              <w:pStyle w:val="1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可持续影响指标</w:t>
            </w:r>
          </w:p>
        </w:tc>
        <w:tc>
          <w:tcPr>
            <w:tcW w:w="1327" w:type="dxa"/>
            <w:vAlign w:val="center"/>
          </w:tcPr>
          <w:p>
            <w:pPr>
              <w:pStyle w:val="19"/>
            </w:pPr>
            <w:r>
              <w:t>不涉及</w:t>
            </w:r>
          </w:p>
        </w:tc>
        <w:tc>
          <w:tcPr>
            <w:tcW w:w="2654" w:type="dxa"/>
            <w:vAlign w:val="center"/>
          </w:tcPr>
          <w:p>
            <w:pPr>
              <w:pStyle w:val="19"/>
            </w:pPr>
            <w:r>
              <w:t>不涉及</w:t>
            </w:r>
          </w:p>
        </w:tc>
        <w:tc>
          <w:tcPr>
            <w:tcW w:w="1327" w:type="dxa"/>
            <w:vAlign w:val="center"/>
          </w:tcPr>
          <w:p>
            <w:pPr>
              <w:pStyle w:val="19"/>
            </w:pPr>
            <w:r>
              <w:t>≥95百分比</w:t>
            </w:r>
          </w:p>
        </w:tc>
        <w:tc>
          <w:tcPr>
            <w:tcW w:w="1327" w:type="dxa"/>
            <w:vAlign w:val="center"/>
          </w:tcPr>
          <w:p>
            <w:pPr>
              <w:pStyle w:val="1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经济效益指标</w:t>
            </w:r>
          </w:p>
        </w:tc>
        <w:tc>
          <w:tcPr>
            <w:tcW w:w="1327" w:type="dxa"/>
            <w:vAlign w:val="center"/>
          </w:tcPr>
          <w:p>
            <w:pPr>
              <w:pStyle w:val="19"/>
            </w:pPr>
            <w:r>
              <w:t>可持续性</w:t>
            </w:r>
          </w:p>
        </w:tc>
        <w:tc>
          <w:tcPr>
            <w:tcW w:w="2654" w:type="dxa"/>
            <w:vAlign w:val="center"/>
          </w:tcPr>
          <w:p>
            <w:pPr>
              <w:pStyle w:val="19"/>
            </w:pPr>
            <w:r>
              <w:t>可持续性</w:t>
            </w:r>
          </w:p>
        </w:tc>
        <w:tc>
          <w:tcPr>
            <w:tcW w:w="1327" w:type="dxa"/>
            <w:vAlign w:val="center"/>
          </w:tcPr>
          <w:p>
            <w:pPr>
              <w:pStyle w:val="19"/>
            </w:pPr>
            <w:r>
              <w:t>≥95百分比</w:t>
            </w:r>
          </w:p>
        </w:tc>
        <w:tc>
          <w:tcPr>
            <w:tcW w:w="1327" w:type="dxa"/>
            <w:vAlign w:val="center"/>
          </w:tcPr>
          <w:p>
            <w:pPr>
              <w:pStyle w:val="1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资金的使用效率</w:t>
            </w:r>
          </w:p>
        </w:tc>
        <w:tc>
          <w:tcPr>
            <w:tcW w:w="2654" w:type="dxa"/>
            <w:vAlign w:val="center"/>
          </w:tcPr>
          <w:p>
            <w:pPr>
              <w:pStyle w:val="19"/>
            </w:pPr>
            <w:r>
              <w:t>资金的使用效率</w:t>
            </w:r>
          </w:p>
        </w:tc>
        <w:tc>
          <w:tcPr>
            <w:tcW w:w="1327" w:type="dxa"/>
            <w:vAlign w:val="center"/>
          </w:tcPr>
          <w:p>
            <w:pPr>
              <w:pStyle w:val="19"/>
            </w:pPr>
            <w:r>
              <w:t>≥95百分比</w:t>
            </w:r>
          </w:p>
        </w:tc>
        <w:tc>
          <w:tcPr>
            <w:tcW w:w="1327" w:type="dxa"/>
            <w:vAlign w:val="center"/>
          </w:tcPr>
          <w:p>
            <w:pPr>
              <w:pStyle w:val="1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推动经济社会发展</w:t>
            </w:r>
          </w:p>
        </w:tc>
        <w:tc>
          <w:tcPr>
            <w:tcW w:w="2654" w:type="dxa"/>
            <w:vAlign w:val="center"/>
          </w:tcPr>
          <w:p>
            <w:pPr>
              <w:pStyle w:val="19"/>
            </w:pPr>
            <w:r>
              <w:t>推动经济社会发展</w:t>
            </w:r>
          </w:p>
        </w:tc>
        <w:tc>
          <w:tcPr>
            <w:tcW w:w="1327" w:type="dxa"/>
            <w:vAlign w:val="center"/>
          </w:tcPr>
          <w:p>
            <w:pPr>
              <w:pStyle w:val="19"/>
            </w:pPr>
            <w:r>
              <w:t>≥95百分比</w:t>
            </w:r>
          </w:p>
        </w:tc>
        <w:tc>
          <w:tcPr>
            <w:tcW w:w="1327" w:type="dxa"/>
            <w:vAlign w:val="center"/>
          </w:tcPr>
          <w:p>
            <w:pPr>
              <w:pStyle w:val="1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群众满意度</w:t>
            </w:r>
          </w:p>
        </w:tc>
        <w:tc>
          <w:tcPr>
            <w:tcW w:w="2654" w:type="dxa"/>
            <w:vAlign w:val="center"/>
          </w:tcPr>
          <w:p>
            <w:pPr>
              <w:pStyle w:val="19"/>
            </w:pPr>
            <w:r>
              <w:t>群众满意度</w:t>
            </w:r>
          </w:p>
        </w:tc>
        <w:tc>
          <w:tcPr>
            <w:tcW w:w="1327" w:type="dxa"/>
            <w:vAlign w:val="center"/>
          </w:tcPr>
          <w:p>
            <w:pPr>
              <w:pStyle w:val="19"/>
            </w:pPr>
            <w:r>
              <w:t>≥90百分比</w:t>
            </w:r>
          </w:p>
        </w:tc>
        <w:tc>
          <w:tcPr>
            <w:tcW w:w="1327" w:type="dxa"/>
            <w:vAlign w:val="center"/>
          </w:tcPr>
          <w:p>
            <w:pPr>
              <w:pStyle w:val="19"/>
            </w:pPr>
            <w:r>
              <w:t>考核办法</w:t>
            </w:r>
          </w:p>
        </w:tc>
      </w:tr>
    </w:tbl>
    <w:p>
      <w:pPr>
        <w:sectPr>
          <w:pgSz w:w="11900" w:h="16840"/>
          <w:pgMar w:top="1984" w:right="1304" w:bottom="1134" w:left="1304" w:header="720" w:footer="720" w:gutter="0"/>
          <w:cols w:space="720" w:num="1"/>
        </w:sectPr>
      </w:pPr>
    </w:p>
    <w:p>
      <w:pPr>
        <w:spacing w:before="0" w:after="0" w:line="240" w:lineRule="auto"/>
        <w:ind w:firstLine="0"/>
        <w:jc w:val="both"/>
        <w:outlineLvl w:val="9"/>
      </w:pPr>
      <w:r>
        <w:rPr>
          <w:rFonts w:ascii="方正仿宋_GBK" w:hAnsi="方正仿宋_GBK" w:eastAsia="方正仿宋_GBK" w:cs="方正仿宋_GBK"/>
          <w:color w:val="000000"/>
          <w:sz w:val="28"/>
        </w:rPr>
        <w:t xml:space="preserve"> </w:t>
      </w:r>
      <w:bookmarkStart w:id="33" w:name="_Toc_4_4_0000000034"/>
      <w:r>
        <w:rPr>
          <w:rFonts w:ascii="方正仿宋_GBK" w:hAnsi="方正仿宋_GBK" w:eastAsia="方正仿宋_GBK" w:cs="方正仿宋_GBK"/>
          <w:color w:val="000000"/>
          <w:sz w:val="28"/>
        </w:rPr>
        <w:t>31.全省两新组织党务工作者示范培训来宁观摩活动资金绩效目标表</w:t>
      </w:r>
      <w:bookmarkEnd w:id="33"/>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w:t>
            </w:r>
            <w:r>
              <w:rPr>
                <w:rFonts w:hint="eastAsia"/>
                <w:lang w:val="en-US" w:eastAsia="zh-CN"/>
              </w:rPr>
              <w:t xml:space="preserve"> </w:t>
            </w:r>
            <w:r>
              <w:t>中国共产党宁晋县委员会组织部</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绩效目标</w:t>
            </w:r>
          </w:p>
        </w:tc>
        <w:tc>
          <w:tcPr>
            <w:tcW w:w="7962" w:type="dxa"/>
            <w:gridSpan w:val="2"/>
            <w:vAlign w:val="center"/>
          </w:tcPr>
          <w:p>
            <w:pPr>
              <w:pStyle w:val="19"/>
              <w:rPr>
                <w:rFonts w:hint="eastAsia" w:eastAsia="方正书宋_GBK"/>
                <w:lang w:val="en-US" w:eastAsia="zh-CN"/>
              </w:rPr>
            </w:pPr>
            <w:r>
              <w:t>1.保障观摩活动顺利召开</w:t>
            </w:r>
            <w:r>
              <w:rPr>
                <w:rFonts w:hint="eastAsia"/>
                <w:lang w:val="en-US" w:eastAsia="zh-CN"/>
              </w:rPr>
              <w:t>,</w:t>
            </w:r>
            <w:r>
              <w:t>保障全省两新党务工作者示范培训顺利进行</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召开会议数量</w:t>
            </w:r>
          </w:p>
        </w:tc>
        <w:tc>
          <w:tcPr>
            <w:tcW w:w="2654" w:type="dxa"/>
            <w:vAlign w:val="center"/>
          </w:tcPr>
          <w:p>
            <w:pPr>
              <w:pStyle w:val="19"/>
            </w:pPr>
            <w:r>
              <w:t>召开会议数量</w:t>
            </w:r>
          </w:p>
        </w:tc>
        <w:tc>
          <w:tcPr>
            <w:tcW w:w="1327" w:type="dxa"/>
            <w:vAlign w:val="center"/>
          </w:tcPr>
          <w:p>
            <w:pPr>
              <w:pStyle w:val="19"/>
            </w:pPr>
            <w:r>
              <w:t>≥1次</w:t>
            </w:r>
          </w:p>
        </w:tc>
        <w:tc>
          <w:tcPr>
            <w:tcW w:w="1327" w:type="dxa"/>
            <w:vAlign w:val="center"/>
          </w:tcPr>
          <w:p>
            <w:pPr>
              <w:pStyle w:val="19"/>
            </w:pPr>
            <w:r>
              <w:t>召开会议数量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专款专用率</w:t>
            </w:r>
          </w:p>
        </w:tc>
        <w:tc>
          <w:tcPr>
            <w:tcW w:w="2654" w:type="dxa"/>
            <w:vAlign w:val="center"/>
          </w:tcPr>
          <w:p>
            <w:pPr>
              <w:pStyle w:val="19"/>
            </w:pPr>
            <w:r>
              <w:t>全省两新党务工作者示范培训来宁观摩活动资金专用情况</w:t>
            </w:r>
          </w:p>
        </w:tc>
        <w:tc>
          <w:tcPr>
            <w:tcW w:w="1327" w:type="dxa"/>
            <w:vAlign w:val="center"/>
          </w:tcPr>
          <w:p>
            <w:pPr>
              <w:pStyle w:val="19"/>
            </w:pPr>
            <w:r>
              <w:t>≥95百分比</w:t>
            </w:r>
          </w:p>
        </w:tc>
        <w:tc>
          <w:tcPr>
            <w:tcW w:w="1327" w:type="dxa"/>
            <w:vAlign w:val="center"/>
          </w:tcPr>
          <w:p>
            <w:pPr>
              <w:pStyle w:val="19"/>
            </w:pPr>
            <w:r>
              <w:t>全市“党员之家”（发展壮大农村集体经济）现场会费用专用情况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任务完成时间</w:t>
            </w:r>
          </w:p>
        </w:tc>
        <w:tc>
          <w:tcPr>
            <w:tcW w:w="2654" w:type="dxa"/>
            <w:vAlign w:val="center"/>
          </w:tcPr>
          <w:p>
            <w:pPr>
              <w:pStyle w:val="19"/>
            </w:pPr>
            <w:r>
              <w:t>项目实施完成</w:t>
            </w:r>
          </w:p>
          <w:p>
            <w:pPr>
              <w:pStyle w:val="19"/>
            </w:pPr>
          </w:p>
        </w:tc>
        <w:tc>
          <w:tcPr>
            <w:tcW w:w="1327" w:type="dxa"/>
            <w:vAlign w:val="center"/>
          </w:tcPr>
          <w:p>
            <w:pPr>
              <w:pStyle w:val="19"/>
            </w:pPr>
            <w:r>
              <w:t>≥95百分比</w:t>
            </w:r>
          </w:p>
        </w:tc>
        <w:tc>
          <w:tcPr>
            <w:tcW w:w="1327" w:type="dxa"/>
            <w:vAlign w:val="center"/>
          </w:tcPr>
          <w:p>
            <w:pPr>
              <w:pStyle w:val="19"/>
            </w:pPr>
            <w:r>
              <w:t>项目实施完成</w:t>
            </w:r>
          </w:p>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按会议标准</w:t>
            </w:r>
          </w:p>
        </w:tc>
        <w:tc>
          <w:tcPr>
            <w:tcW w:w="2654" w:type="dxa"/>
            <w:vAlign w:val="center"/>
          </w:tcPr>
          <w:p>
            <w:pPr>
              <w:pStyle w:val="19"/>
            </w:pPr>
            <w:r>
              <w:t>召开全省两新党务工作者示范培训来宁观摩活动成本控制率</w:t>
            </w:r>
          </w:p>
        </w:tc>
        <w:tc>
          <w:tcPr>
            <w:tcW w:w="1327" w:type="dxa"/>
            <w:vAlign w:val="center"/>
          </w:tcPr>
          <w:p>
            <w:pPr>
              <w:pStyle w:val="19"/>
            </w:pPr>
            <w:r>
              <w:t>≥95百分比</w:t>
            </w:r>
          </w:p>
        </w:tc>
        <w:tc>
          <w:tcPr>
            <w:tcW w:w="1327" w:type="dxa"/>
            <w:vAlign w:val="center"/>
          </w:tcPr>
          <w:p>
            <w:pPr>
              <w:pStyle w:val="19"/>
            </w:pPr>
            <w:r>
              <w:t>召开全市“党员之家”（发展壮大农村集体经济）现场会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经济效益指标</w:t>
            </w:r>
          </w:p>
        </w:tc>
        <w:tc>
          <w:tcPr>
            <w:tcW w:w="1327" w:type="dxa"/>
            <w:vAlign w:val="center"/>
          </w:tcPr>
          <w:p>
            <w:pPr>
              <w:pStyle w:val="19"/>
            </w:pPr>
            <w:r>
              <w:t>经济效益增长率</w:t>
            </w:r>
          </w:p>
        </w:tc>
        <w:tc>
          <w:tcPr>
            <w:tcW w:w="2654" w:type="dxa"/>
            <w:vAlign w:val="center"/>
          </w:tcPr>
          <w:p>
            <w:pPr>
              <w:pStyle w:val="19"/>
            </w:pPr>
            <w:r>
              <w:t>经济效益增长率</w:t>
            </w:r>
          </w:p>
        </w:tc>
        <w:tc>
          <w:tcPr>
            <w:tcW w:w="1327" w:type="dxa"/>
            <w:vAlign w:val="center"/>
          </w:tcPr>
          <w:p>
            <w:pPr>
              <w:pStyle w:val="19"/>
            </w:pPr>
            <w:r>
              <w:t>≥95百分比</w:t>
            </w:r>
          </w:p>
        </w:tc>
        <w:tc>
          <w:tcPr>
            <w:tcW w:w="1327" w:type="dxa"/>
            <w:vAlign w:val="center"/>
          </w:tcPr>
          <w:p>
            <w:pPr>
              <w:pStyle w:val="19"/>
            </w:pPr>
            <w:r>
              <w:t>经济效益增长率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社会效益增长率</w:t>
            </w:r>
          </w:p>
        </w:tc>
        <w:tc>
          <w:tcPr>
            <w:tcW w:w="2654" w:type="dxa"/>
            <w:vAlign w:val="center"/>
          </w:tcPr>
          <w:p>
            <w:pPr>
              <w:pStyle w:val="19"/>
            </w:pPr>
            <w:r>
              <w:t>社会效益增长率</w:t>
            </w:r>
          </w:p>
        </w:tc>
        <w:tc>
          <w:tcPr>
            <w:tcW w:w="1327" w:type="dxa"/>
            <w:vAlign w:val="center"/>
          </w:tcPr>
          <w:p>
            <w:pPr>
              <w:pStyle w:val="19"/>
            </w:pPr>
            <w:r>
              <w:t>≥95百分比</w:t>
            </w:r>
          </w:p>
        </w:tc>
        <w:tc>
          <w:tcPr>
            <w:tcW w:w="1327" w:type="dxa"/>
            <w:vAlign w:val="center"/>
          </w:tcPr>
          <w:p>
            <w:pPr>
              <w:pStyle w:val="19"/>
            </w:pPr>
            <w:r>
              <w:t>社会效益增长率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生态效益增长率</w:t>
            </w:r>
          </w:p>
        </w:tc>
        <w:tc>
          <w:tcPr>
            <w:tcW w:w="2654" w:type="dxa"/>
            <w:vAlign w:val="center"/>
          </w:tcPr>
          <w:p>
            <w:pPr>
              <w:pStyle w:val="19"/>
            </w:pPr>
            <w:r>
              <w:t>生态效益增长率</w:t>
            </w:r>
          </w:p>
        </w:tc>
        <w:tc>
          <w:tcPr>
            <w:tcW w:w="1327" w:type="dxa"/>
            <w:vAlign w:val="center"/>
          </w:tcPr>
          <w:p>
            <w:pPr>
              <w:pStyle w:val="19"/>
            </w:pPr>
            <w:r>
              <w:t>≥95百分比</w:t>
            </w:r>
          </w:p>
        </w:tc>
        <w:tc>
          <w:tcPr>
            <w:tcW w:w="1327" w:type="dxa"/>
            <w:vAlign w:val="center"/>
          </w:tcPr>
          <w:p>
            <w:pPr>
              <w:pStyle w:val="19"/>
            </w:pPr>
            <w:r>
              <w:t>生态效益增长率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可持续影响指标</w:t>
            </w:r>
          </w:p>
        </w:tc>
        <w:tc>
          <w:tcPr>
            <w:tcW w:w="1327" w:type="dxa"/>
            <w:vAlign w:val="center"/>
          </w:tcPr>
          <w:p>
            <w:pPr>
              <w:pStyle w:val="19"/>
            </w:pPr>
            <w:r>
              <w:t>社会影响力</w:t>
            </w:r>
          </w:p>
        </w:tc>
        <w:tc>
          <w:tcPr>
            <w:tcW w:w="2654" w:type="dxa"/>
            <w:vAlign w:val="center"/>
          </w:tcPr>
          <w:p>
            <w:pPr>
              <w:pStyle w:val="19"/>
            </w:pPr>
            <w:r>
              <w:t>社会影响力</w:t>
            </w:r>
          </w:p>
        </w:tc>
        <w:tc>
          <w:tcPr>
            <w:tcW w:w="1327" w:type="dxa"/>
            <w:vAlign w:val="center"/>
          </w:tcPr>
          <w:p>
            <w:pPr>
              <w:pStyle w:val="19"/>
            </w:pPr>
            <w:r>
              <w:t>≥95百分比</w:t>
            </w:r>
          </w:p>
        </w:tc>
        <w:tc>
          <w:tcPr>
            <w:tcW w:w="1327" w:type="dxa"/>
            <w:vAlign w:val="center"/>
          </w:tcPr>
          <w:p>
            <w:pPr>
              <w:pStyle w:val="19"/>
            </w:pPr>
            <w: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群众满意度</w:t>
            </w:r>
          </w:p>
        </w:tc>
        <w:tc>
          <w:tcPr>
            <w:tcW w:w="2654" w:type="dxa"/>
            <w:vAlign w:val="center"/>
          </w:tcPr>
          <w:p>
            <w:pPr>
              <w:pStyle w:val="19"/>
            </w:pPr>
            <w:r>
              <w:t>参会人员满意度</w:t>
            </w:r>
          </w:p>
        </w:tc>
        <w:tc>
          <w:tcPr>
            <w:tcW w:w="1327" w:type="dxa"/>
            <w:vAlign w:val="center"/>
          </w:tcPr>
          <w:p>
            <w:pPr>
              <w:pStyle w:val="19"/>
            </w:pPr>
            <w:r>
              <w:t>≥95百分比</w:t>
            </w:r>
          </w:p>
        </w:tc>
        <w:tc>
          <w:tcPr>
            <w:tcW w:w="1327" w:type="dxa"/>
            <w:vAlign w:val="center"/>
          </w:tcPr>
          <w:p>
            <w:pPr>
              <w:pStyle w:val="19"/>
            </w:pPr>
            <w:r>
              <w:t>参会人员满意度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bookmarkStart w:id="34" w:name="_Toc_4_4_0000000035"/>
      <w:r>
        <w:rPr>
          <w:rFonts w:ascii="方正仿宋_GBK" w:hAnsi="方正仿宋_GBK" w:eastAsia="方正仿宋_GBK" w:cs="方正仿宋_GBK"/>
          <w:color w:val="000000"/>
          <w:sz w:val="28"/>
        </w:rPr>
        <w:t>32.省委组织部赴宁开展调研督导全面排查整顿农村发展党员违规违纪问题活动经费绩效目标表</w:t>
      </w:r>
      <w:bookmarkEnd w:id="34"/>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w:t>
            </w:r>
            <w:r>
              <w:rPr>
                <w:rFonts w:hint="eastAsia"/>
                <w:lang w:val="en-US" w:eastAsia="zh-CN"/>
              </w:rPr>
              <w:t xml:space="preserve"> </w:t>
            </w:r>
            <w:r>
              <w:t>中国共产党宁晋县委员会组织部</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绩效目标</w:t>
            </w:r>
          </w:p>
        </w:tc>
        <w:tc>
          <w:tcPr>
            <w:tcW w:w="7962" w:type="dxa"/>
            <w:gridSpan w:val="2"/>
            <w:vAlign w:val="center"/>
          </w:tcPr>
          <w:p>
            <w:pPr>
              <w:pStyle w:val="19"/>
              <w:rPr>
                <w:rFonts w:hint="eastAsia" w:eastAsia="方正书宋_GBK"/>
                <w:lang w:val="en-US" w:eastAsia="zh-CN"/>
              </w:rPr>
            </w:pPr>
            <w:r>
              <w:t>1.保障调研活动顺利召开</w:t>
            </w:r>
            <w:r>
              <w:rPr>
                <w:rFonts w:hint="eastAsia"/>
                <w:lang w:val="en-US" w:eastAsia="zh-CN"/>
              </w:rPr>
              <w:t>、</w:t>
            </w:r>
            <w:r>
              <w:t>及时支付省委组织部赴宁开展调研督导全面排查整顿农村发展党员违规违纪问题活动经费</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召开会议数量</w:t>
            </w:r>
          </w:p>
        </w:tc>
        <w:tc>
          <w:tcPr>
            <w:tcW w:w="2654" w:type="dxa"/>
            <w:vAlign w:val="center"/>
          </w:tcPr>
          <w:p>
            <w:pPr>
              <w:pStyle w:val="19"/>
            </w:pPr>
            <w:r>
              <w:t>召开会议数量</w:t>
            </w:r>
          </w:p>
        </w:tc>
        <w:tc>
          <w:tcPr>
            <w:tcW w:w="1327" w:type="dxa"/>
            <w:vAlign w:val="center"/>
          </w:tcPr>
          <w:p>
            <w:pPr>
              <w:pStyle w:val="19"/>
            </w:pPr>
            <w:r>
              <w:t>≥1次</w:t>
            </w:r>
          </w:p>
        </w:tc>
        <w:tc>
          <w:tcPr>
            <w:tcW w:w="1327" w:type="dxa"/>
            <w:vAlign w:val="center"/>
          </w:tcPr>
          <w:p>
            <w:pPr>
              <w:pStyle w:val="19"/>
            </w:pPr>
            <w:r>
              <w:t>召开会议数量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专款专用率</w:t>
            </w:r>
          </w:p>
        </w:tc>
        <w:tc>
          <w:tcPr>
            <w:tcW w:w="2654" w:type="dxa"/>
            <w:vAlign w:val="center"/>
          </w:tcPr>
          <w:p>
            <w:pPr>
              <w:pStyle w:val="19"/>
            </w:pPr>
            <w:r>
              <w:t>省委组织部调研费用专用情况</w:t>
            </w:r>
          </w:p>
        </w:tc>
        <w:tc>
          <w:tcPr>
            <w:tcW w:w="1327" w:type="dxa"/>
            <w:vAlign w:val="center"/>
          </w:tcPr>
          <w:p>
            <w:pPr>
              <w:pStyle w:val="19"/>
            </w:pPr>
            <w:r>
              <w:t>≥95百分比</w:t>
            </w:r>
          </w:p>
        </w:tc>
        <w:tc>
          <w:tcPr>
            <w:tcW w:w="1327" w:type="dxa"/>
            <w:vAlign w:val="center"/>
          </w:tcPr>
          <w:p>
            <w:pPr>
              <w:pStyle w:val="19"/>
            </w:pPr>
            <w:r>
              <w:t>省委组织部调研费用专用情况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任务完成时间</w:t>
            </w:r>
          </w:p>
        </w:tc>
        <w:tc>
          <w:tcPr>
            <w:tcW w:w="2654" w:type="dxa"/>
            <w:vAlign w:val="center"/>
          </w:tcPr>
          <w:p>
            <w:pPr>
              <w:pStyle w:val="19"/>
            </w:pPr>
            <w:r>
              <w:t>项目实施完成</w:t>
            </w:r>
          </w:p>
          <w:p>
            <w:pPr>
              <w:pStyle w:val="19"/>
            </w:pPr>
          </w:p>
        </w:tc>
        <w:tc>
          <w:tcPr>
            <w:tcW w:w="1327" w:type="dxa"/>
            <w:vAlign w:val="center"/>
          </w:tcPr>
          <w:p>
            <w:pPr>
              <w:pStyle w:val="19"/>
            </w:pPr>
            <w:r>
              <w:t>≥95百分比</w:t>
            </w:r>
          </w:p>
        </w:tc>
        <w:tc>
          <w:tcPr>
            <w:tcW w:w="1327" w:type="dxa"/>
            <w:vAlign w:val="center"/>
          </w:tcPr>
          <w:p>
            <w:pPr>
              <w:pStyle w:val="19"/>
            </w:pPr>
            <w:r>
              <w:t>项目实施完成</w:t>
            </w:r>
          </w:p>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按会议标准</w:t>
            </w:r>
          </w:p>
        </w:tc>
        <w:tc>
          <w:tcPr>
            <w:tcW w:w="2654" w:type="dxa"/>
            <w:vAlign w:val="center"/>
          </w:tcPr>
          <w:p>
            <w:pPr>
              <w:pStyle w:val="19"/>
            </w:pPr>
            <w:r>
              <w:t>省委组织部调研活动成本控制情况</w:t>
            </w:r>
          </w:p>
        </w:tc>
        <w:tc>
          <w:tcPr>
            <w:tcW w:w="1327" w:type="dxa"/>
            <w:vAlign w:val="center"/>
          </w:tcPr>
          <w:p>
            <w:pPr>
              <w:pStyle w:val="19"/>
            </w:pPr>
            <w:r>
              <w:t>≥95百分比</w:t>
            </w:r>
          </w:p>
        </w:tc>
        <w:tc>
          <w:tcPr>
            <w:tcW w:w="1327" w:type="dxa"/>
            <w:vAlign w:val="center"/>
          </w:tcPr>
          <w:p>
            <w:pPr>
              <w:pStyle w:val="19"/>
            </w:pPr>
            <w:r>
              <w:t>省委组织部调研活动成本控制情况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经济效益指标</w:t>
            </w:r>
          </w:p>
        </w:tc>
        <w:tc>
          <w:tcPr>
            <w:tcW w:w="1327" w:type="dxa"/>
            <w:vAlign w:val="center"/>
          </w:tcPr>
          <w:p>
            <w:pPr>
              <w:pStyle w:val="19"/>
            </w:pPr>
            <w:r>
              <w:t>经济效益增长率</w:t>
            </w:r>
          </w:p>
        </w:tc>
        <w:tc>
          <w:tcPr>
            <w:tcW w:w="2654" w:type="dxa"/>
            <w:vAlign w:val="center"/>
          </w:tcPr>
          <w:p>
            <w:pPr>
              <w:pStyle w:val="19"/>
            </w:pPr>
            <w:r>
              <w:t>经济效益增长率</w:t>
            </w:r>
          </w:p>
        </w:tc>
        <w:tc>
          <w:tcPr>
            <w:tcW w:w="1327" w:type="dxa"/>
            <w:vAlign w:val="center"/>
          </w:tcPr>
          <w:p>
            <w:pPr>
              <w:pStyle w:val="19"/>
            </w:pPr>
            <w:r>
              <w:t>≥95百分比</w:t>
            </w:r>
          </w:p>
        </w:tc>
        <w:tc>
          <w:tcPr>
            <w:tcW w:w="1327" w:type="dxa"/>
            <w:vAlign w:val="center"/>
          </w:tcPr>
          <w:p>
            <w:pPr>
              <w:pStyle w:val="19"/>
            </w:pPr>
            <w:r>
              <w:t>经济效益增长率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社会效益增长率</w:t>
            </w:r>
          </w:p>
        </w:tc>
        <w:tc>
          <w:tcPr>
            <w:tcW w:w="2654" w:type="dxa"/>
            <w:vAlign w:val="center"/>
          </w:tcPr>
          <w:p>
            <w:pPr>
              <w:pStyle w:val="19"/>
            </w:pPr>
            <w:r>
              <w:t>社会效益增长率</w:t>
            </w:r>
          </w:p>
        </w:tc>
        <w:tc>
          <w:tcPr>
            <w:tcW w:w="1327" w:type="dxa"/>
            <w:vAlign w:val="center"/>
          </w:tcPr>
          <w:p>
            <w:pPr>
              <w:pStyle w:val="19"/>
            </w:pPr>
            <w:r>
              <w:t>≥95百分比</w:t>
            </w:r>
          </w:p>
        </w:tc>
        <w:tc>
          <w:tcPr>
            <w:tcW w:w="1327" w:type="dxa"/>
            <w:vAlign w:val="center"/>
          </w:tcPr>
          <w:p>
            <w:pPr>
              <w:pStyle w:val="19"/>
            </w:pPr>
            <w:r>
              <w:t>社会效益增长率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生态效益增长率</w:t>
            </w:r>
          </w:p>
        </w:tc>
        <w:tc>
          <w:tcPr>
            <w:tcW w:w="2654" w:type="dxa"/>
            <w:vAlign w:val="center"/>
          </w:tcPr>
          <w:p>
            <w:pPr>
              <w:pStyle w:val="19"/>
            </w:pPr>
            <w:r>
              <w:t>生态效益增长率</w:t>
            </w:r>
          </w:p>
        </w:tc>
        <w:tc>
          <w:tcPr>
            <w:tcW w:w="1327" w:type="dxa"/>
            <w:vAlign w:val="center"/>
          </w:tcPr>
          <w:p>
            <w:pPr>
              <w:pStyle w:val="19"/>
            </w:pPr>
            <w:r>
              <w:t>≥95百分比</w:t>
            </w:r>
          </w:p>
        </w:tc>
        <w:tc>
          <w:tcPr>
            <w:tcW w:w="1327" w:type="dxa"/>
            <w:vAlign w:val="center"/>
          </w:tcPr>
          <w:p>
            <w:pPr>
              <w:pStyle w:val="19"/>
            </w:pPr>
            <w:r>
              <w:t>生态效益增长率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可持续影响指标</w:t>
            </w:r>
          </w:p>
        </w:tc>
        <w:tc>
          <w:tcPr>
            <w:tcW w:w="1327" w:type="dxa"/>
            <w:vAlign w:val="center"/>
          </w:tcPr>
          <w:p>
            <w:pPr>
              <w:pStyle w:val="19"/>
            </w:pPr>
            <w:r>
              <w:t>社会影响力</w:t>
            </w:r>
          </w:p>
        </w:tc>
        <w:tc>
          <w:tcPr>
            <w:tcW w:w="2654" w:type="dxa"/>
            <w:vAlign w:val="center"/>
          </w:tcPr>
          <w:p>
            <w:pPr>
              <w:pStyle w:val="19"/>
            </w:pPr>
            <w:r>
              <w:t>社会影响力</w:t>
            </w:r>
          </w:p>
        </w:tc>
        <w:tc>
          <w:tcPr>
            <w:tcW w:w="1327" w:type="dxa"/>
            <w:vAlign w:val="center"/>
          </w:tcPr>
          <w:p>
            <w:pPr>
              <w:pStyle w:val="19"/>
            </w:pPr>
            <w:r>
              <w:t>≥95百分比</w:t>
            </w:r>
          </w:p>
        </w:tc>
        <w:tc>
          <w:tcPr>
            <w:tcW w:w="1327" w:type="dxa"/>
            <w:vAlign w:val="center"/>
          </w:tcPr>
          <w:p>
            <w:pPr>
              <w:pStyle w:val="19"/>
            </w:pPr>
            <w: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群众满意度</w:t>
            </w:r>
          </w:p>
        </w:tc>
        <w:tc>
          <w:tcPr>
            <w:tcW w:w="2654" w:type="dxa"/>
            <w:vAlign w:val="center"/>
          </w:tcPr>
          <w:p>
            <w:pPr>
              <w:pStyle w:val="19"/>
            </w:pPr>
            <w:r>
              <w:t>参会人员满意度</w:t>
            </w:r>
          </w:p>
        </w:tc>
        <w:tc>
          <w:tcPr>
            <w:tcW w:w="1327" w:type="dxa"/>
            <w:vAlign w:val="center"/>
          </w:tcPr>
          <w:p>
            <w:pPr>
              <w:pStyle w:val="19"/>
            </w:pPr>
            <w:r>
              <w:t>≥95百分比</w:t>
            </w:r>
          </w:p>
        </w:tc>
        <w:tc>
          <w:tcPr>
            <w:tcW w:w="1327" w:type="dxa"/>
            <w:vAlign w:val="center"/>
          </w:tcPr>
          <w:p>
            <w:pPr>
              <w:pStyle w:val="19"/>
            </w:pPr>
            <w:r>
              <w:t>参会人员满意度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bookmarkStart w:id="35" w:name="_Toc_4_4_0000000036"/>
      <w:r>
        <w:rPr>
          <w:rFonts w:ascii="方正仿宋_GBK" w:hAnsi="方正仿宋_GBK" w:eastAsia="方正仿宋_GBK" w:cs="方正仿宋_GBK"/>
          <w:color w:val="000000"/>
          <w:sz w:val="28"/>
        </w:rPr>
        <w:t>33.县重点工作大督查办公室办公经费绩效目标表</w:t>
      </w:r>
      <w:bookmarkEnd w:id="35"/>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w:t>
            </w:r>
            <w:r>
              <w:rPr>
                <w:rFonts w:hint="eastAsia"/>
                <w:lang w:val="en-US" w:eastAsia="zh-CN"/>
              </w:rPr>
              <w:t xml:space="preserve"> </w:t>
            </w:r>
            <w:r>
              <w:t>中国共产党宁晋县委员会组织部</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绩效目标</w:t>
            </w:r>
          </w:p>
        </w:tc>
        <w:tc>
          <w:tcPr>
            <w:tcW w:w="7962" w:type="dxa"/>
            <w:gridSpan w:val="2"/>
            <w:vAlign w:val="center"/>
          </w:tcPr>
          <w:p>
            <w:pPr>
              <w:pStyle w:val="19"/>
            </w:pPr>
            <w:r>
              <w:t>1.保障大督查日常办公</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对接联络数量</w:t>
            </w:r>
          </w:p>
        </w:tc>
        <w:tc>
          <w:tcPr>
            <w:tcW w:w="2654" w:type="dxa"/>
            <w:vAlign w:val="center"/>
          </w:tcPr>
          <w:p>
            <w:pPr>
              <w:pStyle w:val="19"/>
            </w:pPr>
            <w:r>
              <w:t>帮助市督查组与我县有关单位对接联络数量</w:t>
            </w:r>
          </w:p>
        </w:tc>
        <w:tc>
          <w:tcPr>
            <w:tcW w:w="1327" w:type="dxa"/>
            <w:vAlign w:val="center"/>
          </w:tcPr>
          <w:p>
            <w:pPr>
              <w:pStyle w:val="19"/>
            </w:pPr>
            <w:r>
              <w:t>≥10次</w:t>
            </w:r>
          </w:p>
        </w:tc>
        <w:tc>
          <w:tcPr>
            <w:tcW w:w="1327" w:type="dxa"/>
            <w:vAlign w:val="center"/>
          </w:tcPr>
          <w:p>
            <w:pPr>
              <w:pStyle w:val="19"/>
            </w:pPr>
            <w:r>
              <w:t>帮助市督查组与我县有关单位对接联络数量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专款专用率</w:t>
            </w:r>
          </w:p>
        </w:tc>
        <w:tc>
          <w:tcPr>
            <w:tcW w:w="2654" w:type="dxa"/>
            <w:vAlign w:val="center"/>
          </w:tcPr>
          <w:p>
            <w:pPr>
              <w:pStyle w:val="19"/>
            </w:pPr>
            <w:r>
              <w:t>县重点工作大督查办公室经费专款专用情况</w:t>
            </w:r>
          </w:p>
        </w:tc>
        <w:tc>
          <w:tcPr>
            <w:tcW w:w="1327" w:type="dxa"/>
            <w:vAlign w:val="center"/>
          </w:tcPr>
          <w:p>
            <w:pPr>
              <w:pStyle w:val="19"/>
            </w:pPr>
            <w:r>
              <w:t>≥90百分比</w:t>
            </w:r>
          </w:p>
        </w:tc>
        <w:tc>
          <w:tcPr>
            <w:tcW w:w="1327" w:type="dxa"/>
            <w:vAlign w:val="center"/>
          </w:tcPr>
          <w:p>
            <w:pPr>
              <w:pStyle w:val="19"/>
            </w:pPr>
            <w:r>
              <w:t>县重点工作大督查办公室经费专款专用情况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资金支出情况</w:t>
            </w:r>
          </w:p>
        </w:tc>
        <w:tc>
          <w:tcPr>
            <w:tcW w:w="2654" w:type="dxa"/>
            <w:vAlign w:val="center"/>
          </w:tcPr>
          <w:p>
            <w:pPr>
              <w:pStyle w:val="19"/>
            </w:pPr>
            <w:r>
              <w:t>按进度支出</w:t>
            </w:r>
          </w:p>
        </w:tc>
        <w:tc>
          <w:tcPr>
            <w:tcW w:w="1327" w:type="dxa"/>
            <w:vAlign w:val="center"/>
          </w:tcPr>
          <w:p>
            <w:pPr>
              <w:pStyle w:val="19"/>
            </w:pPr>
            <w:r>
              <w:t>≥90百分比</w:t>
            </w:r>
          </w:p>
        </w:tc>
        <w:tc>
          <w:tcPr>
            <w:tcW w:w="1327" w:type="dxa"/>
            <w:vAlign w:val="center"/>
          </w:tcPr>
          <w:p>
            <w:pPr>
              <w:pStyle w:val="19"/>
            </w:pPr>
            <w:r>
              <w:t>按进度支出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预算执行</w:t>
            </w:r>
          </w:p>
        </w:tc>
        <w:tc>
          <w:tcPr>
            <w:tcW w:w="2654" w:type="dxa"/>
            <w:vAlign w:val="center"/>
          </w:tcPr>
          <w:p>
            <w:pPr>
              <w:pStyle w:val="19"/>
            </w:pPr>
            <w:r>
              <w:t>完成年度预算资金安排</w:t>
            </w:r>
          </w:p>
        </w:tc>
        <w:tc>
          <w:tcPr>
            <w:tcW w:w="1327" w:type="dxa"/>
            <w:vAlign w:val="center"/>
          </w:tcPr>
          <w:p>
            <w:pPr>
              <w:pStyle w:val="19"/>
            </w:pPr>
            <w:r>
              <w:t>≥90百分比</w:t>
            </w:r>
          </w:p>
        </w:tc>
        <w:tc>
          <w:tcPr>
            <w:tcW w:w="1327" w:type="dxa"/>
            <w:vAlign w:val="center"/>
          </w:tcPr>
          <w:p>
            <w:pPr>
              <w:pStyle w:val="19"/>
            </w:pPr>
            <w:r>
              <w:t>完成年度预算资金安排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可持续影响指标</w:t>
            </w:r>
          </w:p>
        </w:tc>
        <w:tc>
          <w:tcPr>
            <w:tcW w:w="1327" w:type="dxa"/>
            <w:vAlign w:val="center"/>
          </w:tcPr>
          <w:p>
            <w:pPr>
              <w:pStyle w:val="19"/>
            </w:pPr>
            <w:r>
              <w:t>工作水平</w:t>
            </w:r>
          </w:p>
        </w:tc>
        <w:tc>
          <w:tcPr>
            <w:tcW w:w="2654" w:type="dxa"/>
            <w:vAlign w:val="center"/>
          </w:tcPr>
          <w:p>
            <w:pPr>
              <w:pStyle w:val="19"/>
            </w:pPr>
            <w:r>
              <w:t>升我县大督查工作水平</w:t>
            </w:r>
          </w:p>
        </w:tc>
        <w:tc>
          <w:tcPr>
            <w:tcW w:w="1327" w:type="dxa"/>
            <w:vAlign w:val="center"/>
          </w:tcPr>
          <w:p>
            <w:pPr>
              <w:pStyle w:val="19"/>
            </w:pPr>
            <w:r>
              <w:t>≥90百分比</w:t>
            </w:r>
          </w:p>
        </w:tc>
        <w:tc>
          <w:tcPr>
            <w:tcW w:w="1327" w:type="dxa"/>
            <w:vAlign w:val="center"/>
          </w:tcPr>
          <w:p>
            <w:pPr>
              <w:pStyle w:val="19"/>
            </w:pPr>
            <w:r>
              <w:t>升我县大督查工作水平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经济效益指标</w:t>
            </w:r>
          </w:p>
        </w:tc>
        <w:tc>
          <w:tcPr>
            <w:tcW w:w="1327" w:type="dxa"/>
            <w:vAlign w:val="center"/>
          </w:tcPr>
          <w:p>
            <w:pPr>
              <w:pStyle w:val="19"/>
            </w:pPr>
            <w:r>
              <w:t>综合利用率</w:t>
            </w:r>
          </w:p>
        </w:tc>
        <w:tc>
          <w:tcPr>
            <w:tcW w:w="2654" w:type="dxa"/>
            <w:vAlign w:val="center"/>
          </w:tcPr>
          <w:p>
            <w:pPr>
              <w:pStyle w:val="19"/>
            </w:pPr>
            <w:r>
              <w:t>县重点工作大督查办公室经费使用情况</w:t>
            </w:r>
          </w:p>
        </w:tc>
        <w:tc>
          <w:tcPr>
            <w:tcW w:w="1327" w:type="dxa"/>
            <w:vAlign w:val="center"/>
          </w:tcPr>
          <w:p>
            <w:pPr>
              <w:pStyle w:val="19"/>
            </w:pPr>
            <w:r>
              <w:t>≥90百分比</w:t>
            </w:r>
          </w:p>
        </w:tc>
        <w:tc>
          <w:tcPr>
            <w:tcW w:w="1327" w:type="dxa"/>
            <w:vAlign w:val="center"/>
          </w:tcPr>
          <w:p>
            <w:pPr>
              <w:pStyle w:val="19"/>
            </w:pPr>
            <w:r>
              <w:t>县重点工作大督查办公室经费使用情况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督促相关单位工作落实数量</w:t>
            </w:r>
          </w:p>
        </w:tc>
        <w:tc>
          <w:tcPr>
            <w:tcW w:w="2654" w:type="dxa"/>
            <w:vAlign w:val="center"/>
          </w:tcPr>
          <w:p>
            <w:pPr>
              <w:pStyle w:val="19"/>
            </w:pPr>
            <w:r>
              <w:t>督促相关单位工作落实数量</w:t>
            </w:r>
          </w:p>
        </w:tc>
        <w:tc>
          <w:tcPr>
            <w:tcW w:w="1327" w:type="dxa"/>
            <w:vAlign w:val="center"/>
          </w:tcPr>
          <w:p>
            <w:pPr>
              <w:pStyle w:val="19"/>
            </w:pPr>
            <w:r>
              <w:t>≥10次</w:t>
            </w:r>
          </w:p>
        </w:tc>
        <w:tc>
          <w:tcPr>
            <w:tcW w:w="1327" w:type="dxa"/>
            <w:vAlign w:val="center"/>
          </w:tcPr>
          <w:p>
            <w:pPr>
              <w:pStyle w:val="19"/>
            </w:pPr>
            <w:r>
              <w:t>督促相关单位工作落实数量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生态效益指标</w:t>
            </w:r>
          </w:p>
        </w:tc>
        <w:tc>
          <w:tcPr>
            <w:tcW w:w="2654" w:type="dxa"/>
            <w:vAlign w:val="center"/>
          </w:tcPr>
          <w:p>
            <w:pPr>
              <w:pStyle w:val="19"/>
            </w:pPr>
            <w:r>
              <w:t>生态效益指标</w:t>
            </w:r>
          </w:p>
        </w:tc>
        <w:tc>
          <w:tcPr>
            <w:tcW w:w="1327" w:type="dxa"/>
            <w:vAlign w:val="center"/>
          </w:tcPr>
          <w:p>
            <w:pPr>
              <w:pStyle w:val="19"/>
            </w:pPr>
            <w:r>
              <w:t>≥90百分比</w:t>
            </w:r>
          </w:p>
        </w:tc>
        <w:tc>
          <w:tcPr>
            <w:tcW w:w="1327" w:type="dxa"/>
            <w:vAlign w:val="center"/>
          </w:tcPr>
          <w:p>
            <w:pPr>
              <w:pStyle w:val="19"/>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服务对象满意度</w:t>
            </w:r>
          </w:p>
        </w:tc>
        <w:tc>
          <w:tcPr>
            <w:tcW w:w="2654" w:type="dxa"/>
            <w:vAlign w:val="center"/>
          </w:tcPr>
          <w:p>
            <w:pPr>
              <w:pStyle w:val="19"/>
            </w:pPr>
            <w:r>
              <w:t>市大督查组及我县相关部门的满意程度</w:t>
            </w:r>
          </w:p>
        </w:tc>
        <w:tc>
          <w:tcPr>
            <w:tcW w:w="1327" w:type="dxa"/>
            <w:vAlign w:val="center"/>
          </w:tcPr>
          <w:p>
            <w:pPr>
              <w:pStyle w:val="19"/>
            </w:pPr>
            <w:r>
              <w:t>≥90百分比</w:t>
            </w:r>
          </w:p>
        </w:tc>
        <w:tc>
          <w:tcPr>
            <w:tcW w:w="1327" w:type="dxa"/>
            <w:vAlign w:val="center"/>
          </w:tcPr>
          <w:p>
            <w:pPr>
              <w:pStyle w:val="19"/>
            </w:pPr>
            <w:r>
              <w:t>市大督查组及我县相关部门的满意程度</w:t>
            </w:r>
          </w:p>
        </w:tc>
      </w:tr>
    </w:tbl>
    <w:p>
      <w:pPr>
        <w:keepNext w:val="0"/>
        <w:keepLines w:val="0"/>
        <w:pageBreakBefore w:val="0"/>
        <w:widowControl/>
        <w:suppressLineNumbers w:val="0"/>
        <w:kinsoku/>
        <w:wordWrap/>
        <w:overflowPunct/>
        <w:topLinePunct w:val="0"/>
        <w:autoSpaceDE/>
        <w:autoSpaceDN/>
        <w:bidi w:val="0"/>
        <w:adjustRightInd/>
        <w:snapToGrid/>
        <w:spacing w:line="600" w:lineRule="exact"/>
        <w:jc w:val="center"/>
        <w:textAlignment w:val="center"/>
        <w:rPr>
          <w:rFonts w:hint="eastAsia" w:ascii="宋体" w:hAnsi="宋体" w:eastAsia="宋体" w:cs="宋体"/>
          <w:b/>
          <w:i w:val="0"/>
          <w:color w:val="000000"/>
          <w:kern w:val="0"/>
          <w:sz w:val="43"/>
          <w:szCs w:val="43"/>
          <w:u w:val="none"/>
          <w:lang w:val="en-US" w:eastAsia="zh-CN" w:bidi="ar"/>
        </w:rPr>
      </w:pPr>
      <w:r>
        <w:rPr>
          <w:rFonts w:hint="eastAsia" w:ascii="宋体" w:hAnsi="宋体" w:eastAsia="宋体" w:cs="宋体"/>
          <w:b/>
          <w:i w:val="0"/>
          <w:color w:val="000000"/>
          <w:kern w:val="0"/>
          <w:sz w:val="43"/>
          <w:szCs w:val="43"/>
          <w:u w:val="none"/>
          <w:lang w:val="en-US" w:eastAsia="zh-CN" w:bidi="ar"/>
        </w:rPr>
        <w:br w:type="page"/>
      </w:r>
    </w:p>
    <w:p>
      <w:pPr>
        <w:pStyle w:val="2"/>
        <w:rPr>
          <w:rFonts w:hint="eastAsia"/>
          <w:lang w:val="en-US" w:eastAsia="zh-CN"/>
        </w:rPr>
        <w:sectPr>
          <w:pgSz w:w="11906" w:h="16838"/>
          <w:pgMar w:top="1588" w:right="1588" w:bottom="2155" w:left="1531" w:header="0" w:footer="1588" w:gutter="0"/>
          <w:pgBorders>
            <w:top w:val="none" w:sz="0" w:space="0"/>
            <w:left w:val="none" w:sz="0" w:space="0"/>
            <w:bottom w:val="none" w:sz="0" w:space="0"/>
            <w:right w:val="none" w:sz="0" w:space="0"/>
          </w:pgBorders>
          <w:cols w:space="720" w:num="1"/>
          <w:docGrid w:type="lines" w:linePitch="569" w:charSpace="-1266"/>
        </w:sectPr>
      </w:pPr>
    </w:p>
    <w:tbl>
      <w:tblPr>
        <w:tblStyle w:val="10"/>
        <w:tblW w:w="13034" w:type="dxa"/>
        <w:tblInd w:w="89" w:type="dxa"/>
        <w:shd w:val="clear" w:color="auto" w:fill="auto"/>
        <w:tblLayout w:type="fixed"/>
        <w:tblCellMar>
          <w:top w:w="0" w:type="dxa"/>
          <w:left w:w="0" w:type="dxa"/>
          <w:bottom w:w="0" w:type="dxa"/>
          <w:right w:w="0" w:type="dxa"/>
        </w:tblCellMar>
      </w:tblPr>
      <w:tblGrid>
        <w:gridCol w:w="870"/>
        <w:gridCol w:w="1125"/>
        <w:gridCol w:w="1770"/>
        <w:gridCol w:w="1665"/>
        <w:gridCol w:w="1575"/>
        <w:gridCol w:w="1950"/>
        <w:gridCol w:w="450"/>
        <w:gridCol w:w="630"/>
        <w:gridCol w:w="1200"/>
        <w:gridCol w:w="1799"/>
      </w:tblGrid>
      <w:tr>
        <w:tblPrEx>
          <w:shd w:val="clear" w:color="auto" w:fill="auto"/>
          <w:tblCellMar>
            <w:top w:w="0" w:type="dxa"/>
            <w:left w:w="0" w:type="dxa"/>
            <w:bottom w:w="0" w:type="dxa"/>
            <w:right w:w="0" w:type="dxa"/>
          </w:tblCellMar>
        </w:tblPrEx>
        <w:trPr>
          <w:trHeight w:val="600" w:hRule="atLeast"/>
        </w:trPr>
        <w:tc>
          <w:tcPr>
            <w:tcW w:w="13034" w:type="dxa"/>
            <w:gridSpan w:val="10"/>
            <w:tcBorders>
              <w:top w:val="nil"/>
              <w:left w:val="nil"/>
              <w:bottom w:val="single" w:color="auto" w:sz="4" w:space="0"/>
              <w:right w:val="nil"/>
            </w:tcBorders>
            <w:shd w:val="clear" w:color="auto" w:fill="D3DCE9"/>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center"/>
              <w:textAlignment w:val="center"/>
              <w:rPr>
                <w:rFonts w:hint="eastAsia" w:ascii="宋体" w:hAnsi="宋体" w:eastAsia="宋体" w:cs="宋体"/>
                <w:b/>
                <w:i w:val="0"/>
                <w:color w:val="000000"/>
                <w:sz w:val="43"/>
                <w:szCs w:val="43"/>
                <w:u w:val="none"/>
              </w:rPr>
            </w:pPr>
            <w:r>
              <w:rPr>
                <w:rFonts w:hint="eastAsia" w:ascii="宋体" w:hAnsi="宋体" w:eastAsia="宋体" w:cs="宋体"/>
                <w:b/>
                <w:i w:val="0"/>
                <w:color w:val="000000"/>
                <w:kern w:val="0"/>
                <w:sz w:val="43"/>
                <w:szCs w:val="43"/>
                <w:u w:val="none"/>
                <w:lang w:val="en-US" w:eastAsia="zh-CN" w:bidi="ar"/>
              </w:rPr>
              <w:t>五、部门整体支出绩效指标情况</w:t>
            </w:r>
          </w:p>
        </w:tc>
      </w:tr>
      <w:tr>
        <w:tblPrEx>
          <w:shd w:val="clear" w:color="auto" w:fill="auto"/>
          <w:tblCellMar>
            <w:top w:w="0" w:type="dxa"/>
            <w:left w:w="0" w:type="dxa"/>
            <w:bottom w:w="0" w:type="dxa"/>
            <w:right w:w="0" w:type="dxa"/>
          </w:tblCellMar>
        </w:tblPrEx>
        <w:trPr>
          <w:trHeight w:val="375" w:hRule="atLeast"/>
        </w:trPr>
        <w:tc>
          <w:tcPr>
            <w:tcW w:w="8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2.00</w:t>
            </w:r>
          </w:p>
        </w:tc>
        <w:tc>
          <w:tcPr>
            <w:tcW w:w="1125"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1770"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1665"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1575"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w:t>
            </w:r>
          </w:p>
        </w:tc>
        <w:tc>
          <w:tcPr>
            <w:tcW w:w="1950"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2280"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1799"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指标值确定依据</w:t>
            </w:r>
          </w:p>
        </w:tc>
      </w:tr>
      <w:tr>
        <w:tblPrEx>
          <w:shd w:val="clear" w:color="auto" w:fill="auto"/>
          <w:tblCellMar>
            <w:top w:w="0" w:type="dxa"/>
            <w:left w:w="0" w:type="dxa"/>
            <w:bottom w:w="0" w:type="dxa"/>
            <w:right w:w="0" w:type="dxa"/>
          </w:tblCellMar>
        </w:tblPrEx>
        <w:trPr>
          <w:trHeight w:val="375" w:hRule="atLeast"/>
        </w:trPr>
        <w:tc>
          <w:tcPr>
            <w:tcW w:w="8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3.00</w:t>
            </w:r>
          </w:p>
        </w:tc>
        <w:tc>
          <w:tcPr>
            <w:tcW w:w="1125"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rPr>
                <w:rFonts w:hint="eastAsia" w:ascii="宋体" w:hAnsi="宋体" w:eastAsia="宋体" w:cs="宋体"/>
                <w:b/>
                <w:i w:val="0"/>
                <w:color w:val="000000"/>
                <w:sz w:val="18"/>
                <w:szCs w:val="18"/>
                <w:u w:val="none"/>
              </w:rPr>
            </w:pPr>
          </w:p>
        </w:tc>
        <w:tc>
          <w:tcPr>
            <w:tcW w:w="1770"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rPr>
                <w:rFonts w:hint="eastAsia" w:ascii="宋体" w:hAnsi="宋体" w:eastAsia="宋体" w:cs="宋体"/>
                <w:b/>
                <w:i w:val="0"/>
                <w:color w:val="000000"/>
                <w:sz w:val="18"/>
                <w:szCs w:val="18"/>
                <w:u w:val="none"/>
              </w:rPr>
            </w:pPr>
          </w:p>
        </w:tc>
        <w:tc>
          <w:tcPr>
            <w:tcW w:w="1665"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rPr>
                <w:rFonts w:hint="eastAsia" w:ascii="宋体" w:hAnsi="宋体" w:eastAsia="宋体" w:cs="宋体"/>
                <w:b/>
                <w:i w:val="0"/>
                <w:color w:val="000000"/>
                <w:sz w:val="18"/>
                <w:szCs w:val="18"/>
                <w:u w:val="none"/>
              </w:rPr>
            </w:pPr>
          </w:p>
        </w:tc>
        <w:tc>
          <w:tcPr>
            <w:tcW w:w="1575"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rPr>
                <w:rFonts w:hint="eastAsia" w:ascii="宋体" w:hAnsi="宋体" w:eastAsia="宋体" w:cs="宋体"/>
                <w:b/>
                <w:i w:val="0"/>
                <w:color w:val="000000"/>
                <w:sz w:val="18"/>
                <w:szCs w:val="18"/>
                <w:u w:val="none"/>
              </w:rPr>
            </w:pPr>
          </w:p>
        </w:tc>
        <w:tc>
          <w:tcPr>
            <w:tcW w:w="1950"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rPr>
                <w:rFonts w:hint="eastAsia" w:ascii="宋体" w:hAnsi="宋体" w:eastAsia="宋体" w:cs="宋体"/>
                <w:b/>
                <w:i w:val="0"/>
                <w:color w:val="000000"/>
                <w:sz w:val="18"/>
                <w:szCs w:val="18"/>
                <w:u w:val="none"/>
              </w:rPr>
            </w:pPr>
          </w:p>
        </w:tc>
        <w:tc>
          <w:tcPr>
            <w:tcW w:w="4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63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120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1799"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rPr>
                <w:rFonts w:hint="eastAsia" w:ascii="宋体" w:hAnsi="宋体" w:eastAsia="宋体" w:cs="宋体"/>
                <w:b/>
                <w:i w:val="0"/>
                <w:color w:val="000000"/>
                <w:sz w:val="18"/>
                <w:szCs w:val="18"/>
                <w:u w:val="none"/>
              </w:rPr>
            </w:pPr>
          </w:p>
        </w:tc>
      </w:tr>
      <w:tr>
        <w:tblPrEx>
          <w:tblCellMar>
            <w:top w:w="0" w:type="dxa"/>
            <w:left w:w="0" w:type="dxa"/>
            <w:bottom w:w="0" w:type="dxa"/>
            <w:right w:w="0" w:type="dxa"/>
          </w:tblCellMar>
        </w:tblPrEx>
        <w:trPr>
          <w:trHeight w:val="870" w:hRule="atLeast"/>
        </w:trPr>
        <w:tc>
          <w:tcPr>
            <w:tcW w:w="8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4.00</w:t>
            </w:r>
          </w:p>
        </w:tc>
        <w:tc>
          <w:tcPr>
            <w:tcW w:w="1125"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产出指标</w:t>
            </w:r>
          </w:p>
        </w:tc>
        <w:tc>
          <w:tcPr>
            <w:tcW w:w="17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66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绩效评价报告</w:t>
            </w:r>
          </w:p>
        </w:tc>
        <w:tc>
          <w:tcPr>
            <w:tcW w:w="157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绩效评价报告</w:t>
            </w:r>
          </w:p>
        </w:tc>
        <w:tc>
          <w:tcPr>
            <w:tcW w:w="19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绩效评价报告好坏程度</w:t>
            </w:r>
          </w:p>
        </w:tc>
        <w:tc>
          <w:tcPr>
            <w:tcW w:w="4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6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120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179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绩效评价报告好坏程度</w:t>
            </w:r>
          </w:p>
        </w:tc>
      </w:tr>
      <w:tr>
        <w:tblPrEx>
          <w:shd w:val="clear" w:color="auto" w:fill="auto"/>
          <w:tblCellMar>
            <w:top w:w="0" w:type="dxa"/>
            <w:left w:w="0" w:type="dxa"/>
            <w:bottom w:w="0" w:type="dxa"/>
            <w:right w:w="0" w:type="dxa"/>
          </w:tblCellMar>
        </w:tblPrEx>
        <w:trPr>
          <w:trHeight w:val="660" w:hRule="atLeast"/>
        </w:trPr>
        <w:tc>
          <w:tcPr>
            <w:tcW w:w="8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5.00</w:t>
            </w:r>
          </w:p>
        </w:tc>
        <w:tc>
          <w:tcPr>
            <w:tcW w:w="1125"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rPr>
                <w:rFonts w:hint="eastAsia" w:ascii="宋体" w:hAnsi="宋体" w:eastAsia="宋体" w:cs="宋体"/>
                <w:b/>
                <w:i w:val="0"/>
                <w:color w:val="000000"/>
                <w:sz w:val="18"/>
                <w:szCs w:val="18"/>
                <w:u w:val="none"/>
              </w:rPr>
            </w:pPr>
          </w:p>
        </w:tc>
        <w:tc>
          <w:tcPr>
            <w:tcW w:w="17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166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发放金额</w:t>
            </w:r>
          </w:p>
        </w:tc>
        <w:tc>
          <w:tcPr>
            <w:tcW w:w="157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是否按标准发放</w:t>
            </w:r>
          </w:p>
        </w:tc>
        <w:tc>
          <w:tcPr>
            <w:tcW w:w="19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按标准发放</w:t>
            </w:r>
          </w:p>
        </w:tc>
        <w:tc>
          <w:tcPr>
            <w:tcW w:w="4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6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120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179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按标准发放</w:t>
            </w:r>
          </w:p>
        </w:tc>
      </w:tr>
      <w:tr>
        <w:tblPrEx>
          <w:shd w:val="clear" w:color="auto" w:fill="auto"/>
          <w:tblCellMar>
            <w:top w:w="0" w:type="dxa"/>
            <w:left w:w="0" w:type="dxa"/>
            <w:bottom w:w="0" w:type="dxa"/>
            <w:right w:w="0" w:type="dxa"/>
          </w:tblCellMar>
        </w:tblPrEx>
        <w:trPr>
          <w:trHeight w:val="605" w:hRule="atLeast"/>
        </w:trPr>
        <w:tc>
          <w:tcPr>
            <w:tcW w:w="8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6.00</w:t>
            </w:r>
          </w:p>
        </w:tc>
        <w:tc>
          <w:tcPr>
            <w:tcW w:w="1125"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rPr>
                <w:rFonts w:hint="eastAsia" w:ascii="宋体" w:hAnsi="宋体" w:eastAsia="宋体" w:cs="宋体"/>
                <w:b/>
                <w:i w:val="0"/>
                <w:color w:val="000000"/>
                <w:sz w:val="18"/>
                <w:szCs w:val="18"/>
                <w:u w:val="none"/>
              </w:rPr>
            </w:pPr>
          </w:p>
        </w:tc>
        <w:tc>
          <w:tcPr>
            <w:tcW w:w="17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66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及时性</w:t>
            </w:r>
          </w:p>
        </w:tc>
        <w:tc>
          <w:tcPr>
            <w:tcW w:w="157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及时发放</w:t>
            </w:r>
          </w:p>
        </w:tc>
        <w:tc>
          <w:tcPr>
            <w:tcW w:w="19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及时发放</w:t>
            </w:r>
          </w:p>
        </w:tc>
        <w:tc>
          <w:tcPr>
            <w:tcW w:w="4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6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120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179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及时发放</w:t>
            </w:r>
          </w:p>
        </w:tc>
      </w:tr>
      <w:tr>
        <w:tblPrEx>
          <w:shd w:val="clear" w:color="auto" w:fill="auto"/>
          <w:tblCellMar>
            <w:top w:w="0" w:type="dxa"/>
            <w:left w:w="0" w:type="dxa"/>
            <w:bottom w:w="0" w:type="dxa"/>
            <w:right w:w="0" w:type="dxa"/>
          </w:tblCellMar>
        </w:tblPrEx>
        <w:trPr>
          <w:trHeight w:val="605" w:hRule="atLeast"/>
        </w:trPr>
        <w:tc>
          <w:tcPr>
            <w:tcW w:w="8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7.00</w:t>
            </w:r>
          </w:p>
        </w:tc>
        <w:tc>
          <w:tcPr>
            <w:tcW w:w="1125"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rPr>
                <w:rFonts w:hint="eastAsia" w:ascii="宋体" w:hAnsi="宋体" w:eastAsia="宋体" w:cs="宋体"/>
                <w:b/>
                <w:i w:val="0"/>
                <w:color w:val="000000"/>
                <w:sz w:val="18"/>
                <w:szCs w:val="18"/>
                <w:u w:val="none"/>
              </w:rPr>
            </w:pPr>
          </w:p>
        </w:tc>
        <w:tc>
          <w:tcPr>
            <w:tcW w:w="17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66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严格控制成本，不超出项目预算数</w:t>
            </w:r>
          </w:p>
        </w:tc>
        <w:tc>
          <w:tcPr>
            <w:tcW w:w="157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严格控制项目支出</w:t>
            </w:r>
          </w:p>
        </w:tc>
        <w:tc>
          <w:tcPr>
            <w:tcW w:w="19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是否严格控制项目支出</w:t>
            </w:r>
          </w:p>
        </w:tc>
        <w:tc>
          <w:tcPr>
            <w:tcW w:w="4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6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120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179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是否严格控制项目支出</w:t>
            </w:r>
          </w:p>
        </w:tc>
      </w:tr>
      <w:tr>
        <w:tblPrEx>
          <w:shd w:val="clear" w:color="auto" w:fill="auto"/>
          <w:tblCellMar>
            <w:top w:w="0" w:type="dxa"/>
            <w:left w:w="0" w:type="dxa"/>
            <w:bottom w:w="0" w:type="dxa"/>
            <w:right w:w="0" w:type="dxa"/>
          </w:tblCellMar>
        </w:tblPrEx>
        <w:trPr>
          <w:trHeight w:val="680" w:hRule="atLeast"/>
        </w:trPr>
        <w:tc>
          <w:tcPr>
            <w:tcW w:w="8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8.00</w:t>
            </w:r>
          </w:p>
        </w:tc>
        <w:tc>
          <w:tcPr>
            <w:tcW w:w="1125"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效益指标</w:t>
            </w:r>
          </w:p>
        </w:tc>
        <w:tc>
          <w:tcPr>
            <w:tcW w:w="17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166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长期使用性</w:t>
            </w:r>
          </w:p>
        </w:tc>
        <w:tc>
          <w:tcPr>
            <w:tcW w:w="157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能够长期的为经济发展做贡献</w:t>
            </w:r>
          </w:p>
        </w:tc>
        <w:tc>
          <w:tcPr>
            <w:tcW w:w="19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能够长期的为经济发展做贡献</w:t>
            </w:r>
          </w:p>
        </w:tc>
        <w:tc>
          <w:tcPr>
            <w:tcW w:w="4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6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120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179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能够长期的为经济发展做贡献</w:t>
            </w:r>
          </w:p>
        </w:tc>
      </w:tr>
      <w:tr>
        <w:tblPrEx>
          <w:shd w:val="clear" w:color="auto" w:fill="auto"/>
          <w:tblCellMar>
            <w:top w:w="0" w:type="dxa"/>
            <w:left w:w="0" w:type="dxa"/>
            <w:bottom w:w="0" w:type="dxa"/>
            <w:right w:w="0" w:type="dxa"/>
          </w:tblCellMar>
        </w:tblPrEx>
        <w:trPr>
          <w:trHeight w:val="665" w:hRule="atLeast"/>
        </w:trPr>
        <w:tc>
          <w:tcPr>
            <w:tcW w:w="8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w:t>
            </w:r>
          </w:p>
        </w:tc>
        <w:tc>
          <w:tcPr>
            <w:tcW w:w="1125"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rPr>
                <w:rFonts w:hint="eastAsia" w:ascii="宋体" w:hAnsi="宋体" w:eastAsia="宋体" w:cs="宋体"/>
                <w:b/>
                <w:i w:val="0"/>
                <w:color w:val="000000"/>
                <w:sz w:val="18"/>
                <w:szCs w:val="18"/>
                <w:u w:val="none"/>
              </w:rPr>
            </w:pPr>
          </w:p>
        </w:tc>
        <w:tc>
          <w:tcPr>
            <w:tcW w:w="17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166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经济发展贡献率</w:t>
            </w:r>
          </w:p>
        </w:tc>
        <w:tc>
          <w:tcPr>
            <w:tcW w:w="157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经济发展贡献率</w:t>
            </w:r>
          </w:p>
        </w:tc>
        <w:tc>
          <w:tcPr>
            <w:tcW w:w="19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经济发展贡献率</w:t>
            </w:r>
          </w:p>
        </w:tc>
        <w:tc>
          <w:tcPr>
            <w:tcW w:w="4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6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120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179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经济发展贡献率</w:t>
            </w:r>
          </w:p>
        </w:tc>
      </w:tr>
      <w:tr>
        <w:tblPrEx>
          <w:shd w:val="clear" w:color="auto" w:fill="auto"/>
          <w:tblCellMar>
            <w:top w:w="0" w:type="dxa"/>
            <w:left w:w="0" w:type="dxa"/>
            <w:bottom w:w="0" w:type="dxa"/>
            <w:right w:w="0" w:type="dxa"/>
          </w:tblCellMar>
        </w:tblPrEx>
        <w:trPr>
          <w:trHeight w:val="1025" w:hRule="atLeast"/>
        </w:trPr>
        <w:tc>
          <w:tcPr>
            <w:tcW w:w="8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10.00</w:t>
            </w:r>
          </w:p>
        </w:tc>
        <w:tc>
          <w:tcPr>
            <w:tcW w:w="1125"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rPr>
                <w:rFonts w:hint="eastAsia" w:ascii="宋体" w:hAnsi="宋体" w:eastAsia="宋体" w:cs="宋体"/>
                <w:b/>
                <w:i w:val="0"/>
                <w:color w:val="000000"/>
                <w:sz w:val="18"/>
                <w:szCs w:val="18"/>
                <w:u w:val="none"/>
              </w:rPr>
            </w:pPr>
          </w:p>
        </w:tc>
        <w:tc>
          <w:tcPr>
            <w:tcW w:w="17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66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157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在全国或全省产生的重要影响，得到广大受众的充分认可。</w:t>
            </w:r>
          </w:p>
        </w:tc>
        <w:tc>
          <w:tcPr>
            <w:tcW w:w="19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在全国或全省产生的重要影响，得到广大受众的充分认可。</w:t>
            </w:r>
          </w:p>
        </w:tc>
        <w:tc>
          <w:tcPr>
            <w:tcW w:w="4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6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120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179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在全国或全省产生的重要影响，得到广大受众的充分认可。</w:t>
            </w:r>
          </w:p>
        </w:tc>
      </w:tr>
      <w:tr>
        <w:tblPrEx>
          <w:shd w:val="clear" w:color="auto" w:fill="auto"/>
          <w:tblCellMar>
            <w:top w:w="0" w:type="dxa"/>
            <w:left w:w="0" w:type="dxa"/>
            <w:bottom w:w="0" w:type="dxa"/>
            <w:right w:w="0" w:type="dxa"/>
          </w:tblCellMar>
        </w:tblPrEx>
        <w:trPr>
          <w:trHeight w:val="620" w:hRule="atLeast"/>
        </w:trPr>
        <w:tc>
          <w:tcPr>
            <w:tcW w:w="8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11.00</w:t>
            </w:r>
          </w:p>
        </w:tc>
        <w:tc>
          <w:tcPr>
            <w:tcW w:w="1125"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rPr>
                <w:rFonts w:hint="eastAsia" w:ascii="宋体" w:hAnsi="宋体" w:eastAsia="宋体" w:cs="宋体"/>
                <w:b/>
                <w:i w:val="0"/>
                <w:color w:val="000000"/>
                <w:sz w:val="18"/>
                <w:szCs w:val="18"/>
                <w:u w:val="none"/>
              </w:rPr>
            </w:pPr>
          </w:p>
        </w:tc>
        <w:tc>
          <w:tcPr>
            <w:tcW w:w="17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生态效益指标</w:t>
            </w:r>
          </w:p>
        </w:tc>
        <w:tc>
          <w:tcPr>
            <w:tcW w:w="166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提高生态效益</w:t>
            </w:r>
          </w:p>
        </w:tc>
        <w:tc>
          <w:tcPr>
            <w:tcW w:w="157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提高生态效益</w:t>
            </w:r>
          </w:p>
        </w:tc>
        <w:tc>
          <w:tcPr>
            <w:tcW w:w="19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提高生态效益</w:t>
            </w:r>
          </w:p>
        </w:tc>
        <w:tc>
          <w:tcPr>
            <w:tcW w:w="4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6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120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179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提高生态效益</w:t>
            </w:r>
          </w:p>
        </w:tc>
      </w:tr>
      <w:tr>
        <w:tblPrEx>
          <w:shd w:val="clear" w:color="auto" w:fill="auto"/>
          <w:tblCellMar>
            <w:top w:w="0" w:type="dxa"/>
            <w:left w:w="0" w:type="dxa"/>
            <w:bottom w:w="0" w:type="dxa"/>
            <w:right w:w="0" w:type="dxa"/>
          </w:tblCellMar>
        </w:tblPrEx>
        <w:trPr>
          <w:trHeight w:val="765" w:hRule="atLeast"/>
        </w:trPr>
        <w:tc>
          <w:tcPr>
            <w:tcW w:w="8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12.00</w:t>
            </w:r>
          </w:p>
        </w:tc>
        <w:tc>
          <w:tcPr>
            <w:tcW w:w="11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满意度指标</w:t>
            </w:r>
          </w:p>
        </w:tc>
        <w:tc>
          <w:tcPr>
            <w:tcW w:w="17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166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w:t>
            </w:r>
          </w:p>
        </w:tc>
        <w:tc>
          <w:tcPr>
            <w:tcW w:w="157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w:t>
            </w:r>
          </w:p>
        </w:tc>
        <w:tc>
          <w:tcPr>
            <w:tcW w:w="19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w:t>
            </w:r>
          </w:p>
        </w:tc>
        <w:tc>
          <w:tcPr>
            <w:tcW w:w="4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6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120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179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w:t>
            </w:r>
          </w:p>
        </w:tc>
      </w:tr>
    </w:tbl>
    <w:p>
      <w:pPr>
        <w:widowControl/>
        <w:jc w:val="left"/>
        <w:rPr>
          <w:rFonts w:hint="eastAsia" w:ascii="宋体" w:hAnsi="宋体" w:eastAsia="宋体" w:cs="宋体"/>
          <w:b/>
          <w:color w:val="auto"/>
          <w:kern w:val="0"/>
          <w:szCs w:val="32"/>
        </w:rPr>
        <w:sectPr>
          <w:pgSz w:w="16838" w:h="11906" w:orient="landscape"/>
          <w:pgMar w:top="1531" w:right="1588" w:bottom="1588" w:left="2155" w:header="0" w:footer="1588" w:gutter="0"/>
          <w:pgBorders>
            <w:top w:val="none" w:sz="0" w:space="0"/>
            <w:left w:val="none" w:sz="0" w:space="0"/>
            <w:bottom w:val="none" w:sz="0" w:space="0"/>
            <w:right w:val="none" w:sz="0" w:space="0"/>
          </w:pgBorders>
          <w:cols w:space="720" w:num="1"/>
          <w:docGrid w:type="lines" w:linePitch="569" w:charSpace="-1266"/>
        </w:sectPr>
      </w:pP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both"/>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六、政府采购预算情况</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pPr>
      <w:r>
        <w:rPr>
          <w:rFonts w:hint="eastAsia" w:ascii="仿宋_GB2312" w:hAnsi="仿宋_GB2312" w:eastAsia="仿宋_GB2312" w:cs="仿宋_GB2312"/>
          <w:sz w:val="32"/>
          <w:szCs w:val="32"/>
          <w:lang w:val="en-US" w:eastAsia="zh-CN"/>
        </w:rPr>
        <w:t>我单位2022年部门预算政府采购涉及金额127万元，为货物类采购，主要用于离退休干部节日慰问品。明细采购目录详见下表。</w:t>
      </w:r>
    </w:p>
    <w:tbl>
      <w:tblPr>
        <w:tblStyle w:val="10"/>
        <w:tblW w:w="1456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48"/>
        <w:gridCol w:w="1099"/>
        <w:gridCol w:w="974"/>
        <w:gridCol w:w="986"/>
        <w:gridCol w:w="760"/>
        <w:gridCol w:w="760"/>
        <w:gridCol w:w="848"/>
        <w:gridCol w:w="961"/>
        <w:gridCol w:w="961"/>
        <w:gridCol w:w="961"/>
        <w:gridCol w:w="961"/>
        <w:gridCol w:w="964"/>
        <w:gridCol w:w="964"/>
        <w:gridCol w:w="92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875" w:type="dxa"/>
            <w:gridSpan w:val="7"/>
            <w:tcBorders>
              <w:top w:val="single" w:color="FFFFFF" w:sz="6" w:space="0"/>
              <w:left w:val="single" w:color="FFFFFF" w:sz="6" w:space="0"/>
              <w:right w:val="single" w:color="FFFFFF" w:sz="6" w:space="0"/>
            </w:tcBorders>
            <w:noWrap w:val="0"/>
            <w:vAlign w:val="center"/>
          </w:tcPr>
          <w:p>
            <w:pPr>
              <w:spacing w:line="300" w:lineRule="exact"/>
              <w:jc w:val="left"/>
              <w:rPr>
                <w:rFonts w:ascii="方正小标宋_GBK" w:eastAsia="方正小标宋_GBK"/>
                <w:color w:val="auto"/>
                <w:sz w:val="22"/>
                <w:szCs w:val="22"/>
              </w:rPr>
            </w:pPr>
            <w:r>
              <w:rPr>
                <w:rFonts w:ascii="方正小标宋_GBK" w:eastAsia="方正小标宋_GBK"/>
                <w:color w:val="auto"/>
                <w:sz w:val="22"/>
                <w:szCs w:val="22"/>
              </w:rPr>
              <w:t>203</w:t>
            </w:r>
            <w:r>
              <w:rPr>
                <w:rFonts w:hint="eastAsia" w:ascii="方正小标宋_GBK" w:eastAsia="方正小标宋_GBK"/>
                <w:color w:val="auto"/>
                <w:sz w:val="22"/>
                <w:szCs w:val="22"/>
              </w:rPr>
              <w:t>中国共产党宁晋县委员会组织部</w:t>
            </w:r>
          </w:p>
        </w:tc>
        <w:tc>
          <w:tcPr>
            <w:tcW w:w="6693" w:type="dxa"/>
            <w:gridSpan w:val="7"/>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color w:val="auto"/>
                <w:sz w:val="22"/>
                <w:szCs w:val="22"/>
              </w:rPr>
            </w:pPr>
            <w:r>
              <w:rPr>
                <w:rFonts w:hint="eastAsia" w:ascii="方正书宋_GBK" w:eastAsia="方正书宋_GBK"/>
                <w:color w:val="auto"/>
                <w:sz w:val="22"/>
                <w:szCs w:val="2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5" w:hRule="atLeast"/>
          <w:tblHeader/>
          <w:jc w:val="center"/>
        </w:trPr>
        <w:tc>
          <w:tcPr>
            <w:tcW w:w="3547" w:type="dxa"/>
            <w:gridSpan w:val="2"/>
            <w:noWrap w:val="0"/>
            <w:vAlign w:val="center"/>
          </w:tcPr>
          <w:p>
            <w:pPr>
              <w:spacing w:line="300" w:lineRule="exact"/>
              <w:jc w:val="center"/>
              <w:rPr>
                <w:rFonts w:ascii="方正书宋_GBK" w:eastAsia="方正书宋_GBK"/>
                <w:b/>
                <w:color w:val="auto"/>
                <w:sz w:val="22"/>
                <w:szCs w:val="22"/>
              </w:rPr>
            </w:pPr>
            <w:r>
              <w:rPr>
                <w:rFonts w:hint="eastAsia" w:ascii="方正书宋_GBK" w:eastAsia="方正书宋_GBK"/>
                <w:b/>
                <w:color w:val="auto"/>
                <w:sz w:val="22"/>
                <w:szCs w:val="22"/>
              </w:rPr>
              <w:t>政府采购项目来源</w:t>
            </w:r>
          </w:p>
        </w:tc>
        <w:tc>
          <w:tcPr>
            <w:tcW w:w="974" w:type="dxa"/>
            <w:vMerge w:val="restart"/>
            <w:noWrap w:val="0"/>
            <w:vAlign w:val="center"/>
          </w:tcPr>
          <w:p>
            <w:pPr>
              <w:spacing w:line="300" w:lineRule="exact"/>
              <w:jc w:val="center"/>
              <w:rPr>
                <w:rFonts w:ascii="方正书宋_GBK" w:eastAsia="方正书宋_GBK"/>
                <w:b/>
                <w:color w:val="auto"/>
                <w:sz w:val="22"/>
                <w:szCs w:val="22"/>
              </w:rPr>
            </w:pPr>
            <w:r>
              <w:rPr>
                <w:rFonts w:hint="eastAsia" w:ascii="方正书宋_GBK" w:eastAsia="方正书宋_GBK"/>
                <w:b/>
                <w:color w:val="auto"/>
                <w:sz w:val="22"/>
                <w:szCs w:val="22"/>
              </w:rPr>
              <w:t>采购物品名称</w:t>
            </w:r>
          </w:p>
        </w:tc>
        <w:tc>
          <w:tcPr>
            <w:tcW w:w="986" w:type="dxa"/>
            <w:vMerge w:val="restart"/>
            <w:noWrap w:val="0"/>
            <w:vAlign w:val="center"/>
          </w:tcPr>
          <w:p>
            <w:pPr>
              <w:spacing w:line="300" w:lineRule="exact"/>
              <w:jc w:val="center"/>
              <w:rPr>
                <w:rFonts w:ascii="方正书宋_GBK" w:eastAsia="方正书宋_GBK"/>
                <w:b/>
                <w:color w:val="auto"/>
                <w:sz w:val="22"/>
                <w:szCs w:val="22"/>
              </w:rPr>
            </w:pPr>
            <w:r>
              <w:rPr>
                <w:rFonts w:hint="eastAsia" w:ascii="方正书宋_GBK" w:eastAsia="方正书宋_GBK"/>
                <w:b/>
                <w:color w:val="auto"/>
                <w:sz w:val="22"/>
                <w:szCs w:val="22"/>
              </w:rPr>
              <w:t>政府采购目录序号</w:t>
            </w:r>
          </w:p>
        </w:tc>
        <w:tc>
          <w:tcPr>
            <w:tcW w:w="760" w:type="dxa"/>
            <w:vMerge w:val="restart"/>
            <w:noWrap w:val="0"/>
            <w:vAlign w:val="center"/>
          </w:tcPr>
          <w:p>
            <w:pPr>
              <w:spacing w:line="300" w:lineRule="exact"/>
              <w:jc w:val="center"/>
              <w:rPr>
                <w:rFonts w:ascii="方正书宋_GBK" w:eastAsia="方正书宋_GBK"/>
                <w:b/>
                <w:color w:val="auto"/>
                <w:sz w:val="22"/>
                <w:szCs w:val="22"/>
              </w:rPr>
            </w:pPr>
            <w:r>
              <w:rPr>
                <w:rFonts w:hint="eastAsia" w:ascii="方正书宋_GBK" w:eastAsia="方正书宋_GBK"/>
                <w:b/>
                <w:color w:val="auto"/>
                <w:sz w:val="22"/>
                <w:szCs w:val="22"/>
              </w:rPr>
              <w:t>数量</w:t>
            </w:r>
            <w:r>
              <w:rPr>
                <w:rFonts w:ascii="方正书宋_GBK" w:eastAsia="方正书宋_GBK"/>
                <w:b/>
                <w:color w:val="auto"/>
                <w:sz w:val="22"/>
                <w:szCs w:val="22"/>
              </w:rPr>
              <w:t xml:space="preserve">  </w:t>
            </w:r>
            <w:r>
              <w:rPr>
                <w:rFonts w:hint="eastAsia" w:ascii="方正书宋_GBK" w:eastAsia="方正书宋_GBK"/>
                <w:b/>
                <w:color w:val="auto"/>
                <w:sz w:val="22"/>
                <w:szCs w:val="22"/>
              </w:rPr>
              <w:t>单位</w:t>
            </w:r>
          </w:p>
        </w:tc>
        <w:tc>
          <w:tcPr>
            <w:tcW w:w="760" w:type="dxa"/>
            <w:vMerge w:val="restart"/>
            <w:noWrap w:val="0"/>
            <w:vAlign w:val="center"/>
          </w:tcPr>
          <w:p>
            <w:pPr>
              <w:spacing w:line="300" w:lineRule="exact"/>
              <w:jc w:val="center"/>
              <w:rPr>
                <w:rFonts w:ascii="方正书宋_GBK" w:eastAsia="方正书宋_GBK"/>
                <w:b/>
                <w:color w:val="auto"/>
                <w:sz w:val="22"/>
                <w:szCs w:val="22"/>
              </w:rPr>
            </w:pPr>
            <w:r>
              <w:rPr>
                <w:rFonts w:hint="eastAsia" w:ascii="方正书宋_GBK" w:eastAsia="方正书宋_GBK"/>
                <w:b/>
                <w:color w:val="auto"/>
                <w:sz w:val="22"/>
                <w:szCs w:val="22"/>
              </w:rPr>
              <w:t>数量</w:t>
            </w:r>
          </w:p>
        </w:tc>
        <w:tc>
          <w:tcPr>
            <w:tcW w:w="848" w:type="dxa"/>
            <w:vMerge w:val="restart"/>
            <w:noWrap w:val="0"/>
            <w:vAlign w:val="center"/>
          </w:tcPr>
          <w:p>
            <w:pPr>
              <w:spacing w:line="300" w:lineRule="exact"/>
              <w:jc w:val="center"/>
              <w:rPr>
                <w:rFonts w:ascii="方正书宋_GBK" w:eastAsia="方正书宋_GBK"/>
                <w:b/>
                <w:color w:val="auto"/>
                <w:sz w:val="22"/>
                <w:szCs w:val="22"/>
              </w:rPr>
            </w:pPr>
            <w:r>
              <w:rPr>
                <w:rFonts w:hint="eastAsia" w:ascii="方正书宋_GBK" w:eastAsia="方正书宋_GBK"/>
                <w:b/>
                <w:color w:val="auto"/>
                <w:sz w:val="22"/>
                <w:szCs w:val="22"/>
              </w:rPr>
              <w:t>单价</w:t>
            </w:r>
          </w:p>
        </w:tc>
        <w:tc>
          <w:tcPr>
            <w:tcW w:w="6693" w:type="dxa"/>
            <w:gridSpan w:val="7"/>
            <w:noWrap w:val="0"/>
            <w:vAlign w:val="center"/>
          </w:tcPr>
          <w:p>
            <w:pPr>
              <w:spacing w:line="300" w:lineRule="exact"/>
              <w:jc w:val="center"/>
              <w:rPr>
                <w:rFonts w:ascii="方正书宋_GBK" w:eastAsia="方正书宋_GBK"/>
                <w:b/>
                <w:color w:val="auto"/>
                <w:sz w:val="22"/>
                <w:szCs w:val="22"/>
              </w:rPr>
            </w:pPr>
            <w:r>
              <w:rPr>
                <w:rFonts w:hint="eastAsia" w:ascii="方正书宋_GBK" w:eastAsia="方正书宋_GBK"/>
                <w:b/>
                <w:color w:val="auto"/>
                <w:sz w:val="22"/>
                <w:szCs w:val="22"/>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2" w:hRule="atLeast"/>
          <w:tblHeader/>
          <w:jc w:val="center"/>
        </w:trPr>
        <w:tc>
          <w:tcPr>
            <w:tcW w:w="2448" w:type="dxa"/>
            <w:vMerge w:val="restart"/>
            <w:noWrap w:val="0"/>
            <w:vAlign w:val="center"/>
          </w:tcPr>
          <w:p>
            <w:pPr>
              <w:spacing w:line="300" w:lineRule="exact"/>
              <w:jc w:val="center"/>
              <w:rPr>
                <w:rFonts w:ascii="方正书宋_GBK" w:eastAsia="方正书宋_GBK"/>
                <w:b/>
                <w:color w:val="auto"/>
                <w:sz w:val="22"/>
                <w:szCs w:val="22"/>
              </w:rPr>
            </w:pPr>
            <w:r>
              <w:rPr>
                <w:rFonts w:hint="eastAsia" w:ascii="方正书宋_GBK" w:eastAsia="方正书宋_GBK"/>
                <w:b/>
                <w:color w:val="auto"/>
                <w:sz w:val="22"/>
                <w:szCs w:val="22"/>
              </w:rPr>
              <w:t>项目名称</w:t>
            </w:r>
          </w:p>
        </w:tc>
        <w:tc>
          <w:tcPr>
            <w:tcW w:w="1099" w:type="dxa"/>
            <w:vMerge w:val="restart"/>
            <w:noWrap w:val="0"/>
            <w:vAlign w:val="center"/>
          </w:tcPr>
          <w:p>
            <w:pPr>
              <w:spacing w:line="300" w:lineRule="exact"/>
              <w:jc w:val="center"/>
              <w:rPr>
                <w:rFonts w:ascii="方正书宋_GBK" w:eastAsia="方正书宋_GBK"/>
                <w:b/>
                <w:color w:val="auto"/>
                <w:sz w:val="22"/>
                <w:szCs w:val="22"/>
              </w:rPr>
            </w:pPr>
            <w:r>
              <w:rPr>
                <w:rFonts w:hint="eastAsia" w:ascii="方正书宋_GBK" w:eastAsia="方正书宋_GBK"/>
                <w:b/>
                <w:color w:val="auto"/>
                <w:sz w:val="22"/>
                <w:szCs w:val="22"/>
              </w:rPr>
              <w:t>预算资金</w:t>
            </w:r>
          </w:p>
        </w:tc>
        <w:tc>
          <w:tcPr>
            <w:tcW w:w="974" w:type="dxa"/>
            <w:vMerge w:val="continue"/>
            <w:noWrap w:val="0"/>
            <w:vAlign w:val="center"/>
          </w:tcPr>
          <w:p>
            <w:pPr>
              <w:spacing w:line="300" w:lineRule="exact"/>
              <w:jc w:val="left"/>
              <w:outlineLvl w:val="0"/>
              <w:rPr>
                <w:color w:val="auto"/>
                <w:sz w:val="22"/>
                <w:szCs w:val="22"/>
              </w:rPr>
            </w:pPr>
          </w:p>
        </w:tc>
        <w:tc>
          <w:tcPr>
            <w:tcW w:w="986" w:type="dxa"/>
            <w:vMerge w:val="continue"/>
            <w:noWrap w:val="0"/>
            <w:vAlign w:val="center"/>
          </w:tcPr>
          <w:p>
            <w:pPr>
              <w:spacing w:line="300" w:lineRule="exact"/>
              <w:jc w:val="left"/>
              <w:outlineLvl w:val="0"/>
              <w:rPr>
                <w:color w:val="auto"/>
                <w:sz w:val="22"/>
                <w:szCs w:val="22"/>
              </w:rPr>
            </w:pPr>
          </w:p>
        </w:tc>
        <w:tc>
          <w:tcPr>
            <w:tcW w:w="760" w:type="dxa"/>
            <w:vMerge w:val="continue"/>
            <w:noWrap w:val="0"/>
            <w:vAlign w:val="center"/>
          </w:tcPr>
          <w:p>
            <w:pPr>
              <w:spacing w:line="300" w:lineRule="exact"/>
              <w:jc w:val="left"/>
              <w:outlineLvl w:val="0"/>
              <w:rPr>
                <w:color w:val="auto"/>
                <w:sz w:val="22"/>
                <w:szCs w:val="22"/>
              </w:rPr>
            </w:pPr>
          </w:p>
        </w:tc>
        <w:tc>
          <w:tcPr>
            <w:tcW w:w="760" w:type="dxa"/>
            <w:vMerge w:val="continue"/>
            <w:noWrap w:val="0"/>
            <w:vAlign w:val="center"/>
          </w:tcPr>
          <w:p>
            <w:pPr>
              <w:spacing w:line="300" w:lineRule="exact"/>
              <w:jc w:val="left"/>
              <w:outlineLvl w:val="0"/>
              <w:rPr>
                <w:color w:val="auto"/>
                <w:sz w:val="22"/>
                <w:szCs w:val="22"/>
              </w:rPr>
            </w:pPr>
          </w:p>
        </w:tc>
        <w:tc>
          <w:tcPr>
            <w:tcW w:w="848" w:type="dxa"/>
            <w:vMerge w:val="continue"/>
            <w:noWrap w:val="0"/>
            <w:vAlign w:val="center"/>
          </w:tcPr>
          <w:p>
            <w:pPr>
              <w:spacing w:line="300" w:lineRule="exact"/>
              <w:jc w:val="left"/>
              <w:outlineLvl w:val="0"/>
              <w:rPr>
                <w:color w:val="auto"/>
                <w:sz w:val="22"/>
                <w:szCs w:val="22"/>
              </w:rPr>
            </w:pPr>
          </w:p>
        </w:tc>
        <w:tc>
          <w:tcPr>
            <w:tcW w:w="961" w:type="dxa"/>
            <w:vMerge w:val="restart"/>
            <w:noWrap w:val="0"/>
            <w:vAlign w:val="center"/>
          </w:tcPr>
          <w:p>
            <w:pPr>
              <w:spacing w:line="300" w:lineRule="exact"/>
              <w:jc w:val="center"/>
              <w:rPr>
                <w:rFonts w:ascii="方正书宋_GBK" w:eastAsia="方正书宋_GBK"/>
                <w:b/>
                <w:color w:val="auto"/>
                <w:sz w:val="22"/>
                <w:szCs w:val="22"/>
              </w:rPr>
            </w:pPr>
            <w:r>
              <w:rPr>
                <w:rFonts w:hint="eastAsia" w:ascii="方正书宋_GBK" w:eastAsia="方正书宋_GBK"/>
                <w:b/>
                <w:color w:val="auto"/>
                <w:sz w:val="22"/>
                <w:szCs w:val="22"/>
              </w:rPr>
              <w:t>总计</w:t>
            </w:r>
          </w:p>
        </w:tc>
        <w:tc>
          <w:tcPr>
            <w:tcW w:w="4811" w:type="dxa"/>
            <w:gridSpan w:val="5"/>
            <w:noWrap w:val="0"/>
            <w:vAlign w:val="center"/>
          </w:tcPr>
          <w:p>
            <w:pPr>
              <w:spacing w:line="300" w:lineRule="exact"/>
              <w:jc w:val="center"/>
              <w:rPr>
                <w:rFonts w:ascii="方正书宋_GBK" w:eastAsia="方正书宋_GBK"/>
                <w:b/>
                <w:color w:val="auto"/>
                <w:sz w:val="22"/>
                <w:szCs w:val="22"/>
              </w:rPr>
            </w:pPr>
            <w:r>
              <w:rPr>
                <w:rFonts w:hint="eastAsia" w:ascii="方正书宋_GBK" w:eastAsia="方正书宋_GBK"/>
                <w:b/>
                <w:color w:val="auto"/>
                <w:sz w:val="22"/>
                <w:szCs w:val="22"/>
              </w:rPr>
              <w:t>当年部门预算安排资金</w:t>
            </w:r>
          </w:p>
        </w:tc>
        <w:tc>
          <w:tcPr>
            <w:tcW w:w="921" w:type="dxa"/>
            <w:vMerge w:val="restart"/>
            <w:noWrap w:val="0"/>
            <w:vAlign w:val="center"/>
          </w:tcPr>
          <w:p>
            <w:pPr>
              <w:spacing w:line="300" w:lineRule="exact"/>
              <w:jc w:val="center"/>
              <w:rPr>
                <w:rFonts w:ascii="方正书宋_GBK" w:eastAsia="方正书宋_GBK"/>
                <w:b/>
                <w:color w:val="auto"/>
                <w:sz w:val="22"/>
                <w:szCs w:val="22"/>
              </w:rPr>
            </w:pPr>
            <w:r>
              <w:rPr>
                <w:rFonts w:hint="eastAsia" w:ascii="方正书宋_GBK" w:eastAsia="方正书宋_GBK"/>
                <w:b/>
                <w:color w:val="auto"/>
                <w:sz w:val="22"/>
                <w:szCs w:val="22"/>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448" w:type="dxa"/>
            <w:vMerge w:val="continue"/>
            <w:noWrap w:val="0"/>
            <w:vAlign w:val="center"/>
          </w:tcPr>
          <w:p>
            <w:pPr>
              <w:spacing w:line="300" w:lineRule="exact"/>
              <w:jc w:val="left"/>
              <w:outlineLvl w:val="0"/>
              <w:rPr>
                <w:color w:val="auto"/>
                <w:sz w:val="22"/>
                <w:szCs w:val="22"/>
              </w:rPr>
            </w:pPr>
          </w:p>
        </w:tc>
        <w:tc>
          <w:tcPr>
            <w:tcW w:w="1099" w:type="dxa"/>
            <w:vMerge w:val="continue"/>
            <w:noWrap w:val="0"/>
            <w:vAlign w:val="center"/>
          </w:tcPr>
          <w:p>
            <w:pPr>
              <w:spacing w:line="300" w:lineRule="exact"/>
              <w:jc w:val="left"/>
              <w:outlineLvl w:val="0"/>
              <w:rPr>
                <w:color w:val="auto"/>
                <w:sz w:val="22"/>
                <w:szCs w:val="22"/>
              </w:rPr>
            </w:pPr>
          </w:p>
        </w:tc>
        <w:tc>
          <w:tcPr>
            <w:tcW w:w="974" w:type="dxa"/>
            <w:vMerge w:val="continue"/>
            <w:noWrap w:val="0"/>
            <w:vAlign w:val="center"/>
          </w:tcPr>
          <w:p>
            <w:pPr>
              <w:spacing w:line="300" w:lineRule="exact"/>
              <w:jc w:val="left"/>
              <w:outlineLvl w:val="0"/>
              <w:rPr>
                <w:color w:val="auto"/>
                <w:sz w:val="22"/>
                <w:szCs w:val="22"/>
              </w:rPr>
            </w:pPr>
          </w:p>
        </w:tc>
        <w:tc>
          <w:tcPr>
            <w:tcW w:w="986" w:type="dxa"/>
            <w:vMerge w:val="continue"/>
            <w:noWrap w:val="0"/>
            <w:vAlign w:val="center"/>
          </w:tcPr>
          <w:p>
            <w:pPr>
              <w:spacing w:line="300" w:lineRule="exact"/>
              <w:jc w:val="left"/>
              <w:outlineLvl w:val="0"/>
              <w:rPr>
                <w:color w:val="auto"/>
                <w:sz w:val="22"/>
                <w:szCs w:val="22"/>
              </w:rPr>
            </w:pPr>
          </w:p>
        </w:tc>
        <w:tc>
          <w:tcPr>
            <w:tcW w:w="760" w:type="dxa"/>
            <w:vMerge w:val="continue"/>
            <w:noWrap w:val="0"/>
            <w:vAlign w:val="center"/>
          </w:tcPr>
          <w:p>
            <w:pPr>
              <w:spacing w:line="300" w:lineRule="exact"/>
              <w:jc w:val="left"/>
              <w:outlineLvl w:val="0"/>
              <w:rPr>
                <w:color w:val="auto"/>
                <w:sz w:val="22"/>
                <w:szCs w:val="22"/>
              </w:rPr>
            </w:pPr>
          </w:p>
        </w:tc>
        <w:tc>
          <w:tcPr>
            <w:tcW w:w="760" w:type="dxa"/>
            <w:vMerge w:val="continue"/>
            <w:noWrap w:val="0"/>
            <w:vAlign w:val="center"/>
          </w:tcPr>
          <w:p>
            <w:pPr>
              <w:spacing w:line="300" w:lineRule="exact"/>
              <w:jc w:val="left"/>
              <w:outlineLvl w:val="0"/>
              <w:rPr>
                <w:color w:val="auto"/>
                <w:sz w:val="22"/>
                <w:szCs w:val="22"/>
              </w:rPr>
            </w:pPr>
          </w:p>
        </w:tc>
        <w:tc>
          <w:tcPr>
            <w:tcW w:w="848" w:type="dxa"/>
            <w:vMerge w:val="continue"/>
            <w:noWrap w:val="0"/>
            <w:vAlign w:val="center"/>
          </w:tcPr>
          <w:p>
            <w:pPr>
              <w:spacing w:line="300" w:lineRule="exact"/>
              <w:jc w:val="left"/>
              <w:outlineLvl w:val="0"/>
              <w:rPr>
                <w:color w:val="auto"/>
                <w:sz w:val="22"/>
                <w:szCs w:val="22"/>
              </w:rPr>
            </w:pPr>
          </w:p>
        </w:tc>
        <w:tc>
          <w:tcPr>
            <w:tcW w:w="961" w:type="dxa"/>
            <w:vMerge w:val="continue"/>
            <w:noWrap w:val="0"/>
            <w:vAlign w:val="center"/>
          </w:tcPr>
          <w:p>
            <w:pPr>
              <w:spacing w:line="300" w:lineRule="exact"/>
              <w:jc w:val="left"/>
              <w:outlineLvl w:val="0"/>
              <w:rPr>
                <w:color w:val="auto"/>
                <w:sz w:val="22"/>
                <w:szCs w:val="22"/>
              </w:rPr>
            </w:pPr>
          </w:p>
        </w:tc>
        <w:tc>
          <w:tcPr>
            <w:tcW w:w="961" w:type="dxa"/>
            <w:noWrap w:val="0"/>
            <w:vAlign w:val="center"/>
          </w:tcPr>
          <w:p>
            <w:pPr>
              <w:spacing w:line="300" w:lineRule="exact"/>
              <w:jc w:val="center"/>
              <w:rPr>
                <w:rFonts w:ascii="方正书宋_GBK" w:eastAsia="方正书宋_GBK"/>
                <w:b/>
                <w:color w:val="auto"/>
                <w:sz w:val="22"/>
                <w:szCs w:val="22"/>
              </w:rPr>
            </w:pPr>
            <w:r>
              <w:rPr>
                <w:rFonts w:hint="eastAsia" w:ascii="方正书宋_GBK" w:eastAsia="方正书宋_GBK"/>
                <w:b/>
                <w:color w:val="auto"/>
                <w:sz w:val="22"/>
                <w:szCs w:val="22"/>
              </w:rPr>
              <w:t>合计</w:t>
            </w:r>
          </w:p>
        </w:tc>
        <w:tc>
          <w:tcPr>
            <w:tcW w:w="961" w:type="dxa"/>
            <w:noWrap w:val="0"/>
            <w:vAlign w:val="center"/>
          </w:tcPr>
          <w:p>
            <w:pPr>
              <w:spacing w:line="300" w:lineRule="exact"/>
              <w:jc w:val="center"/>
              <w:rPr>
                <w:rFonts w:ascii="方正书宋_GBK" w:eastAsia="方正书宋_GBK"/>
                <w:b/>
                <w:color w:val="auto"/>
                <w:sz w:val="22"/>
                <w:szCs w:val="22"/>
              </w:rPr>
            </w:pPr>
            <w:r>
              <w:rPr>
                <w:rFonts w:hint="eastAsia" w:ascii="方正书宋_GBK" w:eastAsia="方正书宋_GBK"/>
                <w:b/>
                <w:color w:val="auto"/>
                <w:sz w:val="22"/>
                <w:szCs w:val="22"/>
              </w:rPr>
              <w:t>一般公共预算拨款</w:t>
            </w:r>
          </w:p>
        </w:tc>
        <w:tc>
          <w:tcPr>
            <w:tcW w:w="961" w:type="dxa"/>
            <w:noWrap w:val="0"/>
            <w:vAlign w:val="center"/>
          </w:tcPr>
          <w:p>
            <w:pPr>
              <w:spacing w:line="300" w:lineRule="exact"/>
              <w:jc w:val="center"/>
              <w:rPr>
                <w:rFonts w:ascii="方正书宋_GBK" w:eastAsia="方正书宋_GBK"/>
                <w:b/>
                <w:color w:val="auto"/>
                <w:sz w:val="22"/>
                <w:szCs w:val="22"/>
              </w:rPr>
            </w:pPr>
            <w:r>
              <w:rPr>
                <w:rFonts w:hint="eastAsia" w:ascii="方正书宋_GBK" w:eastAsia="方正书宋_GBK"/>
                <w:b/>
                <w:color w:val="auto"/>
                <w:sz w:val="22"/>
                <w:szCs w:val="22"/>
              </w:rPr>
              <w:t>基金预算拨款</w:t>
            </w:r>
          </w:p>
        </w:tc>
        <w:tc>
          <w:tcPr>
            <w:tcW w:w="964" w:type="dxa"/>
            <w:noWrap w:val="0"/>
            <w:vAlign w:val="center"/>
          </w:tcPr>
          <w:p>
            <w:pPr>
              <w:spacing w:line="300" w:lineRule="exact"/>
              <w:jc w:val="center"/>
              <w:rPr>
                <w:rFonts w:ascii="方正书宋_GBK" w:eastAsia="方正书宋_GBK"/>
                <w:b/>
                <w:color w:val="auto"/>
                <w:sz w:val="22"/>
                <w:szCs w:val="22"/>
              </w:rPr>
            </w:pPr>
            <w:r>
              <w:rPr>
                <w:rFonts w:hint="eastAsia" w:ascii="方正书宋_GBK" w:eastAsia="方正书宋_GBK"/>
                <w:b/>
                <w:color w:val="auto"/>
                <w:sz w:val="22"/>
                <w:szCs w:val="22"/>
              </w:rPr>
              <w:t>财政专户核拨</w:t>
            </w:r>
          </w:p>
        </w:tc>
        <w:tc>
          <w:tcPr>
            <w:tcW w:w="964" w:type="dxa"/>
            <w:noWrap w:val="0"/>
            <w:vAlign w:val="center"/>
          </w:tcPr>
          <w:p>
            <w:pPr>
              <w:spacing w:line="300" w:lineRule="exact"/>
              <w:jc w:val="center"/>
              <w:rPr>
                <w:rFonts w:ascii="方正书宋_GBK" w:eastAsia="方正书宋_GBK"/>
                <w:b/>
                <w:color w:val="auto"/>
                <w:sz w:val="22"/>
                <w:szCs w:val="22"/>
              </w:rPr>
            </w:pPr>
            <w:r>
              <w:rPr>
                <w:rFonts w:hint="eastAsia" w:ascii="方正书宋_GBK" w:eastAsia="方正书宋_GBK"/>
                <w:b/>
                <w:color w:val="auto"/>
                <w:sz w:val="22"/>
                <w:szCs w:val="22"/>
              </w:rPr>
              <w:t>其他来源收入</w:t>
            </w:r>
          </w:p>
        </w:tc>
        <w:tc>
          <w:tcPr>
            <w:tcW w:w="921" w:type="dxa"/>
            <w:vMerge w:val="continue"/>
            <w:noWrap w:val="0"/>
            <w:vAlign w:val="center"/>
          </w:tcPr>
          <w:p>
            <w:pPr>
              <w:spacing w:line="300" w:lineRule="exact"/>
              <w:jc w:val="left"/>
              <w:outlineLvl w:val="0"/>
              <w:rPr>
                <w:color w:val="auto"/>
                <w:sz w:val="22"/>
                <w:szCs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1" w:hRule="atLeast"/>
          <w:jc w:val="center"/>
        </w:trPr>
        <w:tc>
          <w:tcPr>
            <w:tcW w:w="2448" w:type="dxa"/>
            <w:noWrap w:val="0"/>
            <w:vAlign w:val="center"/>
          </w:tcPr>
          <w:p>
            <w:pPr>
              <w:spacing w:line="300" w:lineRule="exact"/>
              <w:jc w:val="center"/>
              <w:rPr>
                <w:rFonts w:ascii="方正书宋_GBK" w:eastAsia="方正书宋_GBK"/>
                <w:b/>
                <w:color w:val="auto"/>
                <w:sz w:val="22"/>
                <w:szCs w:val="22"/>
              </w:rPr>
            </w:pPr>
            <w:r>
              <w:rPr>
                <w:rFonts w:hint="eastAsia" w:ascii="方正书宋_GBK" w:eastAsia="方正书宋_GBK"/>
                <w:b/>
                <w:color w:val="auto"/>
                <w:sz w:val="22"/>
                <w:szCs w:val="22"/>
              </w:rPr>
              <w:t>合　计</w:t>
            </w:r>
          </w:p>
        </w:tc>
        <w:tc>
          <w:tcPr>
            <w:tcW w:w="1099" w:type="dxa"/>
            <w:noWrap w:val="0"/>
            <w:vAlign w:val="center"/>
          </w:tcPr>
          <w:p>
            <w:pPr>
              <w:spacing w:line="300" w:lineRule="exact"/>
              <w:jc w:val="right"/>
              <w:rPr>
                <w:rFonts w:ascii="方正书宋_GBK" w:eastAsia="方正书宋_GBK"/>
                <w:b/>
                <w:color w:val="auto"/>
                <w:sz w:val="22"/>
                <w:szCs w:val="22"/>
              </w:rPr>
            </w:pPr>
          </w:p>
        </w:tc>
        <w:tc>
          <w:tcPr>
            <w:tcW w:w="974" w:type="dxa"/>
            <w:noWrap w:val="0"/>
            <w:vAlign w:val="center"/>
          </w:tcPr>
          <w:p>
            <w:pPr>
              <w:spacing w:line="300" w:lineRule="exact"/>
              <w:jc w:val="left"/>
              <w:rPr>
                <w:rFonts w:ascii="方正书宋_GBK" w:eastAsia="方正书宋_GBK"/>
                <w:b/>
                <w:color w:val="auto"/>
                <w:sz w:val="22"/>
                <w:szCs w:val="22"/>
              </w:rPr>
            </w:pPr>
          </w:p>
        </w:tc>
        <w:tc>
          <w:tcPr>
            <w:tcW w:w="986" w:type="dxa"/>
            <w:noWrap w:val="0"/>
            <w:vAlign w:val="center"/>
          </w:tcPr>
          <w:p>
            <w:pPr>
              <w:spacing w:line="300" w:lineRule="exact"/>
              <w:jc w:val="left"/>
              <w:rPr>
                <w:rFonts w:ascii="方正书宋_GBK" w:eastAsia="方正书宋_GBK"/>
                <w:b/>
                <w:color w:val="auto"/>
                <w:sz w:val="22"/>
                <w:szCs w:val="22"/>
              </w:rPr>
            </w:pPr>
          </w:p>
        </w:tc>
        <w:tc>
          <w:tcPr>
            <w:tcW w:w="760" w:type="dxa"/>
            <w:noWrap w:val="0"/>
            <w:vAlign w:val="center"/>
          </w:tcPr>
          <w:p>
            <w:pPr>
              <w:spacing w:line="300" w:lineRule="exact"/>
              <w:jc w:val="left"/>
              <w:rPr>
                <w:rFonts w:ascii="方正书宋_GBK" w:eastAsia="方正书宋_GBK"/>
                <w:b/>
                <w:color w:val="auto"/>
                <w:sz w:val="22"/>
                <w:szCs w:val="22"/>
              </w:rPr>
            </w:pPr>
          </w:p>
        </w:tc>
        <w:tc>
          <w:tcPr>
            <w:tcW w:w="760" w:type="dxa"/>
            <w:noWrap w:val="0"/>
            <w:vAlign w:val="center"/>
          </w:tcPr>
          <w:p>
            <w:pPr>
              <w:spacing w:line="300" w:lineRule="exact"/>
              <w:jc w:val="right"/>
              <w:rPr>
                <w:rFonts w:ascii="方正书宋_GBK" w:eastAsia="方正书宋_GBK"/>
                <w:b/>
                <w:color w:val="auto"/>
                <w:sz w:val="22"/>
                <w:szCs w:val="22"/>
              </w:rPr>
            </w:pPr>
          </w:p>
        </w:tc>
        <w:tc>
          <w:tcPr>
            <w:tcW w:w="848" w:type="dxa"/>
            <w:noWrap w:val="0"/>
            <w:vAlign w:val="center"/>
          </w:tcPr>
          <w:p>
            <w:pPr>
              <w:spacing w:line="300" w:lineRule="exact"/>
              <w:jc w:val="right"/>
              <w:rPr>
                <w:rFonts w:ascii="方正书宋_GBK" w:eastAsia="方正书宋_GBK"/>
                <w:b/>
                <w:color w:val="auto"/>
                <w:sz w:val="22"/>
                <w:szCs w:val="22"/>
              </w:rPr>
            </w:pPr>
          </w:p>
        </w:tc>
        <w:tc>
          <w:tcPr>
            <w:tcW w:w="961" w:type="dxa"/>
            <w:noWrap w:val="0"/>
            <w:vAlign w:val="center"/>
          </w:tcPr>
          <w:p>
            <w:pPr>
              <w:spacing w:line="300" w:lineRule="exact"/>
              <w:jc w:val="right"/>
              <w:rPr>
                <w:rFonts w:ascii="方正书宋_GBK" w:eastAsia="方正书宋_GBK"/>
                <w:b/>
                <w:color w:val="auto"/>
                <w:sz w:val="22"/>
                <w:szCs w:val="22"/>
              </w:rPr>
            </w:pPr>
            <w:r>
              <w:rPr>
                <w:rFonts w:hint="eastAsia" w:ascii="方正书宋_GBK" w:eastAsia="方正书宋_GBK"/>
                <w:color w:val="auto"/>
                <w:sz w:val="22"/>
                <w:szCs w:val="22"/>
                <w:lang w:val="en-US" w:eastAsia="zh-CN"/>
              </w:rPr>
              <w:t>127</w:t>
            </w:r>
          </w:p>
        </w:tc>
        <w:tc>
          <w:tcPr>
            <w:tcW w:w="961" w:type="dxa"/>
            <w:noWrap w:val="0"/>
            <w:vAlign w:val="center"/>
          </w:tcPr>
          <w:p>
            <w:pPr>
              <w:spacing w:line="300" w:lineRule="exact"/>
              <w:jc w:val="right"/>
              <w:rPr>
                <w:rFonts w:ascii="方正书宋_GBK" w:eastAsia="方正书宋_GBK"/>
                <w:b/>
                <w:color w:val="auto"/>
                <w:sz w:val="22"/>
                <w:szCs w:val="22"/>
              </w:rPr>
            </w:pPr>
            <w:r>
              <w:rPr>
                <w:rFonts w:hint="eastAsia" w:ascii="方正书宋_GBK" w:eastAsia="方正书宋_GBK"/>
                <w:color w:val="auto"/>
                <w:sz w:val="22"/>
                <w:szCs w:val="22"/>
                <w:lang w:val="en-US" w:eastAsia="zh-CN"/>
              </w:rPr>
              <w:t>127</w:t>
            </w:r>
          </w:p>
        </w:tc>
        <w:tc>
          <w:tcPr>
            <w:tcW w:w="961" w:type="dxa"/>
            <w:noWrap w:val="0"/>
            <w:vAlign w:val="center"/>
          </w:tcPr>
          <w:p>
            <w:pPr>
              <w:spacing w:line="300" w:lineRule="exact"/>
              <w:jc w:val="right"/>
              <w:rPr>
                <w:rFonts w:ascii="方正书宋_GBK" w:eastAsia="方正书宋_GBK"/>
                <w:b/>
                <w:color w:val="auto"/>
                <w:sz w:val="22"/>
                <w:szCs w:val="22"/>
              </w:rPr>
            </w:pPr>
            <w:r>
              <w:rPr>
                <w:rFonts w:hint="eastAsia" w:ascii="方正书宋_GBK" w:eastAsia="方正书宋_GBK"/>
                <w:color w:val="auto"/>
                <w:sz w:val="22"/>
                <w:szCs w:val="22"/>
                <w:lang w:val="en-US" w:eastAsia="zh-CN"/>
              </w:rPr>
              <w:t>127</w:t>
            </w:r>
          </w:p>
        </w:tc>
        <w:tc>
          <w:tcPr>
            <w:tcW w:w="961" w:type="dxa"/>
            <w:noWrap w:val="0"/>
            <w:vAlign w:val="center"/>
          </w:tcPr>
          <w:p>
            <w:pPr>
              <w:spacing w:line="300" w:lineRule="exact"/>
              <w:jc w:val="right"/>
              <w:rPr>
                <w:rFonts w:ascii="方正书宋_GBK" w:eastAsia="方正书宋_GBK"/>
                <w:b/>
                <w:color w:val="auto"/>
                <w:sz w:val="22"/>
                <w:szCs w:val="22"/>
              </w:rPr>
            </w:pPr>
          </w:p>
        </w:tc>
        <w:tc>
          <w:tcPr>
            <w:tcW w:w="964" w:type="dxa"/>
            <w:noWrap w:val="0"/>
            <w:vAlign w:val="center"/>
          </w:tcPr>
          <w:p>
            <w:pPr>
              <w:spacing w:line="300" w:lineRule="exact"/>
              <w:jc w:val="right"/>
              <w:rPr>
                <w:rFonts w:ascii="方正书宋_GBK" w:eastAsia="方正书宋_GBK"/>
                <w:b/>
                <w:color w:val="auto"/>
                <w:sz w:val="22"/>
                <w:szCs w:val="22"/>
              </w:rPr>
            </w:pPr>
          </w:p>
        </w:tc>
        <w:tc>
          <w:tcPr>
            <w:tcW w:w="964" w:type="dxa"/>
            <w:noWrap w:val="0"/>
            <w:vAlign w:val="center"/>
          </w:tcPr>
          <w:p>
            <w:pPr>
              <w:spacing w:line="300" w:lineRule="exact"/>
              <w:jc w:val="right"/>
              <w:rPr>
                <w:rFonts w:ascii="方正书宋_GBK" w:eastAsia="方正书宋_GBK"/>
                <w:b/>
                <w:color w:val="auto"/>
                <w:sz w:val="22"/>
                <w:szCs w:val="22"/>
              </w:rPr>
            </w:pPr>
          </w:p>
        </w:tc>
        <w:tc>
          <w:tcPr>
            <w:tcW w:w="921" w:type="dxa"/>
            <w:noWrap w:val="0"/>
            <w:vAlign w:val="center"/>
          </w:tcPr>
          <w:p>
            <w:pPr>
              <w:spacing w:line="300" w:lineRule="exact"/>
              <w:jc w:val="right"/>
              <w:rPr>
                <w:rFonts w:ascii="方正书宋_GBK" w:eastAsia="方正书宋_GBK"/>
                <w:b/>
                <w:color w:val="auto"/>
                <w:sz w:val="22"/>
                <w:szCs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5" w:hRule="atLeast"/>
          <w:jc w:val="center"/>
        </w:trPr>
        <w:tc>
          <w:tcPr>
            <w:tcW w:w="2448" w:type="dxa"/>
            <w:noWrap w:val="0"/>
            <w:vAlign w:val="center"/>
          </w:tcPr>
          <w:p>
            <w:pPr>
              <w:spacing w:line="300" w:lineRule="exact"/>
              <w:jc w:val="center"/>
              <w:rPr>
                <w:rFonts w:hint="eastAsia" w:ascii="方正书宋_GBK" w:eastAsia="方正书宋_GBK"/>
                <w:b/>
                <w:color w:val="auto"/>
                <w:sz w:val="22"/>
                <w:szCs w:val="22"/>
              </w:rPr>
            </w:pPr>
            <w:r>
              <w:rPr>
                <w:rFonts w:hint="eastAsia" w:ascii="方正书宋_GBK" w:eastAsia="方正书宋_GBK"/>
                <w:b/>
                <w:color w:val="auto"/>
                <w:sz w:val="22"/>
                <w:szCs w:val="22"/>
              </w:rPr>
              <w:t>中国共产党宁晋县委员会组织部小计</w:t>
            </w:r>
          </w:p>
        </w:tc>
        <w:tc>
          <w:tcPr>
            <w:tcW w:w="1099" w:type="dxa"/>
            <w:noWrap w:val="0"/>
            <w:vAlign w:val="center"/>
          </w:tcPr>
          <w:p>
            <w:pPr>
              <w:spacing w:line="300" w:lineRule="exact"/>
              <w:jc w:val="right"/>
              <w:rPr>
                <w:rFonts w:ascii="方正书宋_GBK" w:eastAsia="方正书宋_GBK"/>
                <w:b/>
                <w:color w:val="auto"/>
                <w:sz w:val="22"/>
                <w:szCs w:val="22"/>
              </w:rPr>
            </w:pPr>
          </w:p>
        </w:tc>
        <w:tc>
          <w:tcPr>
            <w:tcW w:w="974" w:type="dxa"/>
            <w:noWrap w:val="0"/>
            <w:vAlign w:val="center"/>
          </w:tcPr>
          <w:p>
            <w:pPr>
              <w:spacing w:line="300" w:lineRule="exact"/>
              <w:jc w:val="left"/>
              <w:rPr>
                <w:rFonts w:ascii="方正书宋_GBK" w:eastAsia="方正书宋_GBK"/>
                <w:b/>
                <w:color w:val="auto"/>
                <w:sz w:val="22"/>
                <w:szCs w:val="22"/>
              </w:rPr>
            </w:pPr>
          </w:p>
        </w:tc>
        <w:tc>
          <w:tcPr>
            <w:tcW w:w="986" w:type="dxa"/>
            <w:noWrap w:val="0"/>
            <w:vAlign w:val="center"/>
          </w:tcPr>
          <w:p>
            <w:pPr>
              <w:spacing w:line="300" w:lineRule="exact"/>
              <w:jc w:val="left"/>
              <w:rPr>
                <w:rFonts w:ascii="方正书宋_GBK" w:eastAsia="方正书宋_GBK"/>
                <w:b/>
                <w:color w:val="auto"/>
                <w:sz w:val="22"/>
                <w:szCs w:val="22"/>
              </w:rPr>
            </w:pPr>
          </w:p>
        </w:tc>
        <w:tc>
          <w:tcPr>
            <w:tcW w:w="760" w:type="dxa"/>
            <w:noWrap w:val="0"/>
            <w:vAlign w:val="center"/>
          </w:tcPr>
          <w:p>
            <w:pPr>
              <w:spacing w:line="300" w:lineRule="exact"/>
              <w:jc w:val="left"/>
              <w:rPr>
                <w:rFonts w:ascii="方正书宋_GBK" w:eastAsia="方正书宋_GBK"/>
                <w:b/>
                <w:color w:val="auto"/>
                <w:sz w:val="22"/>
                <w:szCs w:val="22"/>
              </w:rPr>
            </w:pPr>
          </w:p>
        </w:tc>
        <w:tc>
          <w:tcPr>
            <w:tcW w:w="760" w:type="dxa"/>
            <w:noWrap w:val="0"/>
            <w:vAlign w:val="center"/>
          </w:tcPr>
          <w:p>
            <w:pPr>
              <w:spacing w:line="300" w:lineRule="exact"/>
              <w:jc w:val="right"/>
              <w:rPr>
                <w:rFonts w:ascii="方正书宋_GBK" w:eastAsia="方正书宋_GBK"/>
                <w:b/>
                <w:color w:val="auto"/>
                <w:sz w:val="22"/>
                <w:szCs w:val="22"/>
              </w:rPr>
            </w:pPr>
          </w:p>
        </w:tc>
        <w:tc>
          <w:tcPr>
            <w:tcW w:w="848" w:type="dxa"/>
            <w:noWrap w:val="0"/>
            <w:vAlign w:val="center"/>
          </w:tcPr>
          <w:p>
            <w:pPr>
              <w:spacing w:line="300" w:lineRule="exact"/>
              <w:jc w:val="right"/>
              <w:rPr>
                <w:rFonts w:ascii="方正书宋_GBK" w:eastAsia="方正书宋_GBK"/>
                <w:b/>
                <w:color w:val="auto"/>
                <w:sz w:val="22"/>
                <w:szCs w:val="22"/>
              </w:rPr>
            </w:pPr>
          </w:p>
        </w:tc>
        <w:tc>
          <w:tcPr>
            <w:tcW w:w="961" w:type="dxa"/>
            <w:noWrap w:val="0"/>
            <w:vAlign w:val="center"/>
          </w:tcPr>
          <w:p>
            <w:pPr>
              <w:spacing w:line="300" w:lineRule="exact"/>
              <w:jc w:val="right"/>
              <w:rPr>
                <w:rFonts w:ascii="方正书宋_GBK" w:eastAsia="方正书宋_GBK"/>
                <w:b/>
                <w:color w:val="auto"/>
                <w:sz w:val="22"/>
                <w:szCs w:val="22"/>
              </w:rPr>
            </w:pPr>
            <w:r>
              <w:rPr>
                <w:rFonts w:hint="eastAsia" w:ascii="方正书宋_GBK" w:eastAsia="方正书宋_GBK"/>
                <w:color w:val="auto"/>
                <w:sz w:val="22"/>
                <w:szCs w:val="22"/>
                <w:lang w:val="en-US" w:eastAsia="zh-CN"/>
              </w:rPr>
              <w:t>127</w:t>
            </w:r>
          </w:p>
        </w:tc>
        <w:tc>
          <w:tcPr>
            <w:tcW w:w="961" w:type="dxa"/>
            <w:noWrap w:val="0"/>
            <w:vAlign w:val="center"/>
          </w:tcPr>
          <w:p>
            <w:pPr>
              <w:spacing w:line="300" w:lineRule="exact"/>
              <w:jc w:val="right"/>
              <w:rPr>
                <w:rFonts w:ascii="方正书宋_GBK" w:eastAsia="方正书宋_GBK"/>
                <w:b/>
                <w:color w:val="auto"/>
                <w:sz w:val="22"/>
                <w:szCs w:val="22"/>
              </w:rPr>
            </w:pPr>
            <w:r>
              <w:rPr>
                <w:rFonts w:hint="eastAsia" w:ascii="方正书宋_GBK" w:eastAsia="方正书宋_GBK"/>
                <w:color w:val="auto"/>
                <w:sz w:val="22"/>
                <w:szCs w:val="22"/>
                <w:lang w:val="en-US" w:eastAsia="zh-CN"/>
              </w:rPr>
              <w:t>127</w:t>
            </w:r>
          </w:p>
        </w:tc>
        <w:tc>
          <w:tcPr>
            <w:tcW w:w="961" w:type="dxa"/>
            <w:noWrap w:val="0"/>
            <w:vAlign w:val="center"/>
          </w:tcPr>
          <w:p>
            <w:pPr>
              <w:spacing w:line="300" w:lineRule="exact"/>
              <w:jc w:val="right"/>
              <w:rPr>
                <w:rFonts w:ascii="方正书宋_GBK" w:eastAsia="方正书宋_GBK"/>
                <w:b/>
                <w:color w:val="auto"/>
                <w:sz w:val="22"/>
                <w:szCs w:val="22"/>
              </w:rPr>
            </w:pPr>
            <w:r>
              <w:rPr>
                <w:rFonts w:hint="eastAsia" w:ascii="方正书宋_GBK" w:eastAsia="方正书宋_GBK"/>
                <w:color w:val="auto"/>
                <w:sz w:val="22"/>
                <w:szCs w:val="22"/>
                <w:lang w:val="en-US" w:eastAsia="zh-CN"/>
              </w:rPr>
              <w:t>127</w:t>
            </w:r>
          </w:p>
        </w:tc>
        <w:tc>
          <w:tcPr>
            <w:tcW w:w="961" w:type="dxa"/>
            <w:noWrap w:val="0"/>
            <w:vAlign w:val="center"/>
          </w:tcPr>
          <w:p>
            <w:pPr>
              <w:spacing w:line="300" w:lineRule="exact"/>
              <w:jc w:val="right"/>
              <w:rPr>
                <w:rFonts w:ascii="方正书宋_GBK" w:eastAsia="方正书宋_GBK"/>
                <w:b/>
                <w:color w:val="auto"/>
                <w:sz w:val="22"/>
                <w:szCs w:val="22"/>
              </w:rPr>
            </w:pPr>
          </w:p>
        </w:tc>
        <w:tc>
          <w:tcPr>
            <w:tcW w:w="964" w:type="dxa"/>
            <w:noWrap w:val="0"/>
            <w:vAlign w:val="center"/>
          </w:tcPr>
          <w:p>
            <w:pPr>
              <w:spacing w:line="300" w:lineRule="exact"/>
              <w:jc w:val="right"/>
              <w:rPr>
                <w:rFonts w:ascii="方正书宋_GBK" w:eastAsia="方正书宋_GBK"/>
                <w:b/>
                <w:color w:val="auto"/>
                <w:sz w:val="22"/>
                <w:szCs w:val="22"/>
              </w:rPr>
            </w:pPr>
          </w:p>
        </w:tc>
        <w:tc>
          <w:tcPr>
            <w:tcW w:w="964" w:type="dxa"/>
            <w:noWrap w:val="0"/>
            <w:vAlign w:val="center"/>
          </w:tcPr>
          <w:p>
            <w:pPr>
              <w:spacing w:line="300" w:lineRule="exact"/>
              <w:jc w:val="right"/>
              <w:rPr>
                <w:rFonts w:ascii="方正书宋_GBK" w:eastAsia="方正书宋_GBK"/>
                <w:b/>
                <w:color w:val="auto"/>
                <w:sz w:val="22"/>
                <w:szCs w:val="22"/>
              </w:rPr>
            </w:pPr>
          </w:p>
        </w:tc>
        <w:tc>
          <w:tcPr>
            <w:tcW w:w="921" w:type="dxa"/>
            <w:noWrap w:val="0"/>
            <w:vAlign w:val="center"/>
          </w:tcPr>
          <w:p>
            <w:pPr>
              <w:spacing w:line="300" w:lineRule="exact"/>
              <w:jc w:val="right"/>
              <w:rPr>
                <w:rFonts w:ascii="方正书宋_GBK" w:eastAsia="方正书宋_GBK"/>
                <w:b/>
                <w:color w:val="auto"/>
                <w:sz w:val="22"/>
                <w:szCs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0" w:hRule="atLeast"/>
          <w:jc w:val="center"/>
        </w:trPr>
        <w:tc>
          <w:tcPr>
            <w:tcW w:w="2448" w:type="dxa"/>
            <w:noWrap w:val="0"/>
            <w:vAlign w:val="center"/>
          </w:tcPr>
          <w:p>
            <w:pPr>
              <w:spacing w:line="300" w:lineRule="exact"/>
              <w:jc w:val="left"/>
              <w:rPr>
                <w:rFonts w:hint="eastAsia" w:ascii="方正书宋_GBK" w:eastAsia="方正书宋_GBK"/>
                <w:color w:val="auto"/>
                <w:sz w:val="22"/>
                <w:szCs w:val="22"/>
              </w:rPr>
            </w:pPr>
            <w:r>
              <w:rPr>
                <w:rFonts w:hint="eastAsia" w:ascii="方正书宋_GBK" w:eastAsia="方正书宋_GBK"/>
                <w:color w:val="auto"/>
                <w:sz w:val="22"/>
                <w:szCs w:val="22"/>
              </w:rPr>
              <w:t>退休干部特需费</w:t>
            </w:r>
          </w:p>
        </w:tc>
        <w:tc>
          <w:tcPr>
            <w:tcW w:w="1099" w:type="dxa"/>
            <w:noWrap w:val="0"/>
            <w:vAlign w:val="center"/>
          </w:tcPr>
          <w:p>
            <w:pPr>
              <w:spacing w:line="300" w:lineRule="exact"/>
              <w:jc w:val="right"/>
              <w:rPr>
                <w:rFonts w:hint="default" w:ascii="方正书宋_GBK" w:eastAsia="方正书宋_GBK"/>
                <w:color w:val="auto"/>
                <w:sz w:val="22"/>
                <w:szCs w:val="22"/>
                <w:lang w:val="en-US" w:eastAsia="zh-CN"/>
              </w:rPr>
            </w:pPr>
            <w:r>
              <w:rPr>
                <w:rFonts w:hint="eastAsia" w:ascii="方正书宋_GBK" w:eastAsia="方正书宋_GBK"/>
                <w:color w:val="auto"/>
                <w:sz w:val="22"/>
                <w:szCs w:val="22"/>
                <w:lang w:val="en-US" w:eastAsia="zh-CN"/>
              </w:rPr>
              <w:t>127</w:t>
            </w:r>
          </w:p>
        </w:tc>
        <w:tc>
          <w:tcPr>
            <w:tcW w:w="974" w:type="dxa"/>
            <w:noWrap w:val="0"/>
            <w:vAlign w:val="center"/>
          </w:tcPr>
          <w:p>
            <w:pPr>
              <w:spacing w:line="300" w:lineRule="exact"/>
              <w:jc w:val="left"/>
              <w:rPr>
                <w:rFonts w:ascii="方正书宋_GBK" w:eastAsia="方正书宋_GBK"/>
                <w:color w:val="auto"/>
                <w:sz w:val="22"/>
                <w:szCs w:val="22"/>
              </w:rPr>
            </w:pPr>
            <w:r>
              <w:rPr>
                <w:rFonts w:hint="eastAsia" w:ascii="方正书宋_GBK" w:eastAsia="方正书宋_GBK"/>
                <w:color w:val="auto"/>
                <w:sz w:val="22"/>
                <w:szCs w:val="22"/>
              </w:rPr>
              <w:t>货物</w:t>
            </w:r>
          </w:p>
        </w:tc>
        <w:tc>
          <w:tcPr>
            <w:tcW w:w="986" w:type="dxa"/>
            <w:noWrap w:val="0"/>
            <w:vAlign w:val="center"/>
          </w:tcPr>
          <w:p>
            <w:pPr>
              <w:spacing w:line="300" w:lineRule="exact"/>
              <w:jc w:val="left"/>
              <w:rPr>
                <w:rFonts w:ascii="方正书宋_GBK" w:eastAsia="方正书宋_GBK"/>
                <w:color w:val="auto"/>
                <w:sz w:val="22"/>
                <w:szCs w:val="22"/>
              </w:rPr>
            </w:pPr>
            <w:r>
              <w:rPr>
                <w:rFonts w:ascii="方正书宋_GBK" w:eastAsia="方正书宋_GBK"/>
                <w:color w:val="auto"/>
                <w:sz w:val="22"/>
                <w:szCs w:val="22"/>
              </w:rPr>
              <w:t>A</w:t>
            </w:r>
          </w:p>
        </w:tc>
        <w:tc>
          <w:tcPr>
            <w:tcW w:w="760" w:type="dxa"/>
            <w:noWrap w:val="0"/>
            <w:vAlign w:val="center"/>
          </w:tcPr>
          <w:p>
            <w:pPr>
              <w:spacing w:line="300" w:lineRule="exact"/>
              <w:jc w:val="left"/>
              <w:rPr>
                <w:rFonts w:ascii="方正书宋_GBK" w:eastAsia="方正书宋_GBK"/>
                <w:color w:val="auto"/>
                <w:sz w:val="22"/>
                <w:szCs w:val="22"/>
              </w:rPr>
            </w:pPr>
            <w:r>
              <w:rPr>
                <w:rFonts w:hint="eastAsia" w:ascii="方正书宋_GBK" w:eastAsia="方正书宋_GBK"/>
                <w:color w:val="auto"/>
                <w:sz w:val="22"/>
                <w:szCs w:val="22"/>
              </w:rPr>
              <w:t>批</w:t>
            </w:r>
          </w:p>
        </w:tc>
        <w:tc>
          <w:tcPr>
            <w:tcW w:w="760" w:type="dxa"/>
            <w:noWrap w:val="0"/>
            <w:vAlign w:val="center"/>
          </w:tcPr>
          <w:p>
            <w:pPr>
              <w:spacing w:line="300" w:lineRule="exact"/>
              <w:jc w:val="right"/>
              <w:rPr>
                <w:rFonts w:ascii="方正书宋_GBK" w:eastAsia="方正书宋_GBK"/>
                <w:color w:val="auto"/>
                <w:sz w:val="22"/>
                <w:szCs w:val="22"/>
              </w:rPr>
            </w:pPr>
            <w:r>
              <w:rPr>
                <w:rFonts w:ascii="方正书宋_GBK" w:eastAsia="方正书宋_GBK"/>
                <w:color w:val="auto"/>
                <w:sz w:val="22"/>
                <w:szCs w:val="22"/>
              </w:rPr>
              <w:t>1.00</w:t>
            </w:r>
          </w:p>
        </w:tc>
        <w:tc>
          <w:tcPr>
            <w:tcW w:w="848" w:type="dxa"/>
            <w:noWrap w:val="0"/>
            <w:vAlign w:val="center"/>
          </w:tcPr>
          <w:p>
            <w:pPr>
              <w:spacing w:line="300" w:lineRule="exact"/>
              <w:jc w:val="right"/>
              <w:rPr>
                <w:rFonts w:ascii="方正书宋_GBK" w:eastAsia="方正书宋_GBK"/>
                <w:color w:val="auto"/>
                <w:sz w:val="22"/>
                <w:szCs w:val="22"/>
              </w:rPr>
            </w:pPr>
            <w:r>
              <w:rPr>
                <w:rFonts w:hint="eastAsia" w:ascii="方正书宋_GBK" w:eastAsia="方正书宋_GBK"/>
                <w:color w:val="auto"/>
                <w:sz w:val="22"/>
                <w:szCs w:val="22"/>
                <w:lang w:val="en-US" w:eastAsia="zh-CN"/>
              </w:rPr>
              <w:t>127</w:t>
            </w:r>
          </w:p>
        </w:tc>
        <w:tc>
          <w:tcPr>
            <w:tcW w:w="961" w:type="dxa"/>
            <w:noWrap w:val="0"/>
            <w:vAlign w:val="center"/>
          </w:tcPr>
          <w:p>
            <w:pPr>
              <w:spacing w:line="300" w:lineRule="exact"/>
              <w:jc w:val="right"/>
              <w:rPr>
                <w:rFonts w:ascii="方正书宋_GBK" w:eastAsia="方正书宋_GBK"/>
                <w:color w:val="auto"/>
                <w:sz w:val="22"/>
                <w:szCs w:val="22"/>
              </w:rPr>
            </w:pPr>
            <w:r>
              <w:rPr>
                <w:rFonts w:hint="eastAsia" w:ascii="方正书宋_GBK" w:eastAsia="方正书宋_GBK"/>
                <w:color w:val="auto"/>
                <w:sz w:val="22"/>
                <w:szCs w:val="22"/>
                <w:lang w:val="en-US" w:eastAsia="zh-CN"/>
              </w:rPr>
              <w:t>127</w:t>
            </w:r>
          </w:p>
        </w:tc>
        <w:tc>
          <w:tcPr>
            <w:tcW w:w="961" w:type="dxa"/>
            <w:noWrap w:val="0"/>
            <w:vAlign w:val="center"/>
          </w:tcPr>
          <w:p>
            <w:pPr>
              <w:spacing w:line="300" w:lineRule="exact"/>
              <w:jc w:val="right"/>
              <w:rPr>
                <w:rFonts w:hint="default" w:ascii="方正书宋_GBK" w:eastAsia="方正书宋_GBK"/>
                <w:color w:val="auto"/>
                <w:sz w:val="22"/>
                <w:szCs w:val="22"/>
                <w:lang w:val="en-US" w:eastAsia="zh-CN"/>
              </w:rPr>
            </w:pPr>
            <w:r>
              <w:rPr>
                <w:rFonts w:hint="eastAsia" w:ascii="方正书宋_GBK" w:eastAsia="方正书宋_GBK"/>
                <w:color w:val="auto"/>
                <w:sz w:val="22"/>
                <w:szCs w:val="22"/>
                <w:lang w:val="en-US" w:eastAsia="zh-CN"/>
              </w:rPr>
              <w:t>127</w:t>
            </w:r>
          </w:p>
        </w:tc>
        <w:tc>
          <w:tcPr>
            <w:tcW w:w="961" w:type="dxa"/>
            <w:noWrap w:val="0"/>
            <w:vAlign w:val="center"/>
          </w:tcPr>
          <w:p>
            <w:pPr>
              <w:spacing w:line="300" w:lineRule="exact"/>
              <w:jc w:val="right"/>
              <w:rPr>
                <w:rFonts w:hint="default" w:ascii="方正书宋_GBK" w:eastAsia="方正书宋_GBK"/>
                <w:color w:val="auto"/>
                <w:sz w:val="22"/>
                <w:szCs w:val="22"/>
                <w:lang w:val="en-US" w:eastAsia="zh-CN"/>
              </w:rPr>
            </w:pPr>
            <w:r>
              <w:rPr>
                <w:rFonts w:hint="eastAsia" w:ascii="方正书宋_GBK" w:eastAsia="方正书宋_GBK"/>
                <w:color w:val="auto"/>
                <w:sz w:val="22"/>
                <w:szCs w:val="22"/>
                <w:lang w:val="en-US" w:eastAsia="zh-CN"/>
              </w:rPr>
              <w:t>127</w:t>
            </w:r>
          </w:p>
        </w:tc>
        <w:tc>
          <w:tcPr>
            <w:tcW w:w="961" w:type="dxa"/>
            <w:noWrap w:val="0"/>
            <w:vAlign w:val="center"/>
          </w:tcPr>
          <w:p>
            <w:pPr>
              <w:spacing w:line="300" w:lineRule="exact"/>
              <w:jc w:val="right"/>
              <w:rPr>
                <w:rFonts w:ascii="方正书宋_GBK" w:eastAsia="方正书宋_GBK"/>
                <w:color w:val="auto"/>
                <w:sz w:val="22"/>
                <w:szCs w:val="22"/>
              </w:rPr>
            </w:pPr>
          </w:p>
        </w:tc>
        <w:tc>
          <w:tcPr>
            <w:tcW w:w="964" w:type="dxa"/>
            <w:noWrap w:val="0"/>
            <w:vAlign w:val="center"/>
          </w:tcPr>
          <w:p>
            <w:pPr>
              <w:spacing w:line="300" w:lineRule="exact"/>
              <w:jc w:val="right"/>
              <w:rPr>
                <w:rFonts w:ascii="方正书宋_GBK" w:eastAsia="方正书宋_GBK"/>
                <w:color w:val="auto"/>
                <w:sz w:val="22"/>
                <w:szCs w:val="22"/>
              </w:rPr>
            </w:pPr>
          </w:p>
        </w:tc>
        <w:tc>
          <w:tcPr>
            <w:tcW w:w="964" w:type="dxa"/>
            <w:noWrap w:val="0"/>
            <w:vAlign w:val="center"/>
          </w:tcPr>
          <w:p>
            <w:pPr>
              <w:spacing w:line="300" w:lineRule="exact"/>
              <w:jc w:val="right"/>
              <w:rPr>
                <w:rFonts w:ascii="方正书宋_GBK" w:eastAsia="方正书宋_GBK"/>
                <w:color w:val="auto"/>
                <w:sz w:val="22"/>
                <w:szCs w:val="22"/>
              </w:rPr>
            </w:pPr>
          </w:p>
        </w:tc>
        <w:tc>
          <w:tcPr>
            <w:tcW w:w="921" w:type="dxa"/>
            <w:noWrap w:val="0"/>
            <w:vAlign w:val="center"/>
          </w:tcPr>
          <w:p>
            <w:pPr>
              <w:spacing w:line="300" w:lineRule="exact"/>
              <w:jc w:val="right"/>
              <w:rPr>
                <w:rFonts w:ascii="方正书宋_GBK" w:eastAsia="方正书宋_GBK"/>
                <w:color w:val="auto"/>
                <w:sz w:val="22"/>
                <w:szCs w:val="22"/>
              </w:rPr>
            </w:pPr>
          </w:p>
        </w:tc>
      </w:tr>
    </w:tbl>
    <w:p>
      <w:pPr>
        <w:rPr>
          <w:rFonts w:ascii="宋体" w:hAnsi="宋体" w:cs="宋体"/>
          <w:color w:val="auto"/>
          <w:sz w:val="18"/>
          <w:szCs w:val="18"/>
        </w:rPr>
        <w:sectPr>
          <w:pgSz w:w="16838" w:h="11906" w:orient="landscape"/>
          <w:pgMar w:top="1531" w:right="1588" w:bottom="1588" w:left="2155" w:header="0" w:footer="1588" w:gutter="0"/>
          <w:pgBorders>
            <w:top w:val="none" w:sz="0" w:space="0"/>
            <w:left w:val="none" w:sz="0" w:space="0"/>
            <w:bottom w:val="none" w:sz="0" w:space="0"/>
            <w:right w:val="none" w:sz="0" w:space="0"/>
          </w:pgBorders>
          <w:cols w:space="720" w:num="1"/>
          <w:docGrid w:type="lines" w:linePitch="569" w:charSpace="-1266"/>
        </w:sectPr>
      </w:pPr>
      <w:r>
        <w:rPr>
          <w:rFonts w:hint="eastAsia"/>
          <w:color w:val="auto"/>
          <w:sz w:val="18"/>
          <w:szCs w:val="18"/>
        </w:rPr>
        <w:t xml:space="preserve"> </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both"/>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七、国有资产信息情况</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中共宁晋县委组织部2021年末固定资产金额为247.868677万元，无形资产金额为74.718323万元。详见下表。</w:t>
      </w:r>
    </w:p>
    <w:tbl>
      <w:tblPr>
        <w:tblStyle w:val="10"/>
        <w:tblW w:w="7825" w:type="dxa"/>
        <w:jc w:val="center"/>
        <w:tblLayout w:type="fixed"/>
        <w:tblCellMar>
          <w:top w:w="0" w:type="dxa"/>
          <w:left w:w="108" w:type="dxa"/>
          <w:bottom w:w="0" w:type="dxa"/>
          <w:right w:w="108" w:type="dxa"/>
        </w:tblCellMar>
      </w:tblPr>
      <w:tblGrid>
        <w:gridCol w:w="3756"/>
        <w:gridCol w:w="1252"/>
        <w:gridCol w:w="2817"/>
      </w:tblGrid>
      <w:tr>
        <w:tblPrEx>
          <w:tblCellMar>
            <w:top w:w="0" w:type="dxa"/>
            <w:left w:w="108" w:type="dxa"/>
            <w:bottom w:w="0" w:type="dxa"/>
            <w:right w:w="108" w:type="dxa"/>
          </w:tblCellMar>
        </w:tblPrEx>
        <w:trPr>
          <w:trHeight w:val="702" w:hRule="atLeast"/>
          <w:jc w:val="center"/>
        </w:trPr>
        <w:tc>
          <w:tcPr>
            <w:tcW w:w="3756"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color w:val="auto"/>
                <w:kern w:val="0"/>
                <w:sz w:val="24"/>
                <w:szCs w:val="24"/>
              </w:rPr>
            </w:pPr>
            <w:r>
              <w:rPr>
                <w:rFonts w:hint="eastAsia" w:ascii="宋体" w:hAnsi="宋体" w:cs="宋体"/>
                <w:b/>
                <w:bCs/>
                <w:color w:val="auto"/>
                <w:kern w:val="0"/>
                <w:sz w:val="24"/>
                <w:szCs w:val="24"/>
              </w:rPr>
              <w:t>项   目</w:t>
            </w:r>
          </w:p>
        </w:tc>
        <w:tc>
          <w:tcPr>
            <w:tcW w:w="1252"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color w:val="auto"/>
                <w:kern w:val="0"/>
                <w:sz w:val="24"/>
                <w:szCs w:val="24"/>
              </w:rPr>
            </w:pPr>
            <w:r>
              <w:rPr>
                <w:rFonts w:hint="eastAsia" w:ascii="宋体" w:hAnsi="宋体" w:cs="宋体"/>
                <w:b/>
                <w:bCs/>
                <w:color w:val="auto"/>
                <w:kern w:val="0"/>
                <w:sz w:val="24"/>
                <w:szCs w:val="24"/>
              </w:rPr>
              <w:t>数  量</w:t>
            </w:r>
          </w:p>
        </w:tc>
        <w:tc>
          <w:tcPr>
            <w:tcW w:w="2817"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color w:val="auto"/>
                <w:kern w:val="0"/>
                <w:sz w:val="24"/>
                <w:szCs w:val="24"/>
              </w:rPr>
            </w:pPr>
            <w:r>
              <w:rPr>
                <w:rFonts w:hint="eastAsia" w:ascii="宋体" w:hAnsi="宋体" w:cs="宋体"/>
                <w:b/>
                <w:bCs/>
                <w:color w:val="auto"/>
                <w:kern w:val="0"/>
                <w:sz w:val="24"/>
                <w:szCs w:val="24"/>
              </w:rPr>
              <w:t>价值（金额单位：万元）</w:t>
            </w:r>
          </w:p>
        </w:tc>
      </w:tr>
      <w:tr>
        <w:tblPrEx>
          <w:tblCellMar>
            <w:top w:w="0" w:type="dxa"/>
            <w:left w:w="108" w:type="dxa"/>
            <w:bottom w:w="0" w:type="dxa"/>
            <w:right w:w="108" w:type="dxa"/>
          </w:tblCellMar>
        </w:tblPrEx>
        <w:trPr>
          <w:trHeight w:val="702" w:hRule="atLeast"/>
          <w:jc w:val="center"/>
        </w:trPr>
        <w:tc>
          <w:tcPr>
            <w:tcW w:w="3756" w:type="dxa"/>
            <w:tcBorders>
              <w:top w:val="nil"/>
              <w:left w:val="single" w:color="auto" w:sz="4" w:space="0"/>
              <w:bottom w:val="single" w:color="auto" w:sz="4" w:space="0"/>
              <w:right w:val="single" w:color="auto" w:sz="4" w:space="0"/>
            </w:tcBorders>
            <w:vAlign w:val="center"/>
          </w:tcPr>
          <w:p>
            <w:pPr>
              <w:widowControl/>
              <w:jc w:val="center"/>
              <w:rPr>
                <w:rFonts w:ascii="宋体" w:hAnsi="宋体" w:cs="宋体"/>
                <w:b/>
                <w:bCs/>
                <w:color w:val="auto"/>
                <w:kern w:val="0"/>
                <w:sz w:val="21"/>
                <w:szCs w:val="21"/>
              </w:rPr>
            </w:pPr>
            <w:r>
              <w:rPr>
                <w:rFonts w:hint="eastAsia" w:ascii="宋体" w:hAnsi="宋体" w:cs="宋体"/>
                <w:b/>
                <w:bCs/>
                <w:color w:val="auto"/>
                <w:kern w:val="0"/>
                <w:sz w:val="21"/>
                <w:szCs w:val="21"/>
              </w:rPr>
              <w:t>固定资产总额</w:t>
            </w:r>
          </w:p>
        </w:tc>
        <w:tc>
          <w:tcPr>
            <w:tcW w:w="1252" w:type="dxa"/>
            <w:tcBorders>
              <w:top w:val="nil"/>
              <w:left w:val="nil"/>
              <w:bottom w:val="single" w:color="auto" w:sz="4" w:space="0"/>
              <w:right w:val="single" w:color="auto" w:sz="4" w:space="0"/>
            </w:tcBorders>
            <w:vAlign w:val="center"/>
          </w:tcPr>
          <w:p>
            <w:pPr>
              <w:widowControl/>
              <w:jc w:val="center"/>
              <w:rPr>
                <w:rFonts w:ascii="宋体" w:hAnsi="宋体" w:cs="宋体"/>
                <w:color w:val="auto"/>
                <w:kern w:val="0"/>
                <w:sz w:val="21"/>
                <w:szCs w:val="21"/>
              </w:rPr>
            </w:pPr>
            <w:r>
              <w:rPr>
                <w:rFonts w:hint="eastAsia" w:ascii="宋体" w:hAnsi="宋体" w:cs="宋体"/>
                <w:color w:val="auto"/>
                <w:kern w:val="0"/>
                <w:sz w:val="21"/>
                <w:szCs w:val="21"/>
              </w:rPr>
              <w:t>——</w:t>
            </w:r>
          </w:p>
        </w:tc>
        <w:tc>
          <w:tcPr>
            <w:tcW w:w="2817" w:type="dxa"/>
            <w:tcBorders>
              <w:top w:val="nil"/>
              <w:left w:val="nil"/>
              <w:bottom w:val="single" w:color="auto" w:sz="4" w:space="0"/>
              <w:right w:val="single" w:color="auto" w:sz="4" w:space="0"/>
            </w:tcBorders>
            <w:vAlign w:val="center"/>
          </w:tcPr>
          <w:p>
            <w:pPr>
              <w:widowControl/>
              <w:wordWrap w:val="0"/>
              <w:jc w:val="right"/>
              <w:rPr>
                <w:rFonts w:hint="eastAsia" w:ascii="宋体" w:hAnsi="宋体" w:eastAsia="仿宋_GB2312" w:cs="宋体"/>
                <w:color w:val="auto"/>
                <w:kern w:val="0"/>
                <w:sz w:val="21"/>
                <w:szCs w:val="21"/>
                <w:lang w:eastAsia="zh-CN"/>
              </w:rPr>
            </w:pPr>
            <w:r>
              <w:rPr>
                <w:rFonts w:hint="eastAsia" w:ascii="宋体" w:hAnsi="宋体" w:cs="宋体"/>
                <w:color w:val="auto"/>
                <w:kern w:val="0"/>
                <w:sz w:val="21"/>
                <w:szCs w:val="21"/>
                <w:lang w:val="en-US" w:eastAsia="zh-CN"/>
              </w:rPr>
              <w:t xml:space="preserve">247.868677 </w:t>
            </w:r>
          </w:p>
        </w:tc>
      </w:tr>
      <w:tr>
        <w:tblPrEx>
          <w:tblCellMar>
            <w:top w:w="0" w:type="dxa"/>
            <w:left w:w="108" w:type="dxa"/>
            <w:bottom w:w="0" w:type="dxa"/>
            <w:right w:w="108" w:type="dxa"/>
          </w:tblCellMar>
        </w:tblPrEx>
        <w:trPr>
          <w:trHeight w:val="702" w:hRule="atLeast"/>
          <w:jc w:val="center"/>
        </w:trPr>
        <w:tc>
          <w:tcPr>
            <w:tcW w:w="3756"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color w:val="auto"/>
                <w:kern w:val="0"/>
                <w:sz w:val="21"/>
                <w:szCs w:val="21"/>
              </w:rPr>
            </w:pPr>
            <w:r>
              <w:rPr>
                <w:rFonts w:hint="eastAsia" w:ascii="宋体" w:hAnsi="宋体" w:cs="宋体"/>
                <w:color w:val="auto"/>
                <w:kern w:val="0"/>
                <w:sz w:val="21"/>
                <w:szCs w:val="21"/>
              </w:rPr>
              <w:t>1.房屋（平方米）</w:t>
            </w:r>
          </w:p>
        </w:tc>
        <w:tc>
          <w:tcPr>
            <w:tcW w:w="1252" w:type="dxa"/>
            <w:tcBorders>
              <w:top w:val="single" w:color="000000" w:sz="4" w:space="0"/>
              <w:left w:val="nil"/>
              <w:bottom w:val="single" w:color="000000" w:sz="4" w:space="0"/>
              <w:right w:val="single" w:color="000000" w:sz="8" w:space="0"/>
            </w:tcBorders>
            <w:vAlign w:val="center"/>
          </w:tcPr>
          <w:p>
            <w:pPr>
              <w:widowControl/>
              <w:wordWrap w:val="0"/>
              <w:jc w:val="right"/>
              <w:rPr>
                <w:rFonts w:ascii="宋体" w:hAnsi="宋体" w:cs="宋体"/>
                <w:color w:val="auto"/>
                <w:kern w:val="0"/>
                <w:sz w:val="21"/>
                <w:szCs w:val="21"/>
              </w:rPr>
            </w:pPr>
            <w:r>
              <w:rPr>
                <w:rFonts w:hint="eastAsia" w:ascii="宋体" w:hAnsi="宋体" w:cs="宋体"/>
                <w:color w:val="auto"/>
                <w:kern w:val="0"/>
                <w:sz w:val="21"/>
                <w:szCs w:val="21"/>
              </w:rPr>
              <w:t xml:space="preserve">5,240.73 </w:t>
            </w:r>
          </w:p>
        </w:tc>
        <w:tc>
          <w:tcPr>
            <w:tcW w:w="2817" w:type="dxa"/>
            <w:tcBorders>
              <w:top w:val="single" w:color="000000" w:sz="4" w:space="0"/>
              <w:left w:val="nil"/>
              <w:bottom w:val="single" w:color="000000" w:sz="4" w:space="0"/>
              <w:right w:val="single" w:color="000000" w:sz="4" w:space="0"/>
            </w:tcBorders>
            <w:vAlign w:val="center"/>
          </w:tcPr>
          <w:p>
            <w:pPr>
              <w:widowControl/>
              <w:wordWrap w:val="0"/>
              <w:jc w:val="right"/>
              <w:rPr>
                <w:rFonts w:hint="eastAsia" w:ascii="宋体" w:hAnsi="宋体" w:eastAsia="仿宋_GB2312" w:cs="宋体"/>
                <w:color w:val="auto"/>
                <w:kern w:val="0"/>
                <w:sz w:val="21"/>
                <w:szCs w:val="21"/>
                <w:lang w:eastAsia="zh-CN"/>
              </w:rPr>
            </w:pPr>
            <w:r>
              <w:rPr>
                <w:rFonts w:hint="eastAsia" w:ascii="宋体" w:hAnsi="宋体" w:cs="宋体"/>
                <w:color w:val="auto"/>
                <w:kern w:val="0"/>
                <w:sz w:val="21"/>
                <w:szCs w:val="21"/>
                <w:lang w:val="en-US" w:eastAsia="zh-CN"/>
              </w:rPr>
              <w:t xml:space="preserve">79.668816 </w:t>
            </w:r>
          </w:p>
        </w:tc>
      </w:tr>
      <w:tr>
        <w:tblPrEx>
          <w:tblCellMar>
            <w:top w:w="0" w:type="dxa"/>
            <w:left w:w="108" w:type="dxa"/>
            <w:bottom w:w="0" w:type="dxa"/>
            <w:right w:w="108" w:type="dxa"/>
          </w:tblCellMar>
        </w:tblPrEx>
        <w:trPr>
          <w:trHeight w:val="702" w:hRule="atLeast"/>
          <w:jc w:val="center"/>
        </w:trPr>
        <w:tc>
          <w:tcPr>
            <w:tcW w:w="3756" w:type="dxa"/>
            <w:tcBorders>
              <w:top w:val="nil"/>
              <w:left w:val="single" w:color="auto" w:sz="4" w:space="0"/>
              <w:bottom w:val="single" w:color="auto" w:sz="4" w:space="0"/>
              <w:right w:val="single" w:color="auto" w:sz="4" w:space="0"/>
            </w:tcBorders>
            <w:vAlign w:val="center"/>
          </w:tcPr>
          <w:p>
            <w:pPr>
              <w:widowControl/>
              <w:ind w:firstLine="420" w:firstLineChars="200"/>
              <w:jc w:val="left"/>
              <w:rPr>
                <w:rFonts w:ascii="宋体" w:hAnsi="宋体" w:cs="宋体"/>
                <w:color w:val="auto"/>
                <w:kern w:val="0"/>
                <w:sz w:val="21"/>
                <w:szCs w:val="21"/>
              </w:rPr>
            </w:pPr>
            <w:r>
              <w:rPr>
                <w:rFonts w:hint="eastAsia" w:ascii="宋体" w:hAnsi="宋体" w:cs="宋体"/>
                <w:color w:val="auto"/>
                <w:kern w:val="0"/>
                <w:sz w:val="21"/>
                <w:szCs w:val="21"/>
              </w:rPr>
              <w:t>其中：办公用房</w:t>
            </w:r>
          </w:p>
        </w:tc>
        <w:tc>
          <w:tcPr>
            <w:tcW w:w="1252" w:type="dxa"/>
            <w:tcBorders>
              <w:top w:val="nil"/>
              <w:left w:val="nil"/>
              <w:bottom w:val="single" w:color="000000" w:sz="4" w:space="0"/>
              <w:right w:val="single" w:color="000000" w:sz="8" w:space="0"/>
            </w:tcBorders>
            <w:vAlign w:val="center"/>
          </w:tcPr>
          <w:p>
            <w:pPr>
              <w:widowControl/>
              <w:jc w:val="right"/>
              <w:rPr>
                <w:rFonts w:ascii="宋体" w:hAnsi="宋体" w:cs="宋体"/>
                <w:color w:val="auto"/>
                <w:kern w:val="0"/>
                <w:sz w:val="21"/>
                <w:szCs w:val="21"/>
              </w:rPr>
            </w:pPr>
            <w:r>
              <w:rPr>
                <w:rFonts w:hint="eastAsia" w:ascii="宋体" w:hAnsi="宋体" w:cs="宋体"/>
                <w:color w:val="auto"/>
                <w:kern w:val="0"/>
                <w:sz w:val="21"/>
                <w:szCs w:val="21"/>
                <w:lang w:val="en-US" w:eastAsia="zh-CN"/>
              </w:rPr>
              <w:t>2050</w:t>
            </w:r>
            <w:r>
              <w:rPr>
                <w:rFonts w:hint="eastAsia" w:ascii="宋体" w:hAnsi="宋体" w:cs="宋体"/>
                <w:color w:val="auto"/>
                <w:kern w:val="0"/>
                <w:sz w:val="21"/>
                <w:szCs w:val="21"/>
              </w:rPr>
              <w:t xml:space="preserve"> </w:t>
            </w:r>
          </w:p>
        </w:tc>
        <w:tc>
          <w:tcPr>
            <w:tcW w:w="2817" w:type="dxa"/>
            <w:tcBorders>
              <w:top w:val="nil"/>
              <w:left w:val="nil"/>
              <w:bottom w:val="single" w:color="000000" w:sz="4" w:space="0"/>
              <w:right w:val="single" w:color="000000" w:sz="4" w:space="0"/>
            </w:tcBorders>
            <w:vAlign w:val="center"/>
          </w:tcPr>
          <w:p>
            <w:pPr>
              <w:widowControl/>
              <w:jc w:val="right"/>
              <w:rPr>
                <w:rFonts w:hint="default" w:ascii="宋体" w:hAnsi="宋体" w:eastAsia="仿宋_GB2312" w:cs="宋体"/>
                <w:color w:val="auto"/>
                <w:kern w:val="0"/>
                <w:sz w:val="21"/>
                <w:szCs w:val="21"/>
                <w:lang w:val="en-US" w:eastAsia="zh-CN"/>
              </w:rPr>
            </w:pPr>
            <w:r>
              <w:rPr>
                <w:rFonts w:hint="eastAsia" w:ascii="宋体" w:hAnsi="宋体" w:cs="宋体"/>
                <w:color w:val="auto"/>
                <w:kern w:val="0"/>
                <w:sz w:val="21"/>
                <w:szCs w:val="21"/>
                <w:lang w:val="en-US" w:eastAsia="zh-CN"/>
              </w:rPr>
              <w:t>20.596516</w:t>
            </w:r>
          </w:p>
        </w:tc>
      </w:tr>
      <w:tr>
        <w:tblPrEx>
          <w:tblCellMar>
            <w:top w:w="0" w:type="dxa"/>
            <w:left w:w="108" w:type="dxa"/>
            <w:bottom w:w="0" w:type="dxa"/>
            <w:right w:w="108" w:type="dxa"/>
          </w:tblCellMar>
        </w:tblPrEx>
        <w:trPr>
          <w:trHeight w:val="702" w:hRule="atLeast"/>
          <w:jc w:val="center"/>
        </w:trPr>
        <w:tc>
          <w:tcPr>
            <w:tcW w:w="3756"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color w:val="auto"/>
                <w:kern w:val="0"/>
                <w:sz w:val="21"/>
                <w:szCs w:val="21"/>
              </w:rPr>
            </w:pPr>
            <w:r>
              <w:rPr>
                <w:rFonts w:hint="eastAsia" w:ascii="宋体" w:hAnsi="宋体" w:cs="宋体"/>
                <w:color w:val="auto"/>
                <w:kern w:val="0"/>
                <w:sz w:val="21"/>
                <w:szCs w:val="21"/>
              </w:rPr>
              <w:t>2.车辆（台、辆）</w:t>
            </w:r>
          </w:p>
        </w:tc>
        <w:tc>
          <w:tcPr>
            <w:tcW w:w="1252" w:type="dxa"/>
            <w:tcBorders>
              <w:top w:val="single" w:color="auto" w:sz="4" w:space="0"/>
              <w:left w:val="nil"/>
              <w:bottom w:val="single" w:color="auto" w:sz="4" w:space="0"/>
              <w:right w:val="single" w:color="auto" w:sz="4" w:space="0"/>
            </w:tcBorders>
            <w:vAlign w:val="center"/>
          </w:tcPr>
          <w:p>
            <w:pPr>
              <w:widowControl/>
              <w:jc w:val="right"/>
              <w:rPr>
                <w:rFonts w:hint="eastAsia" w:ascii="宋体" w:hAnsi="宋体" w:eastAsia="仿宋_GB2312" w:cs="宋体"/>
                <w:color w:val="auto"/>
                <w:kern w:val="0"/>
                <w:sz w:val="21"/>
                <w:szCs w:val="21"/>
                <w:lang w:eastAsia="zh-CN"/>
              </w:rPr>
            </w:pPr>
            <w:r>
              <w:rPr>
                <w:rFonts w:hint="eastAsia" w:ascii="宋体" w:hAnsi="宋体" w:cs="宋体"/>
                <w:color w:val="auto"/>
                <w:kern w:val="0"/>
                <w:sz w:val="21"/>
                <w:szCs w:val="21"/>
                <w:lang w:val="en-US" w:eastAsia="zh-CN"/>
              </w:rPr>
              <w:t>4</w:t>
            </w:r>
          </w:p>
        </w:tc>
        <w:tc>
          <w:tcPr>
            <w:tcW w:w="2817" w:type="dxa"/>
            <w:tcBorders>
              <w:top w:val="nil"/>
              <w:left w:val="nil"/>
              <w:bottom w:val="single" w:color="000000" w:sz="4" w:space="0"/>
              <w:right w:val="single" w:color="000000" w:sz="4" w:space="0"/>
            </w:tcBorders>
            <w:vAlign w:val="center"/>
          </w:tcPr>
          <w:p>
            <w:pPr>
              <w:widowControl/>
              <w:jc w:val="right"/>
              <w:rPr>
                <w:rFonts w:hint="default" w:ascii="宋体" w:hAnsi="宋体" w:eastAsia="仿宋_GB2312" w:cs="宋体"/>
                <w:color w:val="auto"/>
                <w:kern w:val="0"/>
                <w:sz w:val="21"/>
                <w:szCs w:val="21"/>
                <w:lang w:val="en-US" w:eastAsia="zh-CN"/>
              </w:rPr>
            </w:pPr>
            <w:r>
              <w:rPr>
                <w:rFonts w:hint="eastAsia" w:ascii="宋体" w:hAnsi="宋体" w:cs="宋体"/>
                <w:color w:val="auto"/>
                <w:kern w:val="0"/>
                <w:sz w:val="21"/>
                <w:szCs w:val="21"/>
                <w:lang w:val="en-US" w:eastAsia="zh-CN"/>
              </w:rPr>
              <w:t>12.508095</w:t>
            </w:r>
          </w:p>
        </w:tc>
      </w:tr>
      <w:tr>
        <w:tblPrEx>
          <w:tblCellMar>
            <w:top w:w="0" w:type="dxa"/>
            <w:left w:w="108" w:type="dxa"/>
            <w:bottom w:w="0" w:type="dxa"/>
            <w:right w:w="108" w:type="dxa"/>
          </w:tblCellMar>
        </w:tblPrEx>
        <w:trPr>
          <w:trHeight w:val="702" w:hRule="atLeast"/>
          <w:jc w:val="center"/>
        </w:trPr>
        <w:tc>
          <w:tcPr>
            <w:tcW w:w="3756"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color w:val="auto"/>
                <w:kern w:val="0"/>
                <w:sz w:val="21"/>
                <w:szCs w:val="21"/>
              </w:rPr>
            </w:pPr>
            <w:r>
              <w:rPr>
                <w:rFonts w:hint="eastAsia" w:ascii="宋体" w:hAnsi="宋体" w:cs="宋体"/>
                <w:color w:val="auto"/>
                <w:kern w:val="0"/>
                <w:sz w:val="21"/>
                <w:szCs w:val="21"/>
              </w:rPr>
              <w:t>3.单价在50万元以上的设备（台、套）</w:t>
            </w:r>
          </w:p>
        </w:tc>
        <w:tc>
          <w:tcPr>
            <w:tcW w:w="1252" w:type="dxa"/>
            <w:tcBorders>
              <w:top w:val="nil"/>
              <w:left w:val="nil"/>
              <w:bottom w:val="single" w:color="auto" w:sz="4" w:space="0"/>
              <w:right w:val="single" w:color="auto" w:sz="4" w:space="0"/>
            </w:tcBorders>
            <w:vAlign w:val="center"/>
          </w:tcPr>
          <w:p>
            <w:pPr>
              <w:widowControl/>
              <w:jc w:val="left"/>
              <w:rPr>
                <w:rFonts w:ascii="宋体" w:hAnsi="宋体" w:cs="宋体"/>
                <w:color w:val="auto"/>
                <w:kern w:val="0"/>
                <w:sz w:val="21"/>
                <w:szCs w:val="21"/>
              </w:rPr>
            </w:pPr>
            <w:r>
              <w:rPr>
                <w:rFonts w:hint="eastAsia" w:ascii="宋体" w:hAnsi="宋体" w:cs="宋体"/>
                <w:color w:val="auto"/>
                <w:kern w:val="0"/>
                <w:sz w:val="21"/>
                <w:szCs w:val="21"/>
              </w:rPr>
              <w:t>　</w:t>
            </w:r>
          </w:p>
        </w:tc>
        <w:tc>
          <w:tcPr>
            <w:tcW w:w="2817" w:type="dxa"/>
            <w:tcBorders>
              <w:top w:val="single" w:color="auto" w:sz="4" w:space="0"/>
              <w:left w:val="nil"/>
              <w:bottom w:val="single" w:color="auto" w:sz="4" w:space="0"/>
              <w:right w:val="single" w:color="auto" w:sz="4" w:space="0"/>
            </w:tcBorders>
            <w:vAlign w:val="center"/>
          </w:tcPr>
          <w:p>
            <w:pPr>
              <w:widowControl/>
              <w:jc w:val="left"/>
              <w:rPr>
                <w:rFonts w:ascii="宋体" w:hAnsi="宋体" w:cs="宋体"/>
                <w:color w:val="auto"/>
                <w:kern w:val="0"/>
                <w:sz w:val="21"/>
                <w:szCs w:val="21"/>
              </w:rPr>
            </w:pPr>
            <w:r>
              <w:rPr>
                <w:rFonts w:hint="eastAsia" w:ascii="宋体" w:hAnsi="宋体" w:cs="宋体"/>
                <w:color w:val="auto"/>
                <w:kern w:val="0"/>
                <w:sz w:val="21"/>
                <w:szCs w:val="21"/>
              </w:rPr>
              <w:t>　</w:t>
            </w:r>
          </w:p>
        </w:tc>
      </w:tr>
      <w:tr>
        <w:tblPrEx>
          <w:tblCellMar>
            <w:top w:w="0" w:type="dxa"/>
            <w:left w:w="108" w:type="dxa"/>
            <w:bottom w:w="0" w:type="dxa"/>
            <w:right w:w="108" w:type="dxa"/>
          </w:tblCellMar>
        </w:tblPrEx>
        <w:trPr>
          <w:trHeight w:val="702" w:hRule="atLeast"/>
          <w:jc w:val="center"/>
        </w:trPr>
        <w:tc>
          <w:tcPr>
            <w:tcW w:w="375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color w:val="auto"/>
                <w:kern w:val="0"/>
                <w:sz w:val="21"/>
                <w:szCs w:val="21"/>
              </w:rPr>
            </w:pPr>
            <w:r>
              <w:rPr>
                <w:rFonts w:hint="eastAsia" w:ascii="宋体" w:hAnsi="宋体" w:cs="宋体"/>
                <w:color w:val="auto"/>
                <w:kern w:val="0"/>
                <w:sz w:val="21"/>
                <w:szCs w:val="21"/>
              </w:rPr>
              <w:t>4.其他固定资产</w:t>
            </w:r>
          </w:p>
        </w:tc>
        <w:tc>
          <w:tcPr>
            <w:tcW w:w="1252"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color w:val="auto"/>
                <w:kern w:val="0"/>
                <w:sz w:val="21"/>
                <w:szCs w:val="21"/>
              </w:rPr>
            </w:pPr>
            <w:r>
              <w:rPr>
                <w:rFonts w:hint="eastAsia" w:ascii="宋体" w:hAnsi="宋体" w:cs="宋体"/>
                <w:color w:val="auto"/>
                <w:kern w:val="0"/>
                <w:sz w:val="21"/>
                <w:szCs w:val="21"/>
              </w:rPr>
              <w:t>——</w:t>
            </w:r>
          </w:p>
        </w:tc>
        <w:tc>
          <w:tcPr>
            <w:tcW w:w="2817" w:type="dxa"/>
            <w:tcBorders>
              <w:top w:val="single" w:color="auto" w:sz="4" w:space="0"/>
              <w:left w:val="single" w:color="auto" w:sz="4" w:space="0"/>
              <w:bottom w:val="single" w:color="auto" w:sz="4" w:space="0"/>
              <w:right w:val="single" w:color="000000" w:sz="4" w:space="0"/>
            </w:tcBorders>
            <w:vAlign w:val="center"/>
          </w:tcPr>
          <w:p>
            <w:pPr>
              <w:widowControl/>
              <w:jc w:val="right"/>
              <w:rPr>
                <w:rFonts w:hint="default" w:ascii="宋体" w:hAnsi="宋体" w:eastAsia="仿宋_GB2312" w:cs="宋体"/>
                <w:color w:val="auto"/>
                <w:kern w:val="0"/>
                <w:sz w:val="21"/>
                <w:szCs w:val="21"/>
                <w:lang w:val="en-US" w:eastAsia="zh-CN"/>
              </w:rPr>
            </w:pPr>
            <w:r>
              <w:rPr>
                <w:rFonts w:hint="eastAsia" w:ascii="宋体" w:hAnsi="宋体" w:cs="宋体"/>
                <w:color w:val="auto"/>
                <w:kern w:val="0"/>
                <w:sz w:val="21"/>
                <w:szCs w:val="21"/>
                <w:lang w:val="en-US" w:eastAsia="zh-CN"/>
              </w:rPr>
              <w:t>80.973483</w:t>
            </w:r>
          </w:p>
        </w:tc>
      </w:tr>
      <w:tr>
        <w:tblPrEx>
          <w:tblCellMar>
            <w:top w:w="0" w:type="dxa"/>
            <w:left w:w="108" w:type="dxa"/>
            <w:bottom w:w="0" w:type="dxa"/>
            <w:right w:w="108" w:type="dxa"/>
          </w:tblCellMar>
        </w:tblPrEx>
        <w:trPr>
          <w:trHeight w:val="702" w:hRule="atLeast"/>
          <w:jc w:val="center"/>
        </w:trPr>
        <w:tc>
          <w:tcPr>
            <w:tcW w:w="3756" w:type="dxa"/>
            <w:tcBorders>
              <w:top w:val="single" w:color="auto" w:sz="4" w:space="0"/>
              <w:left w:val="single" w:color="auto" w:sz="4" w:space="0"/>
              <w:bottom w:val="single" w:color="auto" w:sz="4" w:space="0"/>
              <w:right w:val="single" w:color="auto" w:sz="4" w:space="0"/>
            </w:tcBorders>
            <w:vAlign w:val="center"/>
          </w:tcPr>
          <w:p>
            <w:pPr>
              <w:widowControl/>
              <w:jc w:val="center"/>
              <w:rPr>
                <w:rFonts w:hint="eastAsia" w:ascii="宋体" w:hAnsi="宋体" w:eastAsia="仿宋_GB2312" w:cs="宋体"/>
                <w:color w:val="auto"/>
                <w:kern w:val="0"/>
                <w:sz w:val="21"/>
                <w:szCs w:val="21"/>
                <w:lang w:eastAsia="zh-CN"/>
              </w:rPr>
            </w:pPr>
            <w:r>
              <w:rPr>
                <w:rFonts w:hint="eastAsia" w:ascii="宋体" w:hAnsi="宋体" w:cs="宋体"/>
                <w:b/>
                <w:bCs/>
                <w:color w:val="auto"/>
                <w:kern w:val="0"/>
                <w:sz w:val="21"/>
                <w:szCs w:val="21"/>
                <w:lang w:eastAsia="zh-CN"/>
              </w:rPr>
              <w:t>无形资产</w:t>
            </w:r>
          </w:p>
        </w:tc>
        <w:tc>
          <w:tcPr>
            <w:tcW w:w="1252" w:type="dxa"/>
            <w:tcBorders>
              <w:top w:val="single" w:color="auto" w:sz="4" w:space="0"/>
              <w:left w:val="single" w:color="auto" w:sz="4" w:space="0"/>
              <w:bottom w:val="single" w:color="auto" w:sz="4" w:space="0"/>
              <w:right w:val="single" w:color="auto" w:sz="4" w:space="0"/>
            </w:tcBorders>
            <w:vAlign w:val="center"/>
          </w:tcPr>
          <w:p>
            <w:pPr>
              <w:widowControl/>
              <w:jc w:val="center"/>
              <w:rPr>
                <w:rFonts w:hint="eastAsia" w:ascii="宋体" w:hAnsi="宋体" w:cs="宋体"/>
                <w:color w:val="auto"/>
                <w:kern w:val="0"/>
                <w:sz w:val="21"/>
                <w:szCs w:val="21"/>
              </w:rPr>
            </w:pPr>
          </w:p>
        </w:tc>
        <w:tc>
          <w:tcPr>
            <w:tcW w:w="2817" w:type="dxa"/>
            <w:tcBorders>
              <w:top w:val="single" w:color="auto" w:sz="4" w:space="0"/>
              <w:left w:val="single" w:color="auto" w:sz="4" w:space="0"/>
              <w:bottom w:val="single" w:color="auto" w:sz="4" w:space="0"/>
              <w:right w:val="single" w:color="000000" w:sz="4" w:space="0"/>
            </w:tcBorders>
            <w:vAlign w:val="center"/>
          </w:tcPr>
          <w:p>
            <w:pPr>
              <w:widowControl/>
              <w:jc w:val="right"/>
              <w:rPr>
                <w:rFonts w:hint="default" w:ascii="宋体" w:hAnsi="宋体" w:eastAsia="仿宋_GB2312" w:cs="宋体"/>
                <w:color w:val="auto"/>
                <w:kern w:val="0"/>
                <w:sz w:val="21"/>
                <w:szCs w:val="21"/>
                <w:lang w:val="en-US" w:eastAsia="zh-CN"/>
              </w:rPr>
            </w:pPr>
            <w:r>
              <w:rPr>
                <w:rFonts w:hint="eastAsia" w:ascii="宋体" w:hAnsi="宋体" w:cs="宋体"/>
                <w:color w:val="auto"/>
                <w:kern w:val="0"/>
                <w:sz w:val="21"/>
                <w:szCs w:val="21"/>
                <w:lang w:val="en-US" w:eastAsia="zh-CN"/>
              </w:rPr>
              <w:t>74.718323</w:t>
            </w:r>
          </w:p>
        </w:tc>
      </w:tr>
    </w:tbl>
    <w:p>
      <w:pPr>
        <w:jc w:val="left"/>
        <w:rPr>
          <w:rFonts w:ascii="宋体" w:hAnsi="宋体" w:cs="宋体"/>
          <w:color w:val="auto"/>
          <w:sz w:val="22"/>
        </w:rPr>
      </w:pP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both"/>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八、名词解释</w:t>
      </w:r>
    </w:p>
    <w:p>
      <w:pPr>
        <w:pStyle w:val="9"/>
        <w:spacing w:before="0" w:beforeAutospacing="0" w:after="0" w:afterAutospacing="0" w:line="600" w:lineRule="exact"/>
        <w:ind w:firstLine="643" w:firstLineChars="200"/>
        <w:rPr>
          <w:rFonts w:ascii="仿宋" w:hAnsi="仿宋" w:eastAsia="仿宋" w:cs="仿宋"/>
          <w:color w:val="auto"/>
          <w:sz w:val="32"/>
          <w:szCs w:val="32"/>
        </w:rPr>
      </w:pPr>
      <w:r>
        <w:rPr>
          <w:rFonts w:hint="eastAsia" w:ascii="仿宋_GB2312" w:hAnsi="仿宋" w:eastAsia="仿宋_GB2312" w:cs="Times New Roman"/>
          <w:b/>
          <w:color w:val="auto"/>
          <w:kern w:val="2"/>
          <w:sz w:val="32"/>
          <w:szCs w:val="32"/>
        </w:rPr>
        <w:t>(一)财政拨款收入：</w:t>
      </w:r>
      <w:r>
        <w:rPr>
          <w:rFonts w:hint="eastAsia" w:ascii="仿宋" w:hAnsi="仿宋" w:eastAsia="仿宋" w:cs="仿宋"/>
          <w:color w:val="auto"/>
          <w:sz w:val="32"/>
          <w:szCs w:val="32"/>
        </w:rPr>
        <w:t>指本级财政当年拨付的资金。</w:t>
      </w:r>
    </w:p>
    <w:p>
      <w:pPr>
        <w:pStyle w:val="9"/>
        <w:spacing w:before="0" w:beforeAutospacing="0" w:after="0" w:afterAutospacing="0" w:line="600" w:lineRule="exact"/>
        <w:ind w:firstLine="643" w:firstLineChars="200"/>
        <w:rPr>
          <w:rFonts w:ascii="仿宋" w:hAnsi="仿宋" w:eastAsia="仿宋" w:cs="仿宋"/>
          <w:color w:val="auto"/>
          <w:sz w:val="32"/>
          <w:szCs w:val="32"/>
        </w:rPr>
      </w:pPr>
      <w:r>
        <w:rPr>
          <w:rFonts w:hint="eastAsia" w:ascii="仿宋_GB2312" w:hAnsi="仿宋" w:eastAsia="仿宋_GB2312" w:cs="Times New Roman"/>
          <w:b/>
          <w:color w:val="auto"/>
          <w:kern w:val="2"/>
          <w:sz w:val="32"/>
          <w:szCs w:val="32"/>
        </w:rPr>
        <w:t>(二)其他收入：</w:t>
      </w:r>
      <w:r>
        <w:rPr>
          <w:rFonts w:hint="eastAsia" w:ascii="仿宋" w:hAnsi="仿宋" w:eastAsia="仿宋" w:cs="仿宋"/>
          <w:color w:val="auto"/>
          <w:sz w:val="32"/>
          <w:szCs w:val="32"/>
        </w:rPr>
        <w:t>指除上述“财政拨款收入”、“事业收入”、“经营收入”等以外的收入。</w:t>
      </w:r>
    </w:p>
    <w:p>
      <w:pPr>
        <w:pStyle w:val="9"/>
        <w:spacing w:before="0" w:beforeAutospacing="0" w:after="0" w:afterAutospacing="0" w:line="600" w:lineRule="exact"/>
        <w:ind w:firstLine="643" w:firstLineChars="200"/>
        <w:rPr>
          <w:rFonts w:ascii="仿宋" w:hAnsi="仿宋" w:eastAsia="仿宋" w:cs="仿宋"/>
          <w:color w:val="auto"/>
          <w:sz w:val="32"/>
          <w:szCs w:val="32"/>
        </w:rPr>
      </w:pPr>
      <w:r>
        <w:rPr>
          <w:rFonts w:hint="eastAsia" w:ascii="仿宋_GB2312" w:hAnsi="仿宋" w:eastAsia="仿宋_GB2312" w:cs="Times New Roman"/>
          <w:b/>
          <w:color w:val="auto"/>
          <w:kern w:val="2"/>
          <w:sz w:val="32"/>
          <w:szCs w:val="32"/>
        </w:rPr>
        <w:t>(三)年初结转和结余：</w:t>
      </w:r>
      <w:r>
        <w:rPr>
          <w:rFonts w:hint="eastAsia" w:ascii="仿宋" w:hAnsi="仿宋" w:eastAsia="仿宋" w:cs="仿宋"/>
          <w:color w:val="auto"/>
          <w:sz w:val="32"/>
          <w:szCs w:val="32"/>
        </w:rPr>
        <w:t>指以前年度尚未完成、结转到本年按有关规定继续使用的资金。</w:t>
      </w:r>
    </w:p>
    <w:p>
      <w:pPr>
        <w:pStyle w:val="9"/>
        <w:spacing w:before="0" w:beforeAutospacing="0" w:after="0" w:afterAutospacing="0" w:line="600" w:lineRule="exact"/>
        <w:ind w:firstLine="643" w:firstLineChars="200"/>
        <w:rPr>
          <w:rFonts w:ascii="仿宋" w:hAnsi="仿宋" w:eastAsia="仿宋" w:cs="仿宋"/>
          <w:color w:val="auto"/>
          <w:sz w:val="32"/>
          <w:szCs w:val="32"/>
        </w:rPr>
      </w:pPr>
      <w:r>
        <w:rPr>
          <w:rFonts w:hint="eastAsia" w:ascii="仿宋_GB2312" w:hAnsi="仿宋" w:eastAsia="仿宋_GB2312" w:cs="Times New Roman"/>
          <w:b/>
          <w:color w:val="auto"/>
          <w:kern w:val="2"/>
          <w:sz w:val="32"/>
          <w:szCs w:val="32"/>
        </w:rPr>
        <w:t>(四)结余分配：</w:t>
      </w:r>
      <w:r>
        <w:rPr>
          <w:rFonts w:hint="eastAsia" w:ascii="仿宋" w:hAnsi="仿宋" w:eastAsia="仿宋" w:cs="仿宋"/>
          <w:color w:val="auto"/>
          <w:sz w:val="32"/>
          <w:szCs w:val="32"/>
        </w:rPr>
        <w:t>指事业单位按规定提取的职工福利基金、事业基金和缴纳的所得税，以及建设单位按规定应交回的基本建设竣工项目结余资金。</w:t>
      </w:r>
    </w:p>
    <w:p>
      <w:pPr>
        <w:pStyle w:val="9"/>
        <w:spacing w:before="0" w:beforeAutospacing="0" w:after="0" w:afterAutospacing="0" w:line="600" w:lineRule="exact"/>
        <w:ind w:firstLine="643" w:firstLineChars="200"/>
        <w:rPr>
          <w:color w:val="auto"/>
          <w:kern w:val="2"/>
          <w:sz w:val="32"/>
          <w:szCs w:val="32"/>
        </w:rPr>
      </w:pPr>
      <w:r>
        <w:rPr>
          <w:rFonts w:hint="eastAsia" w:ascii="仿宋_GB2312" w:hAnsi="仿宋" w:eastAsia="仿宋_GB2312" w:cs="Times New Roman"/>
          <w:b/>
          <w:color w:val="auto"/>
          <w:kern w:val="2"/>
          <w:sz w:val="32"/>
          <w:szCs w:val="32"/>
        </w:rPr>
        <w:t>(五)基本支出：</w:t>
      </w:r>
      <w:r>
        <w:rPr>
          <w:rFonts w:hint="eastAsia" w:ascii="仿宋" w:hAnsi="仿宋" w:eastAsia="仿宋" w:cs="仿宋"/>
          <w:color w:val="auto"/>
          <w:sz w:val="32"/>
          <w:szCs w:val="32"/>
        </w:rPr>
        <w:t>指为保障机构正常运转、完成日常工作任务而发生的人员支出和公用支出。</w:t>
      </w:r>
    </w:p>
    <w:p>
      <w:pPr>
        <w:pStyle w:val="9"/>
        <w:spacing w:before="0" w:beforeAutospacing="0" w:after="0" w:afterAutospacing="0" w:line="600" w:lineRule="exact"/>
        <w:ind w:firstLine="643" w:firstLineChars="200"/>
        <w:rPr>
          <w:rFonts w:ascii="仿宋" w:hAnsi="仿宋" w:eastAsia="仿宋" w:cs="仿宋"/>
          <w:color w:val="auto"/>
          <w:sz w:val="32"/>
          <w:szCs w:val="32"/>
        </w:rPr>
      </w:pPr>
      <w:r>
        <w:rPr>
          <w:rFonts w:hint="eastAsia" w:ascii="仿宋_GB2312" w:hAnsi="仿宋" w:eastAsia="仿宋_GB2312" w:cs="Times New Roman"/>
          <w:b/>
          <w:color w:val="auto"/>
          <w:kern w:val="2"/>
          <w:sz w:val="32"/>
          <w:szCs w:val="32"/>
        </w:rPr>
        <w:t>(六)项目支出：</w:t>
      </w:r>
      <w:r>
        <w:rPr>
          <w:rFonts w:hint="eastAsia" w:ascii="仿宋" w:hAnsi="仿宋" w:eastAsia="仿宋" w:cs="仿宋"/>
          <w:color w:val="auto"/>
          <w:sz w:val="32"/>
          <w:szCs w:val="32"/>
        </w:rPr>
        <w:t>指在基本支出之外为完成特定行政任务和事业发展目标所发生的支出。</w:t>
      </w:r>
    </w:p>
    <w:p>
      <w:pPr>
        <w:pStyle w:val="9"/>
        <w:spacing w:before="0" w:beforeAutospacing="0" w:after="0" w:afterAutospacing="0" w:line="600" w:lineRule="exact"/>
        <w:ind w:firstLine="643" w:firstLineChars="200"/>
        <w:rPr>
          <w:rFonts w:ascii="仿宋" w:hAnsi="仿宋" w:eastAsia="仿宋" w:cs="仿宋"/>
          <w:color w:val="auto"/>
          <w:sz w:val="32"/>
          <w:szCs w:val="32"/>
        </w:rPr>
      </w:pPr>
      <w:r>
        <w:rPr>
          <w:rFonts w:hint="eastAsia" w:ascii="仿宋_GB2312" w:hAnsi="仿宋" w:eastAsia="仿宋_GB2312" w:cs="Times New Roman"/>
          <w:b/>
          <w:color w:val="auto"/>
          <w:kern w:val="2"/>
          <w:sz w:val="32"/>
          <w:szCs w:val="32"/>
        </w:rPr>
        <w:t>(七)“三公”经费：</w:t>
      </w:r>
      <w:r>
        <w:rPr>
          <w:rFonts w:hint="eastAsia" w:ascii="仿宋" w:hAnsi="仿宋" w:eastAsia="仿宋" w:cs="仿宋"/>
          <w:color w:val="auto"/>
          <w:sz w:val="32"/>
          <w:szCs w:val="32"/>
        </w:rPr>
        <w:t>纳入本级财政预决算管理的“三公”经费，是指本级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及租用费、燃料费、维修费、过路过桥费、保险费、安全奖励费用等支出;公务接待费反映单位按规定开支的各类公务接待(含外宾接待)支出。</w:t>
      </w:r>
    </w:p>
    <w:p>
      <w:pPr>
        <w:pStyle w:val="9"/>
        <w:spacing w:before="0" w:beforeAutospacing="0" w:after="0" w:afterAutospacing="0" w:line="600" w:lineRule="exact"/>
        <w:ind w:firstLine="643" w:firstLineChars="200"/>
        <w:rPr>
          <w:rFonts w:ascii="仿宋" w:hAnsi="仿宋" w:eastAsia="仿宋" w:cs="仿宋"/>
          <w:color w:val="auto"/>
          <w:sz w:val="32"/>
          <w:szCs w:val="32"/>
        </w:rPr>
      </w:pPr>
      <w:r>
        <w:rPr>
          <w:rFonts w:hint="eastAsia" w:ascii="仿宋_GB2312" w:hAnsi="仿宋" w:eastAsia="仿宋_GB2312" w:cs="Times New Roman"/>
          <w:b/>
          <w:color w:val="auto"/>
          <w:kern w:val="2"/>
          <w:sz w:val="32"/>
          <w:szCs w:val="32"/>
        </w:rPr>
        <w:t>(八)机关运行经费：</w:t>
      </w:r>
      <w:r>
        <w:rPr>
          <w:rFonts w:hint="eastAsia" w:ascii="仿宋" w:hAnsi="仿宋" w:eastAsia="仿宋" w:cs="仿宋"/>
          <w:color w:val="auto"/>
          <w:sz w:val="32"/>
          <w:szCs w:val="32"/>
        </w:rPr>
        <w:t>为保障行政单位(含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both"/>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九、其他需要说明的事项</w:t>
      </w:r>
    </w:p>
    <w:p>
      <w:pPr>
        <w:pStyle w:val="9"/>
        <w:spacing w:before="0" w:beforeAutospacing="0" w:after="0" w:afterAutospacing="0" w:line="600" w:lineRule="exact"/>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无其他需要说明的事项。</w:t>
      </w:r>
    </w:p>
    <w:p>
      <w:pPr>
        <w:keepNext w:val="0"/>
        <w:keepLines w:val="0"/>
        <w:pageBreakBefore w:val="0"/>
        <w:widowControl w:val="0"/>
        <w:kinsoku/>
        <w:wordWrap/>
        <w:overflowPunct/>
        <w:topLinePunct w:val="0"/>
        <w:autoSpaceDE w:val="0"/>
        <w:autoSpaceDN w:val="0"/>
        <w:bidi w:val="0"/>
        <w:adjustRightInd w:val="0"/>
        <w:snapToGrid/>
        <w:spacing w:line="560" w:lineRule="exact"/>
        <w:ind w:firstLine="600"/>
        <w:jc w:val="left"/>
        <w:textAlignment w:val="auto"/>
        <w:rPr>
          <w:rFonts w:hint="eastAsia" w:ascii="仿宋_GB2312" w:hAnsi="仿宋_GB2312" w:eastAsia="仿宋_GB2312" w:cs="仿宋_GB2312"/>
          <w:sz w:val="30"/>
          <w:szCs w:val="30"/>
        </w:rPr>
      </w:pPr>
    </w:p>
    <w:p/>
    <w:sectPr>
      <w:headerReference r:id="rId5" w:type="default"/>
      <w:footerReference r:id="rId6" w:type="default"/>
      <w:footerReference r:id="rId7" w:type="even"/>
      <w:pgSz w:w="11900" w:h="16840"/>
      <w:pgMar w:top="1020" w:right="1020" w:bottom="1020"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script"/>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embedRegular r:id="rId1" w:fontKey="{F8B7948B-D49C-4DD3-860C-D4F874B19D82}"/>
  </w:font>
  <w:font w:name="方正仿宋_GBK">
    <w:altName w:val="微软雅黑"/>
    <w:panose1 w:val="00000000000000000000"/>
    <w:charset w:val="00"/>
    <w:family w:val="auto"/>
    <w:pitch w:val="default"/>
    <w:sig w:usb0="00000000" w:usb1="00000000" w:usb2="00000000" w:usb3="00000000" w:csb0="00000000" w:csb1="00000000"/>
    <w:embedRegular r:id="rId2" w:fontKey="{801091AA-35BC-41E5-9D51-28FA2725D5DD}"/>
  </w:font>
  <w:font w:name="方正书宋_GBK">
    <w:altName w:val="微软雅黑"/>
    <w:panose1 w:val="00000000000000000000"/>
    <w:charset w:val="00"/>
    <w:family w:val="auto"/>
    <w:pitch w:val="default"/>
    <w:sig w:usb0="00000000" w:usb1="00000000" w:usb2="00000000" w:usb3="00000000" w:csb0="00000000" w:csb1="00000000"/>
    <w:embedRegular r:id="rId3" w:fontKey="{0657CAD4-E585-4A8C-A5AA-51548520D483}"/>
  </w:font>
  <w:font w:name="方正小标宋_GBK">
    <w:panose1 w:val="02000000000000000000"/>
    <w:charset w:val="86"/>
    <w:family w:val="auto"/>
    <w:pitch w:val="default"/>
    <w:sig w:usb0="A00002BF" w:usb1="38CF7CFA" w:usb2="00082016" w:usb3="00000000" w:csb0="00040001" w:csb1="00000000"/>
    <w:embedRegular r:id="rId4" w:fontKey="{B96ED934-4538-45C3-A629-E356C4239F05}"/>
  </w:font>
  <w:font w:name="方正楷体_GBK">
    <w:altName w:val="微软雅黑"/>
    <w:panose1 w:val="00000000000000000000"/>
    <w:charset w:val="00"/>
    <w:family w:val="auto"/>
    <w:pitch w:val="default"/>
    <w:sig w:usb0="00000000" w:usb1="00000000" w:usb2="00000000" w:usb3="00000000" w:csb0="00000000" w:csb1="00000000"/>
    <w:embedRegular r:id="rId5" w:fontKey="{B32DEB72-4776-4A9C-9F68-5ECF1BE9371C}"/>
  </w:font>
  <w:font w:name="宋体-方正超大字符集">
    <w:altName w:val="宋体"/>
    <w:panose1 w:val="03000509000000000000"/>
    <w:charset w:val="86"/>
    <w:family w:val="script"/>
    <w:pitch w:val="default"/>
    <w:sig w:usb0="00000000" w:usb1="00000000" w:usb2="00000010" w:usb3="00000000" w:csb0="00040000" w:csb1="00000000"/>
    <w:embedRegular r:id="rId6" w:fontKey="{1B421FCD-20D1-430E-8B50-E335BC1B5749}"/>
  </w:font>
  <w:font w:name="仿宋_GB2312">
    <w:panose1 w:val="02010609030101010101"/>
    <w:charset w:val="86"/>
    <w:family w:val="modern"/>
    <w:pitch w:val="default"/>
    <w:sig w:usb0="00000001" w:usb1="080E0000" w:usb2="00000000" w:usb3="00000000" w:csb0="00040000" w:csb1="00000000"/>
    <w:embedRegular r:id="rId7" w:fontKey="{C5C6CFEA-16FD-4340-8361-94866AEE3F20}"/>
  </w:font>
  <w:font w:name="仿宋">
    <w:panose1 w:val="02010609060101010101"/>
    <w:charset w:val="86"/>
    <w:family w:val="modern"/>
    <w:pitch w:val="default"/>
    <w:sig w:usb0="800002BF" w:usb1="38CF7CFA" w:usb2="00000016" w:usb3="00000000" w:csb0="00040001" w:csb1="00000000"/>
    <w:embedRegular r:id="rId8" w:fontKey="{3820B735-8D84-46B3-908F-1ED94034F0C1}"/>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89A8F38"/>
    <w:multiLevelType w:val="singleLevel"/>
    <w:tmpl w:val="589A8F38"/>
    <w:lvl w:ilvl="0" w:tentative="0">
      <w:start w:val="1"/>
      <w:numFmt w:val="decimal"/>
      <w:suff w:val="nothing"/>
      <w:lvlText w:val="%1、"/>
      <w:lvlJc w:val="left"/>
    </w:lvl>
  </w:abstractNum>
  <w:abstractNum w:abstractNumId="1">
    <w:nsid w:val="589A9132"/>
    <w:multiLevelType w:val="singleLevel"/>
    <w:tmpl w:val="589A9132"/>
    <w:lvl w:ilvl="0" w:tentative="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lkNTZjZGNiOTBiMzA4YjY4ZGNjMzMwZGFhYWVlZmYifQ=="/>
  </w:docVars>
  <w:rsids>
    <w:rsidRoot w:val="00000000"/>
    <w:rsid w:val="000E3FC3"/>
    <w:rsid w:val="00F52A8D"/>
    <w:rsid w:val="0136732D"/>
    <w:rsid w:val="014C6B51"/>
    <w:rsid w:val="020236B3"/>
    <w:rsid w:val="03A951F3"/>
    <w:rsid w:val="085B3B1D"/>
    <w:rsid w:val="089E3A0A"/>
    <w:rsid w:val="08FC70AE"/>
    <w:rsid w:val="09AB2883"/>
    <w:rsid w:val="09EF451D"/>
    <w:rsid w:val="0A00672A"/>
    <w:rsid w:val="0AF10769"/>
    <w:rsid w:val="0B325009"/>
    <w:rsid w:val="0B4C4AD3"/>
    <w:rsid w:val="0BC7245D"/>
    <w:rsid w:val="0C2030B4"/>
    <w:rsid w:val="0C4F1BEB"/>
    <w:rsid w:val="0C746CE6"/>
    <w:rsid w:val="0C923886"/>
    <w:rsid w:val="0E2B0C90"/>
    <w:rsid w:val="0E63197E"/>
    <w:rsid w:val="0F29227F"/>
    <w:rsid w:val="0F930041"/>
    <w:rsid w:val="0FB75ADD"/>
    <w:rsid w:val="10802373"/>
    <w:rsid w:val="10E8616A"/>
    <w:rsid w:val="11765524"/>
    <w:rsid w:val="120F1EA3"/>
    <w:rsid w:val="123553DF"/>
    <w:rsid w:val="13567656"/>
    <w:rsid w:val="1360023A"/>
    <w:rsid w:val="13960100"/>
    <w:rsid w:val="14180B15"/>
    <w:rsid w:val="14371012"/>
    <w:rsid w:val="164A3AD6"/>
    <w:rsid w:val="16A80F0A"/>
    <w:rsid w:val="17375756"/>
    <w:rsid w:val="176127D3"/>
    <w:rsid w:val="17F55BC7"/>
    <w:rsid w:val="181C7C90"/>
    <w:rsid w:val="19821E18"/>
    <w:rsid w:val="19C37774"/>
    <w:rsid w:val="19DB4ABE"/>
    <w:rsid w:val="1BC64A2C"/>
    <w:rsid w:val="1C4306F9"/>
    <w:rsid w:val="1D403077"/>
    <w:rsid w:val="1E36042F"/>
    <w:rsid w:val="1E6432D4"/>
    <w:rsid w:val="1FB1635B"/>
    <w:rsid w:val="21845A3B"/>
    <w:rsid w:val="242626B9"/>
    <w:rsid w:val="27852D64"/>
    <w:rsid w:val="280E605F"/>
    <w:rsid w:val="28100029"/>
    <w:rsid w:val="28810F26"/>
    <w:rsid w:val="28EF40E2"/>
    <w:rsid w:val="2A3D2C2B"/>
    <w:rsid w:val="2A7506E8"/>
    <w:rsid w:val="2B254913"/>
    <w:rsid w:val="2CE13D42"/>
    <w:rsid w:val="2D825525"/>
    <w:rsid w:val="2E3B56D4"/>
    <w:rsid w:val="2E6966E5"/>
    <w:rsid w:val="2EC27BA3"/>
    <w:rsid w:val="307153DD"/>
    <w:rsid w:val="30DD775E"/>
    <w:rsid w:val="30FE38A3"/>
    <w:rsid w:val="3183517E"/>
    <w:rsid w:val="31DE2F46"/>
    <w:rsid w:val="32BD2B5B"/>
    <w:rsid w:val="335C42EF"/>
    <w:rsid w:val="33C85C5B"/>
    <w:rsid w:val="343B467F"/>
    <w:rsid w:val="351C03B3"/>
    <w:rsid w:val="36056CF3"/>
    <w:rsid w:val="37537F32"/>
    <w:rsid w:val="376D0FF4"/>
    <w:rsid w:val="37704640"/>
    <w:rsid w:val="387E4B3B"/>
    <w:rsid w:val="38AF2F28"/>
    <w:rsid w:val="398D4278"/>
    <w:rsid w:val="39B351CD"/>
    <w:rsid w:val="3B1B63F2"/>
    <w:rsid w:val="3B404329"/>
    <w:rsid w:val="3B673668"/>
    <w:rsid w:val="3C5E715D"/>
    <w:rsid w:val="3C7921E9"/>
    <w:rsid w:val="3C7C75E3"/>
    <w:rsid w:val="3C8D3764"/>
    <w:rsid w:val="3D915310"/>
    <w:rsid w:val="3EAB2402"/>
    <w:rsid w:val="416B7C26"/>
    <w:rsid w:val="41C45CB4"/>
    <w:rsid w:val="42486C3B"/>
    <w:rsid w:val="43651149"/>
    <w:rsid w:val="43CA50F1"/>
    <w:rsid w:val="451E56DB"/>
    <w:rsid w:val="4528655A"/>
    <w:rsid w:val="46456C98"/>
    <w:rsid w:val="46655A51"/>
    <w:rsid w:val="46C87FF5"/>
    <w:rsid w:val="46CF7A29"/>
    <w:rsid w:val="46F64735"/>
    <w:rsid w:val="471843AC"/>
    <w:rsid w:val="484F02A2"/>
    <w:rsid w:val="491312CF"/>
    <w:rsid w:val="49D82FAF"/>
    <w:rsid w:val="49DB1DED"/>
    <w:rsid w:val="4A2E372D"/>
    <w:rsid w:val="4C420112"/>
    <w:rsid w:val="4CBF0399"/>
    <w:rsid w:val="4DC5749E"/>
    <w:rsid w:val="4E4D4C08"/>
    <w:rsid w:val="4EDB3AAB"/>
    <w:rsid w:val="4F133DD7"/>
    <w:rsid w:val="4F443E37"/>
    <w:rsid w:val="4F9A44F8"/>
    <w:rsid w:val="50C8686E"/>
    <w:rsid w:val="51954F77"/>
    <w:rsid w:val="52045C59"/>
    <w:rsid w:val="52E31D12"/>
    <w:rsid w:val="532D7F79"/>
    <w:rsid w:val="538F3C48"/>
    <w:rsid w:val="55FF3307"/>
    <w:rsid w:val="56424FA2"/>
    <w:rsid w:val="56C34335"/>
    <w:rsid w:val="570010E5"/>
    <w:rsid w:val="5705494D"/>
    <w:rsid w:val="58393879"/>
    <w:rsid w:val="586236D9"/>
    <w:rsid w:val="58786725"/>
    <w:rsid w:val="58C13E3C"/>
    <w:rsid w:val="596D67DA"/>
    <w:rsid w:val="5A3D7F5A"/>
    <w:rsid w:val="5B524A14"/>
    <w:rsid w:val="5B8D3163"/>
    <w:rsid w:val="5BAC183B"/>
    <w:rsid w:val="5BE9197B"/>
    <w:rsid w:val="5C4B7407"/>
    <w:rsid w:val="5C763B89"/>
    <w:rsid w:val="5D845EA0"/>
    <w:rsid w:val="5E211941"/>
    <w:rsid w:val="5E2A2EEB"/>
    <w:rsid w:val="5F5A6D0B"/>
    <w:rsid w:val="5FA10F8B"/>
    <w:rsid w:val="603B4F3C"/>
    <w:rsid w:val="61446072"/>
    <w:rsid w:val="64305CB5"/>
    <w:rsid w:val="646D3B32"/>
    <w:rsid w:val="64F733FB"/>
    <w:rsid w:val="67277FC8"/>
    <w:rsid w:val="696C085C"/>
    <w:rsid w:val="6A75729C"/>
    <w:rsid w:val="6C0528A2"/>
    <w:rsid w:val="6CB35C80"/>
    <w:rsid w:val="6CD965CE"/>
    <w:rsid w:val="6F062A2A"/>
    <w:rsid w:val="6F80296B"/>
    <w:rsid w:val="6FBA38B6"/>
    <w:rsid w:val="72723E32"/>
    <w:rsid w:val="735841A0"/>
    <w:rsid w:val="74F55BA9"/>
    <w:rsid w:val="75264102"/>
    <w:rsid w:val="75846F2D"/>
    <w:rsid w:val="76AD7B55"/>
    <w:rsid w:val="77177CAA"/>
    <w:rsid w:val="779E42D6"/>
    <w:rsid w:val="780F08F1"/>
    <w:rsid w:val="786541B6"/>
    <w:rsid w:val="797D616D"/>
    <w:rsid w:val="7AAD65DE"/>
    <w:rsid w:val="7B8A691F"/>
    <w:rsid w:val="7B8E4662"/>
    <w:rsid w:val="7BCF6460"/>
    <w:rsid w:val="7C4B2B74"/>
    <w:rsid w:val="7CDC31AB"/>
    <w:rsid w:val="7D50405D"/>
    <w:rsid w:val="7D5D253D"/>
    <w:rsid w:val="7E6416AA"/>
    <w:rsid w:val="7F38501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rPr>
      <w:rFonts w:ascii="Times New Roman" w:hAnsi="Times New Roman" w:eastAsia="Times New Roman" w:cstheme="minorBidi"/>
      <w:sz w:val="24"/>
      <w:szCs w:val="24"/>
      <w:lang w:val="en-US" w:eastAsia="uk-UA" w:bidi="ar-SA"/>
    </w:rPr>
  </w:style>
  <w:style w:type="character" w:default="1" w:styleId="12">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1"/>
    <w:autoRedefine/>
    <w:qFormat/>
    <w:uiPriority w:val="0"/>
    <w:pPr>
      <w:ind w:firstLine="420" w:firstLineChars="200"/>
    </w:pPr>
  </w:style>
  <w:style w:type="paragraph" w:styleId="3">
    <w:name w:val="Body Text Indent"/>
    <w:basedOn w:val="1"/>
    <w:qFormat/>
    <w:uiPriority w:val="0"/>
    <w:pPr>
      <w:spacing w:after="120"/>
      <w:ind w:left="420" w:leftChars="200"/>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bottom w:val="single" w:color="auto" w:sz="6" w:space="1"/>
      </w:pBdr>
      <w:tabs>
        <w:tab w:val="center" w:pos="4153"/>
        <w:tab w:val="right" w:pos="8306"/>
      </w:tabs>
      <w:snapToGrid w:val="0"/>
      <w:jc w:val="center"/>
    </w:pPr>
    <w:rPr>
      <w:sz w:val="18"/>
    </w:rPr>
  </w:style>
  <w:style w:type="paragraph" w:styleId="6">
    <w:name w:val="toc 1"/>
    <w:basedOn w:val="1"/>
    <w:next w:val="1"/>
    <w:qFormat/>
    <w:uiPriority w:val="0"/>
    <w:pPr>
      <w:spacing w:before="120" w:line="240" w:lineRule="auto"/>
      <w:ind w:firstLine="0"/>
    </w:pPr>
    <w:rPr>
      <w:rFonts w:ascii="Times New Roman" w:hAnsi="Times New Roman" w:eastAsia="方正仿宋_GBK" w:cs="Times New Roman"/>
      <w:color w:val="000000"/>
      <w:sz w:val="28"/>
      <w:lang w:val="en-US"/>
    </w:rPr>
  </w:style>
  <w:style w:type="paragraph" w:styleId="7">
    <w:name w:val="toc 4"/>
    <w:basedOn w:val="1"/>
    <w:next w:val="1"/>
    <w:qFormat/>
    <w:uiPriority w:val="0"/>
    <w:pPr>
      <w:ind w:left="720"/>
    </w:pPr>
  </w:style>
  <w:style w:type="paragraph" w:styleId="8">
    <w:name w:val="toc 2"/>
    <w:basedOn w:val="1"/>
    <w:next w:val="1"/>
    <w:qFormat/>
    <w:uiPriority w:val="0"/>
    <w:pPr>
      <w:ind w:left="240"/>
    </w:pPr>
  </w:style>
  <w:style w:type="paragraph" w:styleId="9">
    <w:name w:val="Normal (Web)"/>
    <w:basedOn w:val="1"/>
    <w:autoRedefine/>
    <w:qFormat/>
    <w:uiPriority w:val="0"/>
    <w:pPr>
      <w:widowControl/>
      <w:spacing w:before="100" w:beforeAutospacing="1" w:after="100" w:afterAutospacing="1"/>
      <w:jc w:val="left"/>
    </w:pPr>
    <w:rPr>
      <w:rFonts w:ascii="宋体" w:hAnsi="宋体" w:eastAsia="宋体" w:cs="宋体"/>
      <w:kern w:val="0"/>
      <w:sz w:val="24"/>
      <w:szCs w:val="24"/>
    </w:rPr>
  </w:style>
  <w:style w:type="table" w:styleId="11">
    <w:name w:val="Table Grid"/>
    <w:basedOn w:val="10"/>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13">
    <w:name w:val="page number"/>
    <w:basedOn w:val="12"/>
    <w:qFormat/>
    <w:uiPriority w:val="0"/>
  </w:style>
  <w:style w:type="paragraph" w:customStyle="1" w:styleId="14">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16">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7">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9">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0">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21">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2">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3">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character" w:customStyle="1" w:styleId="24">
    <w:name w:val="font51"/>
    <w:basedOn w:val="12"/>
    <w:qFormat/>
    <w:uiPriority w:val="0"/>
    <w:rPr>
      <w:rFonts w:hint="eastAsia" w:ascii="宋体" w:hAnsi="宋体" w:eastAsia="宋体" w:cs="宋体"/>
      <w:color w:val="000000"/>
      <w:sz w:val="22"/>
      <w:szCs w:val="22"/>
      <w:u w:val="none"/>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1.xml" Type="http://schemas.openxmlformats.org/officeDocument/2006/relationships/customXml"/><Relationship Id="rId11" Target="../customXml/item2.xml" Type="http://schemas.openxmlformats.org/officeDocument/2006/relationships/customXml"/><Relationship Id="rId12" Target="../customXml/item3.xml" Type="http://schemas.openxmlformats.org/officeDocument/2006/relationships/customXml"/><Relationship Id="rId13" Target="../customXml/item4.xml" Type="http://schemas.openxmlformats.org/officeDocument/2006/relationships/customXml"/><Relationship Id="rId14" Target="../customXml/item5.xml" Type="http://schemas.openxmlformats.org/officeDocument/2006/relationships/customXml"/><Relationship Id="rId15" Target="../customXml/item6.xml" Type="http://schemas.openxmlformats.org/officeDocument/2006/relationships/customXml"/><Relationship Id="rId16" Target="../customXml/item7.xml" Type="http://schemas.openxmlformats.org/officeDocument/2006/relationships/customXml"/><Relationship Id="rId17" Target="../customXml/item8.xml" Type="http://schemas.openxmlformats.org/officeDocument/2006/relationships/customXml"/><Relationship Id="rId18" Target="fontTable.xml" Type="http://schemas.openxmlformats.org/officeDocument/2006/relationships/fontTable"/><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header1.xml" Type="http://schemas.openxmlformats.org/officeDocument/2006/relationships/header"/><Relationship Id="rId6" Target="footer3.xml" Type="http://schemas.openxmlformats.org/officeDocument/2006/relationships/footer"/><Relationship Id="rId7" Target="footer4.xml" Type="http://schemas.openxmlformats.org/officeDocument/2006/relationships/footer"/><Relationship Id="rId8" Target="theme/theme1.xml" Type="http://schemas.openxmlformats.org/officeDocument/2006/relationships/theme"/><Relationship Id="rId9" Target="numbering.xml" Type="http://schemas.openxmlformats.org/officeDocument/2006/relationships/numbering"/></Relationships>
</file>

<file path=word/_rels/fontTable.xml.rels><?xml version="1.0" encoding="UTF-8" standalone="no"?><Relationships xmlns="http://schemas.openxmlformats.org/package/2006/relationships"><Relationship Id="rId1" Target="fonts/font1.odttf" Type="http://schemas.openxmlformats.org/officeDocument/2006/relationships/font"/><Relationship Id="rId2" Target="fonts/font2.odttf" Type="http://schemas.openxmlformats.org/officeDocument/2006/relationships/font"/><Relationship Id="rId3" Target="fonts/font3.odttf" Type="http://schemas.openxmlformats.org/officeDocument/2006/relationships/font"/><Relationship Id="rId4" Target="fonts/font4.odttf" Type="http://schemas.openxmlformats.org/officeDocument/2006/relationships/font"/><Relationship Id="rId5" Target="fonts/font5.odttf" Type="http://schemas.openxmlformats.org/officeDocument/2006/relationships/font"/><Relationship Id="rId6" Target="fonts/font6.odttf" Type="http://schemas.openxmlformats.org/officeDocument/2006/relationships/font"/><Relationship Id="rId7" Target="fonts/font7.odttf" Type="http://schemas.openxmlformats.org/officeDocument/2006/relationships/font"/><Relationship Id="rId8" Target="fonts/font8.odttf" Type="http://schemas.openxmlformats.org/officeDocument/2006/relationships/font"/></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2022-05-24T16:33:37Z</dcterms:created>
  <dcterms:modified xsi:type="dcterms:W3CDTF">2022-05-24T08:33:37Z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2022-05-24T16:33:36Z</dcterms:created>
  <dcterms:modified xsi:type="dcterms:W3CDTF">2022-05-24T08:33:36Z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2022-05-24T16:33:35Z</dcterms:created>
  <dcterms:modified xsi:type="dcterms:W3CDTF">2022-05-24T08:33:35Z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2022-05-24T16:33:38Z</dcterms:created>
  <dcterms:modified xsi:type="dcterms:W3CDTF">2022-05-24T08:33:38Z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aa6bddc7-302b-43ac-b2a5-3dfeef2ceaeb}">
  <ds:schemaRefs/>
</ds:datastoreItem>
</file>

<file path=customXml/itemProps2.xml><?xml version="1.0" encoding="utf-8"?>
<ds:datastoreItem xmlns:ds="http://schemas.openxmlformats.org/officeDocument/2006/customXml" ds:itemID="{45045812-adec-46ea-9303-dc37bf00effb}">
  <ds:schemaRefs/>
</ds:datastoreItem>
</file>

<file path=customXml/itemProps3.xml><?xml version="1.0" encoding="utf-8"?>
<ds:datastoreItem xmlns:ds="http://schemas.openxmlformats.org/officeDocument/2006/customXml" ds:itemID="{ca405faf-d058-460a-97da-74c6f9cab131}">
  <ds:schemaRefs/>
</ds:datastoreItem>
</file>

<file path=customXml/itemProps4.xml><?xml version="1.0" encoding="utf-8"?>
<ds:datastoreItem xmlns:ds="http://schemas.openxmlformats.org/officeDocument/2006/customXml" ds:itemID="{d1c02c4d-b880-4072-acf8-feeed7661ffb}">
  <ds:schemaRefs/>
</ds:datastoreItem>
</file>

<file path=customXml/itemProps5.xml><?xml version="1.0" encoding="utf-8"?>
<ds:datastoreItem xmlns:ds="http://schemas.openxmlformats.org/officeDocument/2006/customXml" ds:itemID="{9516afae-1a8a-4bb1-9549-52533594a928}">
  <ds:schemaRefs/>
</ds:datastoreItem>
</file>

<file path=customXml/itemProps6.xml><?xml version="1.0" encoding="utf-8"?>
<ds:datastoreItem xmlns:ds="http://schemas.openxmlformats.org/officeDocument/2006/customXml" ds:itemID="{04c0817e-f503-4cca-8bf5-b58b7603f6bc}">
  <ds:schemaRefs/>
</ds:datastoreItem>
</file>

<file path=customXml/itemProps7.xml><?xml version="1.0" encoding="utf-8"?>
<ds:datastoreItem xmlns:ds="http://schemas.openxmlformats.org/officeDocument/2006/customXml" ds:itemID="{b5788b7d-5050-4329-85a0-f7e91e57473f}">
  <ds:schemaRefs/>
</ds:datastoreItem>
</file>

<file path=customXml/itemProps8.xml><?xml version="1.0" encoding="utf-8"?>
<ds:datastoreItem xmlns:ds="http://schemas.openxmlformats.org/officeDocument/2006/customXml" ds:itemID="{42aa82e4-a229-4ca9-aad7-1d40c32b81d0}">
  <ds:schemaRefs/>
</ds:datastoreItem>
</file>

<file path=docProps/app.xml><?xml version="1.0" encoding="utf-8"?>
<Properties xmlns="http://schemas.openxmlformats.org/officeDocument/2006/extended-properties" xmlns:vt="http://schemas.openxmlformats.org/officeDocument/2006/docPropsVTypes">
  <Pages>68</Pages>
  <Words>7243</Words>
  <Characters>9535</Characters>
  <TotalTime>0</TotalTime>
  <ScaleCrop>false</ScaleCrop>
  <LinksUpToDate>false</LinksUpToDate>
  <CharactersWithSpaces>11904</CharactersWithSpaces>
  <Application>WPS Office_12.1.0.16417_F1E327BC-269C-435d-A152-05C5408002CA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2022-05-24T16:33:00Z</dcterms:created>
  <dc:creator>Administrator</dc:creator>
  <cp:lastModifiedBy>Hopefully</cp:lastModifiedBy>
  <cp:lastPrinted>2023-09-04T08:38:00Z</cp:lastPrinted>
  <dcterms:modified xsi:type="dcterms:W3CDTF">2024-04-02T09:48:41Z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8B4B3C69326447499D0190891D0284C1_13</vt:lpwstr>
  </property>
</Properties>
</file>