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0" w:name="_Toc_4_4_0000000019"/>
      <w:r>
        <w:rPr>
          <w:rFonts w:ascii="方正小标宋_GBK" w:hAnsi="方正小标宋_GBK" w:eastAsia="方正小标宋_GBK" w:cs="方正小标宋_GBK"/>
          <w:color w:val="000000"/>
          <w:sz w:val="44"/>
        </w:rPr>
        <w:t>一、宁晋县总工会收支预算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711001宁晋县总工会</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355.35</w:t>
            </w:r>
          </w:p>
        </w:tc>
        <w:tc>
          <w:tcPr>
            <w:tcW w:w="4535" w:type="dxa"/>
            <w:vAlign w:val="center"/>
          </w:tcPr>
          <w:p>
            <w:pPr>
              <w:pStyle w:val="12"/>
            </w:pPr>
            <w:r>
              <w:t>一、一般公共服务支出</w:t>
            </w:r>
          </w:p>
        </w:tc>
        <w:tc>
          <w:tcPr>
            <w:tcW w:w="2126" w:type="dxa"/>
            <w:vAlign w:val="center"/>
          </w:tcPr>
          <w:p>
            <w:pPr>
              <w:pStyle w:val="11"/>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355.35</w:t>
            </w:r>
          </w:p>
        </w:tc>
        <w:tc>
          <w:tcPr>
            <w:tcW w:w="4535" w:type="dxa"/>
            <w:vAlign w:val="center"/>
          </w:tcPr>
          <w:p>
            <w:pPr>
              <w:pStyle w:val="14"/>
            </w:pPr>
            <w:r>
              <w:t>本年支出合计</w:t>
            </w:r>
          </w:p>
        </w:tc>
        <w:tc>
          <w:tcPr>
            <w:tcW w:w="2126" w:type="dxa"/>
            <w:vAlign w:val="center"/>
          </w:tcPr>
          <w:p>
            <w:pPr>
              <w:pStyle w:val="15"/>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355.35</w:t>
            </w:r>
          </w:p>
        </w:tc>
        <w:tc>
          <w:tcPr>
            <w:tcW w:w="4535" w:type="dxa"/>
            <w:vAlign w:val="center"/>
          </w:tcPr>
          <w:p>
            <w:pPr>
              <w:pStyle w:val="14"/>
            </w:pPr>
            <w:r>
              <w:t>支出总计</w:t>
            </w:r>
          </w:p>
        </w:tc>
        <w:tc>
          <w:tcPr>
            <w:tcW w:w="2126" w:type="dxa"/>
            <w:vAlign w:val="center"/>
          </w:tcPr>
          <w:p>
            <w:pPr>
              <w:pStyle w:val="15"/>
            </w:pPr>
            <w:r>
              <w:t>355.35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711001宁晋县总工会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355.35</w:t>
            </w:r>
          </w:p>
        </w:tc>
        <w:tc>
          <w:tcPr>
            <w:tcW w:w="1134" w:type="dxa"/>
            <w:vAlign w:val="center"/>
          </w:tcPr>
          <w:p>
            <w:pPr>
              <w:pStyle w:val="15"/>
            </w:pPr>
            <w:r>
              <w:t>355.35</w:t>
            </w:r>
          </w:p>
        </w:tc>
        <w:tc>
          <w:tcPr>
            <w:tcW w:w="1134" w:type="dxa"/>
            <w:vAlign w:val="center"/>
          </w:tcPr>
          <w:p>
            <w:pPr>
              <w:pStyle w:val="15"/>
            </w:pPr>
            <w:r>
              <w:t>355.35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314.48</w:t>
            </w:r>
          </w:p>
        </w:tc>
        <w:tc>
          <w:tcPr>
            <w:tcW w:w="1134" w:type="dxa"/>
            <w:vAlign w:val="center"/>
          </w:tcPr>
          <w:p>
            <w:pPr>
              <w:pStyle w:val="11"/>
            </w:pPr>
            <w:r>
              <w:t>314.48</w:t>
            </w:r>
          </w:p>
        </w:tc>
        <w:tc>
          <w:tcPr>
            <w:tcW w:w="1134" w:type="dxa"/>
            <w:vAlign w:val="center"/>
          </w:tcPr>
          <w:p>
            <w:pPr>
              <w:pStyle w:val="11"/>
            </w:pPr>
            <w:r>
              <w:t>314.48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40.87</w:t>
            </w:r>
          </w:p>
        </w:tc>
        <w:tc>
          <w:tcPr>
            <w:tcW w:w="1134" w:type="dxa"/>
            <w:vAlign w:val="center"/>
          </w:tcPr>
          <w:p>
            <w:pPr>
              <w:pStyle w:val="11"/>
            </w:pPr>
            <w:r>
              <w:t>40.87</w:t>
            </w:r>
          </w:p>
        </w:tc>
        <w:tc>
          <w:tcPr>
            <w:tcW w:w="1134" w:type="dxa"/>
            <w:vAlign w:val="center"/>
          </w:tcPr>
          <w:p>
            <w:pPr>
              <w:pStyle w:val="11"/>
            </w:pPr>
            <w:r>
              <w:t>40.87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355.35</w:t>
            </w:r>
          </w:p>
        </w:tc>
        <w:tc>
          <w:tcPr>
            <w:tcW w:w="1361" w:type="dxa"/>
            <w:vAlign w:val="center"/>
          </w:tcPr>
          <w:p>
            <w:pPr>
              <w:pStyle w:val="15"/>
            </w:pPr>
          </w:p>
        </w:tc>
        <w:tc>
          <w:tcPr>
            <w:tcW w:w="1361" w:type="dxa"/>
            <w:vAlign w:val="center"/>
          </w:tcPr>
          <w:p>
            <w:pPr>
              <w:pStyle w:val="15"/>
            </w:pPr>
            <w:r>
              <w:t>355.35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314.48</w:t>
            </w:r>
          </w:p>
        </w:tc>
        <w:tc>
          <w:tcPr>
            <w:tcW w:w="1361" w:type="dxa"/>
            <w:vAlign w:val="center"/>
          </w:tcPr>
          <w:p>
            <w:pPr>
              <w:pStyle w:val="11"/>
            </w:pPr>
          </w:p>
        </w:tc>
        <w:tc>
          <w:tcPr>
            <w:tcW w:w="1361" w:type="dxa"/>
            <w:vAlign w:val="center"/>
          </w:tcPr>
          <w:p>
            <w:pPr>
              <w:pStyle w:val="11"/>
            </w:pPr>
            <w:r>
              <w:t>314.48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40.87</w:t>
            </w:r>
          </w:p>
        </w:tc>
        <w:tc>
          <w:tcPr>
            <w:tcW w:w="1361" w:type="dxa"/>
            <w:vAlign w:val="center"/>
          </w:tcPr>
          <w:p>
            <w:pPr>
              <w:pStyle w:val="11"/>
            </w:pPr>
          </w:p>
        </w:tc>
        <w:tc>
          <w:tcPr>
            <w:tcW w:w="1361" w:type="dxa"/>
            <w:vAlign w:val="center"/>
          </w:tcPr>
          <w:p>
            <w:pPr>
              <w:pStyle w:val="11"/>
            </w:pPr>
            <w:r>
              <w:t>40.87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355.35</w:t>
            </w:r>
          </w:p>
        </w:tc>
        <w:tc>
          <w:tcPr>
            <w:tcW w:w="3402" w:type="dxa"/>
            <w:vAlign w:val="center"/>
          </w:tcPr>
          <w:p>
            <w:pPr>
              <w:pStyle w:val="12"/>
            </w:pPr>
            <w:r>
              <w:t>一、一般公共服务支出</w:t>
            </w:r>
          </w:p>
        </w:tc>
        <w:tc>
          <w:tcPr>
            <w:tcW w:w="1474" w:type="dxa"/>
            <w:vAlign w:val="center"/>
          </w:tcPr>
          <w:p>
            <w:pPr>
              <w:pStyle w:val="11"/>
            </w:pPr>
            <w:r>
              <w:t>355.35</w:t>
            </w:r>
          </w:p>
        </w:tc>
        <w:tc>
          <w:tcPr>
            <w:tcW w:w="1474" w:type="dxa"/>
            <w:vAlign w:val="center"/>
          </w:tcPr>
          <w:p>
            <w:pPr>
              <w:pStyle w:val="11"/>
            </w:pPr>
            <w:r>
              <w:t>355.35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355.35</w:t>
            </w:r>
          </w:p>
        </w:tc>
        <w:tc>
          <w:tcPr>
            <w:tcW w:w="3402" w:type="dxa"/>
            <w:vAlign w:val="center"/>
          </w:tcPr>
          <w:p>
            <w:pPr>
              <w:pStyle w:val="14"/>
            </w:pPr>
            <w:r>
              <w:t>本年支出合计</w:t>
            </w:r>
          </w:p>
        </w:tc>
        <w:tc>
          <w:tcPr>
            <w:tcW w:w="1474" w:type="dxa"/>
            <w:vAlign w:val="center"/>
          </w:tcPr>
          <w:p>
            <w:pPr>
              <w:pStyle w:val="15"/>
            </w:pPr>
            <w:r>
              <w:t>355.35</w:t>
            </w:r>
          </w:p>
        </w:tc>
        <w:tc>
          <w:tcPr>
            <w:tcW w:w="1474" w:type="dxa"/>
            <w:vAlign w:val="center"/>
          </w:tcPr>
          <w:p>
            <w:pPr>
              <w:pStyle w:val="15"/>
            </w:pPr>
            <w:r>
              <w:t>355.35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355.35</w:t>
            </w:r>
          </w:p>
        </w:tc>
        <w:tc>
          <w:tcPr>
            <w:tcW w:w="3402" w:type="dxa"/>
            <w:vAlign w:val="center"/>
          </w:tcPr>
          <w:p>
            <w:pPr>
              <w:pStyle w:val="14"/>
            </w:pPr>
            <w:r>
              <w:t>支出总计</w:t>
            </w:r>
          </w:p>
        </w:tc>
        <w:tc>
          <w:tcPr>
            <w:tcW w:w="1474" w:type="dxa"/>
            <w:vAlign w:val="center"/>
          </w:tcPr>
          <w:p>
            <w:pPr>
              <w:pStyle w:val="15"/>
            </w:pPr>
            <w:r>
              <w:t>355.35</w:t>
            </w:r>
          </w:p>
        </w:tc>
        <w:tc>
          <w:tcPr>
            <w:tcW w:w="1474" w:type="dxa"/>
            <w:vAlign w:val="center"/>
          </w:tcPr>
          <w:p>
            <w:pPr>
              <w:pStyle w:val="15"/>
            </w:pPr>
            <w:r>
              <w:t>355.35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355.35</w:t>
            </w:r>
          </w:p>
        </w:tc>
        <w:tc>
          <w:tcPr>
            <w:tcW w:w="2551" w:type="dxa"/>
            <w:vAlign w:val="center"/>
          </w:tcPr>
          <w:p>
            <w:pPr>
              <w:pStyle w:val="15"/>
            </w:pPr>
          </w:p>
        </w:tc>
        <w:tc>
          <w:tcPr>
            <w:tcW w:w="2551" w:type="dxa"/>
            <w:vAlign w:val="center"/>
          </w:tcPr>
          <w:p>
            <w:pPr>
              <w:pStyle w:val="15"/>
            </w:pPr>
            <w:r>
              <w:t>355.35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355.35</w:t>
            </w:r>
          </w:p>
        </w:tc>
        <w:tc>
          <w:tcPr>
            <w:tcW w:w="2551" w:type="dxa"/>
            <w:vAlign w:val="center"/>
          </w:tcPr>
          <w:p>
            <w:pPr>
              <w:pStyle w:val="11"/>
            </w:pPr>
          </w:p>
        </w:tc>
        <w:tc>
          <w:tcPr>
            <w:tcW w:w="2551" w:type="dxa"/>
            <w:vAlign w:val="center"/>
          </w:tcPr>
          <w:p>
            <w:pPr>
              <w:pStyle w:val="11"/>
            </w:pPr>
            <w:r>
              <w:t>355.35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355.35</w:t>
            </w:r>
          </w:p>
        </w:tc>
        <w:tc>
          <w:tcPr>
            <w:tcW w:w="2551" w:type="dxa"/>
            <w:vAlign w:val="center"/>
          </w:tcPr>
          <w:p>
            <w:pPr>
              <w:pStyle w:val="11"/>
            </w:pPr>
          </w:p>
        </w:tc>
        <w:tc>
          <w:tcPr>
            <w:tcW w:w="2551" w:type="dxa"/>
            <w:vAlign w:val="center"/>
          </w:tcPr>
          <w:p>
            <w:pPr>
              <w:pStyle w:val="11"/>
            </w:pPr>
            <w:r>
              <w:t>355.35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314.48</w:t>
            </w:r>
          </w:p>
        </w:tc>
        <w:tc>
          <w:tcPr>
            <w:tcW w:w="2551" w:type="dxa"/>
            <w:vAlign w:val="center"/>
          </w:tcPr>
          <w:p>
            <w:pPr>
              <w:pStyle w:val="11"/>
            </w:pPr>
          </w:p>
        </w:tc>
        <w:tc>
          <w:tcPr>
            <w:tcW w:w="2551" w:type="dxa"/>
            <w:vAlign w:val="center"/>
          </w:tcPr>
          <w:p>
            <w:pPr>
              <w:pStyle w:val="11"/>
            </w:pPr>
            <w:r>
              <w:t>314.48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40.87</w:t>
            </w:r>
          </w:p>
        </w:tc>
        <w:tc>
          <w:tcPr>
            <w:tcW w:w="2551" w:type="dxa"/>
            <w:vAlign w:val="center"/>
          </w:tcPr>
          <w:p>
            <w:pPr>
              <w:pStyle w:val="11"/>
            </w:pPr>
          </w:p>
        </w:tc>
        <w:tc>
          <w:tcPr>
            <w:tcW w:w="2551" w:type="dxa"/>
            <w:vAlign w:val="center"/>
          </w:tcPr>
          <w:p>
            <w:pPr>
              <w:pStyle w:val="11"/>
            </w:pPr>
            <w:r>
              <w:t>40.87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711001宁晋县总工会</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rPr>
          <w:rFonts w:hint="eastAsia"/>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与去年持平</w:t>
      </w:r>
      <w:r>
        <w:rPr>
          <w:rFonts w:hint="eastAsia" w:ascii="方正书宋_GBK" w:hAnsi="方正书宋_GBK" w:eastAsia="方正书宋_GBK" w:cs="方正书宋_GBK"/>
          <w:color w:val="000000"/>
          <w:sz w:val="21"/>
          <w:lang w:eastAsia="zh-CN"/>
        </w:rPr>
        <w:t>。</w:t>
      </w:r>
    </w:p>
    <w:p>
      <w:pPr>
        <w:jc w:val="center"/>
        <w:outlineLvl w:val="4"/>
      </w:pPr>
      <w:r>
        <w:rPr>
          <w:rFonts w:ascii="方正小标宋_GBK" w:hAnsi="方正小标宋_GBK" w:eastAsia="方正小标宋_GBK" w:cs="方正小标宋_GBK"/>
          <w:color w:val="000000"/>
          <w:sz w:val="44"/>
        </w:rPr>
        <w:t>宁晋县总工会2023年单位预算信息公开情况说明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、《地方预决算公开操作规程》和《关于进一步推进预算公开工作的实施意见》规定，现将宁晋县总工会2023年单位预算公开如下：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（一）组织全县各级工会贯彻执行党的路线、方针和政策，根据工会组织的特点和广大职工的意愿，按照</w:t>
      </w:r>
      <w:r>
        <w:rPr>
          <w:rFonts w:hint="eastAsia"/>
          <w:lang w:eastAsia="zh-CN"/>
        </w:rPr>
        <w:t>《中华人民共和国工会法》</w:t>
      </w:r>
      <w:r>
        <w:t>和《中国工会章程》，依法独立自主地开展工作。</w:t>
      </w:r>
      <w:bookmarkStart w:id="1" w:name="_GoBack"/>
      <w:bookmarkEnd w:id="1"/>
    </w:p>
    <w:p>
      <w:pPr>
        <w:pStyle w:val="25"/>
      </w:pPr>
      <w:r>
        <w:t>（二）职工依照宪法和法律的规定行使民主权利，参与地方和企业事务的管理，协助人民政府开展工作。</w:t>
      </w:r>
    </w:p>
    <w:p>
      <w:pPr>
        <w:pStyle w:val="25"/>
      </w:pPr>
      <w:r>
        <w:t>（二）在维护全县人民总体利益的同时，维护职工的合法权益。</w:t>
      </w:r>
    </w:p>
    <w:p>
      <w:pPr>
        <w:pStyle w:val="25"/>
      </w:pPr>
      <w:r>
        <w:t>（三）动员职工以主人翁态度对待劳动，努力完成生产任务、工作任务。</w:t>
      </w:r>
    </w:p>
    <w:p>
      <w:pPr>
        <w:pStyle w:val="25"/>
      </w:pPr>
      <w:r>
        <w:t>（四）对职工进行爱国主义、集体主义、社会主义教育，民主、法制、纪律教育，以及科学、文化、技术教育，提高职工的政治、业务素质。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宁晋县总工会</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根据县财政局预算指标通知，2023年县级统计部门预算总收入355.35万元，其中划拨工会经费281.50万元较2022年经费划拨增加30万元（251.5万元），去增长12%；上级财政提前通知转移支付23.4万元（关于提前下达2023年困难职工及劳模帮扶救助专项资金的通知），统筹用于对困难职工开展生活救助、医疗救助、子女助学、法律援助、就业援助等项支出；社会保障缴费40.87万元，用于财政负担部分保险及公积金的缴纳，结转2022年困难职工及劳模帮扶救助专项资金9.58万元。</w:t>
      </w:r>
    </w:p>
    <w:p>
      <w:pPr>
        <w:spacing w:before="10" w:after="10"/>
        <w:ind w:firstLine="640"/>
        <w:outlineLvl w:val="5"/>
      </w:pPr>
      <w:r>
        <w:rPr>
          <w:rFonts w:ascii="黑体" w:hAnsi="黑体" w:eastAsia="黑体" w:cs="黑体"/>
          <w:color w:val="000000"/>
          <w:sz w:val="32"/>
        </w:rPr>
        <w:t>三、机关运行经费安排情况</w:t>
      </w:r>
    </w:p>
    <w:p>
      <w:pPr>
        <w:pStyle w:val="27"/>
      </w:pPr>
      <w:r>
        <w:t>2023年度未安排机关运行经费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我单位2023年度无财政拨款“三公”经费</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一、财政划拨40%部分工会经费绩效目标表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2835" w:type="dxa"/>
            <w:vAlign w:val="center"/>
          </w:tcPr>
          <w:p>
            <w:pPr>
              <w:pStyle w:val="12"/>
            </w:pPr>
            <w:r>
              <w:t>按时有序支付</w:t>
            </w:r>
          </w:p>
        </w:tc>
        <w:tc>
          <w:tcPr>
            <w:tcW w:w="2551" w:type="dxa"/>
            <w:vAlign w:val="center"/>
          </w:tcPr>
          <w:p>
            <w:pPr>
              <w:pStyle w:val="12"/>
            </w:pPr>
            <w:r>
              <w:t>≥100有序支付</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经费核拨及时</w:t>
            </w:r>
          </w:p>
        </w:tc>
        <w:tc>
          <w:tcPr>
            <w:tcW w:w="2835" w:type="dxa"/>
            <w:vAlign w:val="center"/>
          </w:tcPr>
          <w:p>
            <w:pPr>
              <w:pStyle w:val="12"/>
            </w:pPr>
            <w:r>
              <w:t>经费核拨及时</w:t>
            </w:r>
          </w:p>
        </w:tc>
        <w:tc>
          <w:tcPr>
            <w:tcW w:w="2551" w:type="dxa"/>
            <w:vAlign w:val="center"/>
          </w:tcPr>
          <w:p>
            <w:pPr>
              <w:pStyle w:val="12"/>
            </w:pPr>
            <w:r>
              <w:t>≥95及时到位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2835" w:type="dxa"/>
            <w:vAlign w:val="center"/>
          </w:tcPr>
          <w:p>
            <w:pPr>
              <w:pStyle w:val="12"/>
            </w:pPr>
            <w:r>
              <w:t>控制在预算内</w:t>
            </w:r>
          </w:p>
        </w:tc>
        <w:tc>
          <w:tcPr>
            <w:tcW w:w="2551" w:type="dxa"/>
            <w:vAlign w:val="center"/>
          </w:tcPr>
          <w:p>
            <w:pPr>
              <w:pStyle w:val="12"/>
            </w:pPr>
            <w:r>
              <w:t>≥100控制在预算内</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≥100高效</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2835" w:type="dxa"/>
            <w:vAlign w:val="center"/>
          </w:tcPr>
          <w:p>
            <w:pPr>
              <w:pStyle w:val="12"/>
            </w:pPr>
            <w:r>
              <w:t>效果持续时间</w:t>
            </w:r>
          </w:p>
        </w:tc>
        <w:tc>
          <w:tcPr>
            <w:tcW w:w="2551" w:type="dxa"/>
            <w:vAlign w:val="center"/>
          </w:tcPr>
          <w:p>
            <w:pPr>
              <w:pStyle w:val="12"/>
            </w:pPr>
            <w:r>
              <w:t>≥95高效，稳定</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≥90电话、问卷调查</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二、财政划拨40%部分工会经费绩效目标表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2835" w:type="dxa"/>
            <w:vAlign w:val="center"/>
          </w:tcPr>
          <w:p>
            <w:pPr>
              <w:pStyle w:val="12"/>
            </w:pPr>
            <w:r>
              <w:t>按时有序支付</w:t>
            </w:r>
          </w:p>
        </w:tc>
        <w:tc>
          <w:tcPr>
            <w:tcW w:w="2551" w:type="dxa"/>
            <w:vAlign w:val="center"/>
          </w:tcPr>
          <w:p>
            <w:pPr>
              <w:pStyle w:val="12"/>
            </w:pPr>
            <w:r>
              <w:t>≥100有序支付</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2835" w:type="dxa"/>
            <w:vAlign w:val="center"/>
          </w:tcPr>
          <w:p>
            <w:pPr>
              <w:pStyle w:val="12"/>
            </w:pPr>
            <w:r>
              <w:t>资金拨付及时率</w:t>
            </w:r>
          </w:p>
        </w:tc>
        <w:tc>
          <w:tcPr>
            <w:tcW w:w="2551" w:type="dxa"/>
            <w:vAlign w:val="center"/>
          </w:tcPr>
          <w:p>
            <w:pPr>
              <w:pStyle w:val="12"/>
            </w:pPr>
            <w:r>
              <w:t>≥95及时到位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2835" w:type="dxa"/>
            <w:vAlign w:val="center"/>
          </w:tcPr>
          <w:p>
            <w:pPr>
              <w:pStyle w:val="12"/>
            </w:pPr>
            <w:r>
              <w:t>控制预算</w:t>
            </w:r>
          </w:p>
        </w:tc>
        <w:tc>
          <w:tcPr>
            <w:tcW w:w="2551" w:type="dxa"/>
            <w:vAlign w:val="center"/>
          </w:tcPr>
          <w:p>
            <w:pPr>
              <w:pStyle w:val="12"/>
            </w:pPr>
            <w:r>
              <w:t>≥95控制在预算内</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资金使用效率</w:t>
            </w:r>
          </w:p>
        </w:tc>
        <w:tc>
          <w:tcPr>
            <w:tcW w:w="2835" w:type="dxa"/>
            <w:vAlign w:val="center"/>
          </w:tcPr>
          <w:p>
            <w:pPr>
              <w:pStyle w:val="12"/>
            </w:pPr>
            <w:r>
              <w:t>资金使用效率</w:t>
            </w:r>
          </w:p>
        </w:tc>
        <w:tc>
          <w:tcPr>
            <w:tcW w:w="2551" w:type="dxa"/>
            <w:vAlign w:val="center"/>
          </w:tcPr>
          <w:p>
            <w:pPr>
              <w:pStyle w:val="12"/>
            </w:pPr>
            <w:r>
              <w:t>≥100高效</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2835" w:type="dxa"/>
            <w:vAlign w:val="center"/>
          </w:tcPr>
          <w:p>
            <w:pPr>
              <w:pStyle w:val="12"/>
            </w:pPr>
            <w:r>
              <w:t>效果持续时间</w:t>
            </w:r>
          </w:p>
        </w:tc>
        <w:tc>
          <w:tcPr>
            <w:tcW w:w="2551" w:type="dxa"/>
            <w:vAlign w:val="center"/>
          </w:tcPr>
          <w:p>
            <w:pPr>
              <w:pStyle w:val="12"/>
            </w:pPr>
            <w:r>
              <w:t>≥95高效，稳定</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≥90电话、问卷调查</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三、机关工资福利支出绩效目标表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保障人数</w:t>
            </w:r>
          </w:p>
        </w:tc>
        <w:tc>
          <w:tcPr>
            <w:tcW w:w="2551" w:type="dxa"/>
            <w:vAlign w:val="center"/>
          </w:tcPr>
          <w:p>
            <w:pPr>
              <w:pStyle w:val="12"/>
            </w:pPr>
            <w:r>
              <w:t>≥100人数</w:t>
            </w:r>
          </w:p>
        </w:tc>
        <w:tc>
          <w:tcPr>
            <w:tcW w:w="2268" w:type="dxa"/>
            <w:vAlign w:val="center"/>
          </w:tcPr>
          <w:p>
            <w:pPr>
              <w:pStyle w:val="12"/>
            </w:pPr>
            <w: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w:t>
            </w:r>
          </w:p>
        </w:tc>
        <w:tc>
          <w:tcPr>
            <w:tcW w:w="2835" w:type="dxa"/>
            <w:vAlign w:val="center"/>
          </w:tcPr>
          <w:p>
            <w:pPr>
              <w:pStyle w:val="12"/>
            </w:pPr>
            <w:r>
              <w:t>及时准确</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w:t>
            </w:r>
          </w:p>
        </w:tc>
        <w:tc>
          <w:tcPr>
            <w:tcW w:w="2835" w:type="dxa"/>
            <w:vAlign w:val="center"/>
          </w:tcPr>
          <w:p>
            <w:pPr>
              <w:pStyle w:val="12"/>
            </w:pPr>
            <w:r>
              <w:t>及时足额</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按规定执行</w:t>
            </w:r>
          </w:p>
        </w:tc>
        <w:tc>
          <w:tcPr>
            <w:tcW w:w="2835" w:type="dxa"/>
            <w:vAlign w:val="center"/>
          </w:tcPr>
          <w:p>
            <w:pPr>
              <w:pStyle w:val="12"/>
            </w:pPr>
            <w:r>
              <w:t>按规定执行</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加强工作人员归属感</w:t>
            </w:r>
          </w:p>
        </w:tc>
        <w:tc>
          <w:tcPr>
            <w:tcW w:w="2835" w:type="dxa"/>
            <w:vAlign w:val="center"/>
          </w:tcPr>
          <w:p>
            <w:pPr>
              <w:pStyle w:val="12"/>
            </w:pPr>
            <w:r>
              <w:t>按规定标准缴纳</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保持干部队伍相对稳定</w:t>
            </w:r>
          </w:p>
        </w:tc>
        <w:tc>
          <w:tcPr>
            <w:tcW w:w="2835" w:type="dxa"/>
            <w:vAlign w:val="center"/>
          </w:tcPr>
          <w:p>
            <w:pPr>
              <w:pStyle w:val="12"/>
            </w:pPr>
            <w:r>
              <w:t>及时缴纳</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增强职工安全感</w:t>
            </w:r>
          </w:p>
        </w:tc>
        <w:tc>
          <w:tcPr>
            <w:tcW w:w="2835" w:type="dxa"/>
            <w:vAlign w:val="center"/>
          </w:tcPr>
          <w:p>
            <w:pPr>
              <w:pStyle w:val="12"/>
            </w:pPr>
            <w:r>
              <w:t>干部职工没有后顾之忧</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保障职工权益</w:t>
            </w:r>
          </w:p>
        </w:tc>
        <w:tc>
          <w:tcPr>
            <w:tcW w:w="2835" w:type="dxa"/>
            <w:vAlign w:val="center"/>
          </w:tcPr>
          <w:p>
            <w:pPr>
              <w:pStyle w:val="12"/>
            </w:pPr>
            <w:r>
              <w:t>维护单位正常运行</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2835" w:type="dxa"/>
            <w:vAlign w:val="center"/>
          </w:tcPr>
          <w:p>
            <w:pPr>
              <w:pStyle w:val="12"/>
            </w:pPr>
            <w:r>
              <w:t>单位人员满意度</w:t>
            </w:r>
          </w:p>
        </w:tc>
        <w:tc>
          <w:tcPr>
            <w:tcW w:w="2551" w:type="dxa"/>
            <w:vAlign w:val="center"/>
          </w:tcPr>
          <w:p>
            <w:pPr>
              <w:pStyle w:val="12"/>
            </w:pPr>
            <w:r>
              <w:t>保障职工权益</w:t>
            </w:r>
          </w:p>
        </w:tc>
        <w:tc>
          <w:tcPr>
            <w:tcW w:w="2268" w:type="dxa"/>
            <w:vAlign w:val="center"/>
          </w:tcPr>
          <w:p>
            <w:pPr>
              <w:pStyle w:val="12"/>
            </w:pPr>
            <w:r>
              <w:t>按规定执行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四、结转2022年困难职工及劳模帮扶救助专项资金绩效目标表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会员关爱帮扶率</w:t>
            </w:r>
          </w:p>
        </w:tc>
        <w:tc>
          <w:tcPr>
            <w:tcW w:w="2835" w:type="dxa"/>
            <w:vAlign w:val="center"/>
          </w:tcPr>
          <w:p>
            <w:pPr>
              <w:pStyle w:val="12"/>
            </w:pPr>
            <w:r>
              <w:t>会员关爱帮扶率</w:t>
            </w:r>
          </w:p>
        </w:tc>
        <w:tc>
          <w:tcPr>
            <w:tcW w:w="2551" w:type="dxa"/>
            <w:vAlign w:val="center"/>
          </w:tcPr>
          <w:p>
            <w:pPr>
              <w:pStyle w:val="12"/>
            </w:pPr>
            <w:r>
              <w:t>≥90审核建档</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≥100查阅资金拨付明细</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实施帮扶活动的县级覆盖率</w:t>
            </w:r>
          </w:p>
        </w:tc>
        <w:tc>
          <w:tcPr>
            <w:tcW w:w="2835" w:type="dxa"/>
            <w:vAlign w:val="center"/>
          </w:tcPr>
          <w:p>
            <w:pPr>
              <w:pStyle w:val="12"/>
            </w:pPr>
            <w:r>
              <w:t>资金到位率</w:t>
            </w:r>
          </w:p>
        </w:tc>
        <w:tc>
          <w:tcPr>
            <w:tcW w:w="2551" w:type="dxa"/>
            <w:vAlign w:val="center"/>
          </w:tcPr>
          <w:p>
            <w:pPr>
              <w:pStyle w:val="12"/>
            </w:pPr>
            <w:r>
              <w:t>≥100资金拨付率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按期完成资金支付</w:t>
            </w:r>
          </w:p>
        </w:tc>
        <w:tc>
          <w:tcPr>
            <w:tcW w:w="2835" w:type="dxa"/>
            <w:vAlign w:val="center"/>
          </w:tcPr>
          <w:p>
            <w:pPr>
              <w:pStyle w:val="12"/>
            </w:pPr>
            <w:r>
              <w:t>按期完成资金支付</w:t>
            </w:r>
          </w:p>
        </w:tc>
        <w:tc>
          <w:tcPr>
            <w:tcW w:w="2551" w:type="dxa"/>
            <w:vAlign w:val="center"/>
          </w:tcPr>
          <w:p>
            <w:pPr>
              <w:pStyle w:val="12"/>
            </w:pPr>
            <w:r>
              <w:t>≥95按期完成率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≥100入户走访或电话回访</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≥100职工反馈意见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≥95回访收集意见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≥95查阅档案建档情况</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≥90职工满意度</w:t>
            </w:r>
          </w:p>
        </w:tc>
        <w:tc>
          <w:tcPr>
            <w:tcW w:w="2268" w:type="dxa"/>
            <w:vAlign w:val="center"/>
          </w:tcPr>
          <w:p>
            <w:pPr>
              <w:pStyle w:val="12"/>
            </w:pPr>
            <w:r>
              <w:t>困难职工帮扶救助专项资金管理办法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五、提前下达2023年困难职工及劳模帮扶救助专项资金冀财行{2022}99号绩效目标表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会员关爱帮扶率</w:t>
            </w:r>
          </w:p>
        </w:tc>
        <w:tc>
          <w:tcPr>
            <w:tcW w:w="2835" w:type="dxa"/>
            <w:vAlign w:val="center"/>
          </w:tcPr>
          <w:p>
            <w:pPr>
              <w:pStyle w:val="12"/>
            </w:pPr>
            <w:r>
              <w:t>会员关爱帮扶率</w:t>
            </w:r>
          </w:p>
        </w:tc>
        <w:tc>
          <w:tcPr>
            <w:tcW w:w="2551" w:type="dxa"/>
            <w:vAlign w:val="center"/>
          </w:tcPr>
          <w:p>
            <w:pPr>
              <w:pStyle w:val="12"/>
            </w:pPr>
            <w:r>
              <w:t>≥90审核建档</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≥100查阅资金拨付明细</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实施帮扶活动的县级覆盖率</w:t>
            </w:r>
          </w:p>
        </w:tc>
        <w:tc>
          <w:tcPr>
            <w:tcW w:w="2835" w:type="dxa"/>
            <w:vAlign w:val="center"/>
          </w:tcPr>
          <w:p>
            <w:pPr>
              <w:pStyle w:val="12"/>
            </w:pPr>
            <w:r>
              <w:t>资金到位率</w:t>
            </w:r>
          </w:p>
        </w:tc>
        <w:tc>
          <w:tcPr>
            <w:tcW w:w="2551" w:type="dxa"/>
            <w:vAlign w:val="center"/>
          </w:tcPr>
          <w:p>
            <w:pPr>
              <w:pStyle w:val="12"/>
            </w:pPr>
            <w:r>
              <w:t>≥100资金拨付率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2835" w:type="dxa"/>
            <w:vAlign w:val="center"/>
          </w:tcPr>
          <w:p>
            <w:pPr>
              <w:pStyle w:val="12"/>
            </w:pPr>
            <w:r>
              <w:t>按期完成资金支付</w:t>
            </w:r>
          </w:p>
        </w:tc>
        <w:tc>
          <w:tcPr>
            <w:tcW w:w="2551" w:type="dxa"/>
            <w:vAlign w:val="center"/>
          </w:tcPr>
          <w:p>
            <w:pPr>
              <w:pStyle w:val="12"/>
            </w:pPr>
            <w:r>
              <w:t>≥100按期完成率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≥90入户走访或电话回访</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≥90职工反馈意见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≥90回访收集意见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≥85查阅档案建档情况</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≥90职工满意度</w:t>
            </w:r>
          </w:p>
        </w:tc>
        <w:tc>
          <w:tcPr>
            <w:tcW w:w="2268" w:type="dxa"/>
            <w:vAlign w:val="center"/>
          </w:tcPr>
          <w:p>
            <w:pPr>
              <w:pStyle w:val="12"/>
            </w:pPr>
            <w:r>
              <w:t>困难职工帮扶救助专项资金管理办法</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2023年，宁晋县总工会安排政府采购预算0.00万元。具体内容见下表。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711001宁晋县总工会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宁晋县总工会上年末固定资产金额为0.00万元（详见下表）。本年度拟购置固定资产总额为0.00万元，已按要求列入政府采购预算，详见政府采购预算表。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711001宁晋县总工会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856AF7"/>
    <w:rsid w:val="00462C25"/>
    <w:rsid w:val="00744F74"/>
    <w:rsid w:val="00856AF7"/>
    <w:rsid w:val="00C97100"/>
    <w:rsid w:val="0F021B26"/>
    <w:rsid w:val="1CB040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kern w:val="0"/>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ascii="Times New Roman" w:hAnsi="Times New Roman" w:eastAsia="Times New Roman" w:cs="Times New Roman"/>
      <w:kern w:val="0"/>
      <w:sz w:val="18"/>
      <w:szCs w:val="18"/>
      <w:lang w:eastAsia="uk-UA"/>
    </w:rPr>
  </w:style>
  <w:style w:type="character" w:customStyle="1" w:styleId="34">
    <w:name w:val="页脚 Char"/>
    <w:basedOn w:val="6"/>
    <w:link w:val="2"/>
    <w:semiHidden/>
    <w:uiPriority w:val="99"/>
    <w:rPr>
      <w:rFonts w:ascii="Times New Roman" w:hAnsi="Times New Roman" w:eastAsia="Times New Roman" w:cs="Times New Roman"/>
      <w:kern w:val="0"/>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1158</Words>
  <Characters>6606</Characters>
  <Lines>55</Lines>
  <Paragraphs>15</Paragraphs>
  <TotalTime>2</TotalTime>
  <ScaleCrop>false</ScaleCrop>
  <LinksUpToDate>false</LinksUpToDate>
  <CharactersWithSpaces>7749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2023-09-05T07:16:00Z</dcterms:created>
  <dc:creator>123</dc:creator>
  <cp:lastModifiedBy>Administrator</cp:lastModifiedBy>
  <dcterms:modified xsi:type="dcterms:W3CDTF">2024-04-03T07:36:27Z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6DBD873337E0464885EAA1AE370E4C3F_12</vt:lpwstr>
  </property>
</Properties>
</file>