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235.92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186.56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pPr>
            <w:r>
              <w:t>235.92</w:t>
            </w:r>
          </w:p>
        </w:tc>
        <w:tc>
          <w:tcPr>
            <w:tcW w:w="1971" w:type="dxa"/>
            <w:vAlign w:val="center"/>
          </w:tcPr>
          <w:p>
            <w:pPr>
              <w:pStyle w:val="16"/>
            </w:pPr>
            <w:r>
              <w:t>本年支出合计</w:t>
            </w:r>
          </w:p>
        </w:tc>
        <w:tc>
          <w:tcPr>
            <w:tcW w:w="1971" w:type="dxa"/>
            <w:vAlign w:val="center"/>
          </w:tcPr>
          <w:p>
            <w:pPr>
              <w:pStyle w:val="17"/>
            </w:pPr>
            <w:r>
              <w:t>235.92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pPr>
            <w:r>
              <w:t>235.92</w:t>
            </w:r>
          </w:p>
        </w:tc>
        <w:tc>
          <w:tcPr>
            <w:tcW w:w="1971" w:type="dxa"/>
            <w:vAlign w:val="center"/>
          </w:tcPr>
          <w:p>
            <w:pPr>
              <w:pStyle w:val="16"/>
            </w:pPr>
            <w:r>
              <w:t>支出总计</w:t>
            </w:r>
          </w:p>
        </w:tc>
        <w:tc>
          <w:tcPr>
            <w:tcW w:w="1971" w:type="dxa"/>
            <w:vAlign w:val="center"/>
          </w:tcPr>
          <w:p>
            <w:pPr>
              <w:pStyle w:val="17"/>
            </w:pPr>
            <w:r>
              <w:t>235.92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235.92</w:t>
            </w:r>
          </w:p>
        </w:tc>
        <w:tc>
          <w:tcPr>
            <w:tcW w:w="758" w:type="dxa"/>
            <w:vAlign w:val="center"/>
          </w:tcPr>
          <w:p>
            <w:pPr>
              <w:pStyle w:val="17"/>
            </w:pPr>
            <w:r>
              <w:t>235.92</w:t>
            </w:r>
          </w:p>
        </w:tc>
        <w:tc>
          <w:tcPr>
            <w:tcW w:w="758" w:type="dxa"/>
            <w:vAlign w:val="center"/>
          </w:tcPr>
          <w:p>
            <w:pPr>
              <w:pStyle w:val="17"/>
            </w:pPr>
            <w:r>
              <w:t>235.92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20501</w:t>
            </w:r>
          </w:p>
        </w:tc>
        <w:tc>
          <w:tcPr>
            <w:tcW w:w="758" w:type="dxa"/>
            <w:vAlign w:val="center"/>
          </w:tcPr>
          <w:p>
            <w:pPr>
              <w:pStyle w:val="14"/>
            </w:pPr>
            <w:r>
              <w:t>教育管理事务</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2050101</w:t>
            </w:r>
          </w:p>
        </w:tc>
        <w:tc>
          <w:tcPr>
            <w:tcW w:w="758" w:type="dxa"/>
            <w:vAlign w:val="center"/>
          </w:tcPr>
          <w:p>
            <w:pPr>
              <w:pStyle w:val="14"/>
            </w:pPr>
            <w:r>
              <w:t>行政运行</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20508</w:t>
            </w:r>
          </w:p>
        </w:tc>
        <w:tc>
          <w:tcPr>
            <w:tcW w:w="758" w:type="dxa"/>
            <w:vAlign w:val="center"/>
          </w:tcPr>
          <w:p>
            <w:pPr>
              <w:pStyle w:val="14"/>
            </w:pPr>
            <w:r>
              <w:t>进修及培训</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2050802</w:t>
            </w:r>
          </w:p>
        </w:tc>
        <w:tc>
          <w:tcPr>
            <w:tcW w:w="758" w:type="dxa"/>
            <w:vAlign w:val="center"/>
          </w:tcPr>
          <w:p>
            <w:pPr>
              <w:pStyle w:val="14"/>
            </w:pPr>
            <w:r>
              <w:t>干部教育</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2080502</w:t>
            </w:r>
          </w:p>
        </w:tc>
        <w:tc>
          <w:tcPr>
            <w:tcW w:w="758" w:type="dxa"/>
            <w:vAlign w:val="center"/>
          </w:tcPr>
          <w:p>
            <w:pPr>
              <w:pStyle w:val="14"/>
            </w:pPr>
            <w:r>
              <w:t>事业单位离退休</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235.92</w:t>
            </w:r>
          </w:p>
        </w:tc>
        <w:tc>
          <w:tcPr>
            <w:tcW w:w="1095" w:type="dxa"/>
            <w:vAlign w:val="center"/>
          </w:tcPr>
          <w:p>
            <w:pPr>
              <w:pStyle w:val="17"/>
            </w:pPr>
            <w:r>
              <w:t>137.64</w:t>
            </w:r>
          </w:p>
        </w:tc>
        <w:tc>
          <w:tcPr>
            <w:tcW w:w="1095" w:type="dxa"/>
            <w:vAlign w:val="center"/>
          </w:tcPr>
          <w:p>
            <w:pPr>
              <w:pStyle w:val="17"/>
            </w:pPr>
            <w:r>
              <w:t>98.28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186.56</w:t>
            </w:r>
          </w:p>
        </w:tc>
        <w:tc>
          <w:tcPr>
            <w:tcW w:w="1095" w:type="dxa"/>
            <w:vAlign w:val="center"/>
          </w:tcPr>
          <w:p>
            <w:pPr>
              <w:pStyle w:val="13"/>
            </w:pPr>
            <w:r>
              <w:t>88.28</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20501</w:t>
            </w:r>
          </w:p>
        </w:tc>
        <w:tc>
          <w:tcPr>
            <w:tcW w:w="1095" w:type="dxa"/>
            <w:vAlign w:val="center"/>
          </w:tcPr>
          <w:p>
            <w:pPr>
              <w:pStyle w:val="14"/>
            </w:pPr>
            <w:r>
              <w:t>教育管理事务</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2050101</w:t>
            </w:r>
          </w:p>
        </w:tc>
        <w:tc>
          <w:tcPr>
            <w:tcW w:w="1095" w:type="dxa"/>
            <w:vAlign w:val="center"/>
          </w:tcPr>
          <w:p>
            <w:pPr>
              <w:pStyle w:val="14"/>
            </w:pPr>
            <w:r>
              <w:t>行政运行</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20508</w:t>
            </w:r>
          </w:p>
        </w:tc>
        <w:tc>
          <w:tcPr>
            <w:tcW w:w="1095" w:type="dxa"/>
            <w:vAlign w:val="center"/>
          </w:tcPr>
          <w:p>
            <w:pPr>
              <w:pStyle w:val="14"/>
            </w:pPr>
            <w:r>
              <w:t>进修及培训</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2050802</w:t>
            </w:r>
          </w:p>
        </w:tc>
        <w:tc>
          <w:tcPr>
            <w:tcW w:w="1095" w:type="dxa"/>
            <w:vAlign w:val="center"/>
          </w:tcPr>
          <w:p>
            <w:pPr>
              <w:pStyle w:val="14"/>
            </w:pPr>
            <w:r>
              <w:t>干部教育</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36.46</w:t>
            </w:r>
          </w:p>
        </w:tc>
        <w:tc>
          <w:tcPr>
            <w:tcW w:w="1095" w:type="dxa"/>
            <w:vAlign w:val="center"/>
          </w:tcPr>
          <w:p>
            <w:pPr>
              <w:pStyle w:val="13"/>
            </w:pPr>
            <w:r>
              <w:t>36.46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34.16</w:t>
            </w:r>
          </w:p>
        </w:tc>
        <w:tc>
          <w:tcPr>
            <w:tcW w:w="1095" w:type="dxa"/>
            <w:vAlign w:val="center"/>
          </w:tcPr>
          <w:p>
            <w:pPr>
              <w:pStyle w:val="13"/>
            </w:pPr>
            <w:r>
              <w:t>34.16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2080502</w:t>
            </w:r>
          </w:p>
        </w:tc>
        <w:tc>
          <w:tcPr>
            <w:tcW w:w="1095" w:type="dxa"/>
            <w:vAlign w:val="center"/>
          </w:tcPr>
          <w:p>
            <w:pPr>
              <w:pStyle w:val="14"/>
            </w:pPr>
            <w:r>
              <w:t>事业单位离退休</w:t>
            </w:r>
          </w:p>
        </w:tc>
        <w:tc>
          <w:tcPr>
            <w:tcW w:w="1095" w:type="dxa"/>
            <w:vAlign w:val="center"/>
          </w:tcPr>
          <w:p>
            <w:pPr>
              <w:pStyle w:val="13"/>
            </w:pPr>
            <w:r>
              <w:t>23.30</w:t>
            </w:r>
          </w:p>
        </w:tc>
        <w:tc>
          <w:tcPr>
            <w:tcW w:w="1095" w:type="dxa"/>
            <w:vAlign w:val="center"/>
          </w:tcPr>
          <w:p>
            <w:pPr>
              <w:pStyle w:val="13"/>
            </w:pPr>
            <w:r>
              <w:t>23.30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10.86</w:t>
            </w:r>
          </w:p>
        </w:tc>
        <w:tc>
          <w:tcPr>
            <w:tcW w:w="1095" w:type="dxa"/>
            <w:vAlign w:val="center"/>
          </w:tcPr>
          <w:p>
            <w:pPr>
              <w:pStyle w:val="13"/>
            </w:pPr>
            <w:r>
              <w:t>10.86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235.92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186.56</w:t>
            </w:r>
          </w:p>
        </w:tc>
        <w:tc>
          <w:tcPr>
            <w:tcW w:w="1232" w:type="dxa"/>
            <w:vAlign w:val="center"/>
          </w:tcPr>
          <w:p>
            <w:pPr>
              <w:pStyle w:val="13"/>
            </w:pPr>
            <w:r>
              <w:t>186.56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36.46</w:t>
            </w:r>
          </w:p>
        </w:tc>
        <w:tc>
          <w:tcPr>
            <w:tcW w:w="1232" w:type="dxa"/>
            <w:vAlign w:val="center"/>
          </w:tcPr>
          <w:p>
            <w:pPr>
              <w:pStyle w:val="13"/>
            </w:pPr>
            <w:r>
              <w:t>36.46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4.31</w:t>
            </w:r>
          </w:p>
        </w:tc>
        <w:tc>
          <w:tcPr>
            <w:tcW w:w="1232" w:type="dxa"/>
            <w:vAlign w:val="center"/>
          </w:tcPr>
          <w:p>
            <w:pPr>
              <w:pStyle w:val="13"/>
            </w:pPr>
            <w:r>
              <w:t>4.31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8.59</w:t>
            </w:r>
          </w:p>
        </w:tc>
        <w:tc>
          <w:tcPr>
            <w:tcW w:w="1232" w:type="dxa"/>
            <w:vAlign w:val="center"/>
          </w:tcPr>
          <w:p>
            <w:pPr>
              <w:pStyle w:val="13"/>
            </w:pPr>
            <w:r>
              <w:t>8.59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235.92</w:t>
            </w:r>
          </w:p>
        </w:tc>
        <w:tc>
          <w:tcPr>
            <w:tcW w:w="1232" w:type="dxa"/>
            <w:vAlign w:val="center"/>
          </w:tcPr>
          <w:p>
            <w:pPr>
              <w:pStyle w:val="16"/>
            </w:pPr>
            <w:r>
              <w:t>本年支出合计</w:t>
            </w:r>
          </w:p>
        </w:tc>
        <w:tc>
          <w:tcPr>
            <w:tcW w:w="1232" w:type="dxa"/>
            <w:vAlign w:val="center"/>
          </w:tcPr>
          <w:p>
            <w:pPr>
              <w:pStyle w:val="17"/>
            </w:pPr>
            <w:r>
              <w:t>235.92</w:t>
            </w:r>
          </w:p>
        </w:tc>
        <w:tc>
          <w:tcPr>
            <w:tcW w:w="1232" w:type="dxa"/>
            <w:vAlign w:val="center"/>
          </w:tcPr>
          <w:p>
            <w:pPr>
              <w:pStyle w:val="17"/>
            </w:pPr>
            <w:r>
              <w:t>235.92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235.92</w:t>
            </w:r>
          </w:p>
        </w:tc>
        <w:tc>
          <w:tcPr>
            <w:tcW w:w="1232" w:type="dxa"/>
            <w:vAlign w:val="center"/>
          </w:tcPr>
          <w:p>
            <w:pPr>
              <w:pStyle w:val="16"/>
            </w:pPr>
            <w:r>
              <w:t>支出总计</w:t>
            </w:r>
          </w:p>
        </w:tc>
        <w:tc>
          <w:tcPr>
            <w:tcW w:w="1232" w:type="dxa"/>
            <w:vAlign w:val="center"/>
          </w:tcPr>
          <w:p>
            <w:pPr>
              <w:pStyle w:val="17"/>
            </w:pPr>
            <w:r>
              <w:t>235.92</w:t>
            </w:r>
          </w:p>
        </w:tc>
        <w:tc>
          <w:tcPr>
            <w:tcW w:w="1232" w:type="dxa"/>
            <w:vAlign w:val="center"/>
          </w:tcPr>
          <w:p>
            <w:pPr>
              <w:pStyle w:val="17"/>
            </w:pPr>
            <w:r>
              <w:t>235.92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235.92</w:t>
            </w:r>
          </w:p>
        </w:tc>
        <w:tc>
          <w:tcPr>
            <w:tcW w:w="1643" w:type="dxa"/>
            <w:vAlign w:val="center"/>
          </w:tcPr>
          <w:p>
            <w:pPr>
              <w:pStyle w:val="17"/>
            </w:pPr>
            <w:r>
              <w:t>137.64</w:t>
            </w:r>
          </w:p>
        </w:tc>
        <w:tc>
          <w:tcPr>
            <w:tcW w:w="1643" w:type="dxa"/>
            <w:vAlign w:val="center"/>
          </w:tcPr>
          <w:p>
            <w:pPr>
              <w:pStyle w:val="17"/>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186.56</w:t>
            </w:r>
          </w:p>
        </w:tc>
        <w:tc>
          <w:tcPr>
            <w:tcW w:w="1643" w:type="dxa"/>
            <w:vAlign w:val="center"/>
          </w:tcPr>
          <w:p>
            <w:pPr>
              <w:pStyle w:val="13"/>
            </w:pPr>
            <w:r>
              <w:t>88.28</w:t>
            </w: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20501</w:t>
            </w:r>
          </w:p>
        </w:tc>
        <w:tc>
          <w:tcPr>
            <w:tcW w:w="1643" w:type="dxa"/>
            <w:vAlign w:val="center"/>
          </w:tcPr>
          <w:p>
            <w:pPr>
              <w:pStyle w:val="14"/>
            </w:pPr>
            <w:r>
              <w:t>教育管理事务</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2050101</w:t>
            </w:r>
          </w:p>
        </w:tc>
        <w:tc>
          <w:tcPr>
            <w:tcW w:w="1643" w:type="dxa"/>
            <w:vAlign w:val="center"/>
          </w:tcPr>
          <w:p>
            <w:pPr>
              <w:pStyle w:val="14"/>
            </w:pPr>
            <w:r>
              <w:t>行政运行</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20508</w:t>
            </w:r>
          </w:p>
        </w:tc>
        <w:tc>
          <w:tcPr>
            <w:tcW w:w="1643" w:type="dxa"/>
            <w:vAlign w:val="center"/>
          </w:tcPr>
          <w:p>
            <w:pPr>
              <w:pStyle w:val="14"/>
            </w:pPr>
            <w:r>
              <w:t>进修及培训</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2050802</w:t>
            </w:r>
          </w:p>
        </w:tc>
        <w:tc>
          <w:tcPr>
            <w:tcW w:w="1643" w:type="dxa"/>
            <w:vAlign w:val="center"/>
          </w:tcPr>
          <w:p>
            <w:pPr>
              <w:pStyle w:val="14"/>
            </w:pPr>
            <w:r>
              <w:t>干部教育</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36.46</w:t>
            </w:r>
          </w:p>
        </w:tc>
        <w:tc>
          <w:tcPr>
            <w:tcW w:w="1643" w:type="dxa"/>
            <w:vAlign w:val="center"/>
          </w:tcPr>
          <w:p>
            <w:pPr>
              <w:pStyle w:val="13"/>
            </w:pPr>
            <w:r>
              <w:t>36.46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34.16</w:t>
            </w:r>
          </w:p>
        </w:tc>
        <w:tc>
          <w:tcPr>
            <w:tcW w:w="1643" w:type="dxa"/>
            <w:vAlign w:val="center"/>
          </w:tcPr>
          <w:p>
            <w:pPr>
              <w:pStyle w:val="13"/>
            </w:pPr>
            <w:r>
              <w:t>34.16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2080502</w:t>
            </w:r>
          </w:p>
        </w:tc>
        <w:tc>
          <w:tcPr>
            <w:tcW w:w="1643" w:type="dxa"/>
            <w:vAlign w:val="center"/>
          </w:tcPr>
          <w:p>
            <w:pPr>
              <w:pStyle w:val="14"/>
            </w:pPr>
            <w:r>
              <w:t>事业单位离退休</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137.64</w:t>
            </w:r>
          </w:p>
        </w:tc>
        <w:tc>
          <w:tcPr>
            <w:tcW w:w="1643" w:type="dxa"/>
            <w:vAlign w:val="center"/>
          </w:tcPr>
          <w:p>
            <w:pPr>
              <w:pStyle w:val="17"/>
            </w:pPr>
            <w:r>
              <w:t>126.16</w:t>
            </w:r>
          </w:p>
        </w:tc>
        <w:tc>
          <w:tcPr>
            <w:tcW w:w="1643" w:type="dxa"/>
            <w:vAlign w:val="center"/>
          </w:tcPr>
          <w:p>
            <w:pPr>
              <w:pStyle w:val="17"/>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100.86</w:t>
            </w:r>
          </w:p>
        </w:tc>
        <w:tc>
          <w:tcPr>
            <w:tcW w:w="1643" w:type="dxa"/>
            <w:vAlign w:val="center"/>
          </w:tcPr>
          <w:p>
            <w:pPr>
              <w:pStyle w:val="13"/>
            </w:pPr>
            <w:r>
              <w:t>100.86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50.88</w:t>
            </w:r>
          </w:p>
        </w:tc>
        <w:tc>
          <w:tcPr>
            <w:tcW w:w="1643" w:type="dxa"/>
            <w:vAlign w:val="center"/>
          </w:tcPr>
          <w:p>
            <w:pPr>
              <w:pStyle w:val="13"/>
            </w:pPr>
            <w:r>
              <w:t>50.88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16.30</w:t>
            </w:r>
          </w:p>
        </w:tc>
        <w:tc>
          <w:tcPr>
            <w:tcW w:w="1643" w:type="dxa"/>
            <w:vAlign w:val="center"/>
          </w:tcPr>
          <w:p>
            <w:pPr>
              <w:pStyle w:val="13"/>
            </w:pPr>
            <w:r>
              <w:t>16.30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5.22</w:t>
            </w:r>
          </w:p>
        </w:tc>
        <w:tc>
          <w:tcPr>
            <w:tcW w:w="1643" w:type="dxa"/>
            <w:vAlign w:val="center"/>
          </w:tcPr>
          <w:p>
            <w:pPr>
              <w:pStyle w:val="13"/>
            </w:pPr>
            <w:r>
              <w:t>5.22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11.48</w:t>
            </w:r>
          </w:p>
        </w:tc>
        <w:tc>
          <w:tcPr>
            <w:tcW w:w="1643" w:type="dxa"/>
            <w:vAlign w:val="center"/>
          </w:tcPr>
          <w:p>
            <w:pPr>
              <w:pStyle w:val="13"/>
            </w:pPr>
          </w:p>
        </w:tc>
        <w:tc>
          <w:tcPr>
            <w:tcW w:w="1643" w:type="dxa"/>
            <w:vAlign w:val="center"/>
          </w:tcPr>
          <w:p>
            <w:pPr>
              <w:pStyle w:val="13"/>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2.37</w:t>
            </w:r>
          </w:p>
        </w:tc>
        <w:tc>
          <w:tcPr>
            <w:tcW w:w="1643" w:type="dxa"/>
            <w:vAlign w:val="center"/>
          </w:tcPr>
          <w:p>
            <w:pPr>
              <w:pStyle w:val="13"/>
            </w:pPr>
          </w:p>
        </w:tc>
        <w:tc>
          <w:tcPr>
            <w:tcW w:w="1643" w:type="dxa"/>
            <w:vAlign w:val="center"/>
          </w:tcPr>
          <w:p>
            <w:pPr>
              <w:pStyle w:val="13"/>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0.07</w:t>
            </w:r>
          </w:p>
        </w:tc>
        <w:tc>
          <w:tcPr>
            <w:tcW w:w="1643" w:type="dxa"/>
            <w:vAlign w:val="center"/>
          </w:tcPr>
          <w:p>
            <w:pPr>
              <w:pStyle w:val="13"/>
            </w:pPr>
          </w:p>
        </w:tc>
        <w:tc>
          <w:tcPr>
            <w:tcW w:w="1643"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0.03</w:t>
            </w:r>
          </w:p>
        </w:tc>
        <w:tc>
          <w:tcPr>
            <w:tcW w:w="1643" w:type="dxa"/>
            <w:vAlign w:val="center"/>
          </w:tcPr>
          <w:p>
            <w:pPr>
              <w:pStyle w:val="13"/>
            </w:pPr>
          </w:p>
        </w:tc>
        <w:tc>
          <w:tcPr>
            <w:tcW w:w="1643"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25.30</w:t>
            </w:r>
          </w:p>
        </w:tc>
        <w:tc>
          <w:tcPr>
            <w:tcW w:w="1643" w:type="dxa"/>
            <w:vAlign w:val="center"/>
          </w:tcPr>
          <w:p>
            <w:pPr>
              <w:pStyle w:val="13"/>
            </w:pPr>
            <w:r>
              <w:t>25.30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p>
        </w:tc>
        <w:tc>
          <w:tcPr>
            <w:tcW w:w="1643" w:type="dxa"/>
            <w:vAlign w:val="center"/>
          </w:tcPr>
          <w:p>
            <w:pPr>
              <w:pStyle w:val="14"/>
              <w:rPr>
                <w:rFonts w:hint="eastAsia" w:eastAsia="方正书宋_GBK"/>
                <w:lang w:val="en-US" w:eastAsia="zh-CN"/>
              </w:rPr>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val="en-US" w:eastAsia="zh-CN"/>
              </w:rPr>
            </w:pPr>
            <w:r>
              <w:rPr>
                <w:rFonts w:hint="eastAsia"/>
                <w:lang w:val="en-US" w:eastAsia="zh-CN"/>
              </w:rPr>
              <w:t>1</w:t>
            </w:r>
          </w:p>
        </w:tc>
        <w:tc>
          <w:tcPr>
            <w:tcW w:w="1643" w:type="dxa"/>
            <w:vAlign w:val="center"/>
          </w:tcPr>
          <w:p>
            <w:pPr>
              <w:pStyle w:val="14"/>
              <w:rPr>
                <w:rFonts w:hint="eastAsia" w:eastAsia="方正书宋_GBK"/>
                <w:lang w:val="en-US" w:eastAsia="zh-CN"/>
              </w:rPr>
            </w:pPr>
            <w:r>
              <w:rPr>
                <w:rFonts w:hint="eastAsia"/>
                <w:lang w:val="en-US" w:eastAsia="zh-CN"/>
              </w:rPr>
              <w:t>公务接待费</w:t>
            </w:r>
          </w:p>
        </w:tc>
        <w:tc>
          <w:tcPr>
            <w:tcW w:w="1643" w:type="dxa"/>
            <w:vAlign w:val="center"/>
          </w:tcPr>
          <w:p>
            <w:pPr>
              <w:pStyle w:val="13"/>
              <w:rPr>
                <w:rFonts w:hint="default" w:eastAsia="方正书宋_GBK"/>
                <w:lang w:val="en-US" w:eastAsia="zh-CN"/>
              </w:rPr>
            </w:pPr>
            <w:r>
              <w:rPr>
                <w:rFonts w:hint="eastAsia"/>
                <w:lang w:val="en-US" w:eastAsia="zh-CN"/>
              </w:rPr>
              <w:t>0.03</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default"/>
                <w:lang w:val="en-US" w:eastAsia="zh-CN"/>
              </w:rPr>
            </w:pPr>
            <w:r>
              <w:rPr>
                <w:rFonts w:hint="eastAsia"/>
                <w:lang w:val="en-US" w:eastAsia="zh-CN"/>
              </w:rPr>
              <w:t>2</w:t>
            </w:r>
          </w:p>
        </w:tc>
        <w:tc>
          <w:tcPr>
            <w:tcW w:w="1643" w:type="dxa"/>
            <w:vAlign w:val="center"/>
          </w:tcPr>
          <w:p>
            <w:pPr>
              <w:pStyle w:val="14"/>
              <w:rPr>
                <w:rFonts w:hint="default"/>
                <w:lang w:val="en-US" w:eastAsia="zh-CN"/>
              </w:rPr>
            </w:pPr>
            <w:r>
              <w:rPr>
                <w:rFonts w:hint="eastAsia"/>
                <w:lang w:val="en-US" w:eastAsia="zh-CN"/>
              </w:rPr>
              <w:t>公务用车运行维护费</w:t>
            </w:r>
          </w:p>
        </w:tc>
        <w:tc>
          <w:tcPr>
            <w:tcW w:w="1643" w:type="dxa"/>
            <w:vAlign w:val="center"/>
          </w:tcPr>
          <w:p>
            <w:pPr>
              <w:pStyle w:val="13"/>
              <w:rPr>
                <w:rFonts w:hint="default"/>
                <w:lang w:val="en-US" w:eastAsia="zh-CN"/>
              </w:rPr>
            </w:pPr>
            <w:r>
              <w:rPr>
                <w:rFonts w:hint="eastAsia"/>
                <w:lang w:val="en-US" w:eastAsia="zh-CN"/>
              </w:rPr>
              <w:t>2</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中国共产党宁晋县委员会党校2023年部门预算信息公开情况说明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中国共产党宁晋县委员会党校2023年部门预算信息公开情况说明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、《地方预决算公开操作规程》和《关于进一步推进预算公开工作的实施意见》规定，现将中国共产党宁晋县委员会党校2023年部门预算公开如下：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1、学习、研究和宣传马克思列宁主义、毛泽东思想、邓小平理论、“三个代表”重要思想、科学发展观以及习近平新时代中国特色社会主义思想等重大战略思想。</w:t>
      </w:r>
    </w:p>
    <w:p>
      <w:pPr>
        <w:pStyle w:val="19"/>
      </w:pPr>
      <w:r>
        <w:t>2、轮训副科乡级干部和基层党员干部。</w:t>
      </w:r>
    </w:p>
    <w:p>
      <w:pPr>
        <w:pStyle w:val="19"/>
        <w:rPr>
          <w:rFonts w:hint="eastAsia" w:eastAsia="方正仿宋_GBK"/>
          <w:lang w:eastAsia="zh-CN"/>
        </w:rPr>
      </w:pPr>
      <w:r>
        <w:t>3、培训中青年党员领导干部和后备干部，培训意识形态部门的领导干部和理论骨干</w:t>
      </w:r>
      <w:r>
        <w:rPr>
          <w:rFonts w:hint="eastAsia"/>
          <w:lang w:eastAsia="zh-CN"/>
        </w:rPr>
        <w:t>。</w:t>
      </w:r>
    </w:p>
    <w:p>
      <w:pPr>
        <w:pStyle w:val="19"/>
        <w:rPr>
          <w:rFonts w:hint="eastAsia" w:eastAsia="方正仿宋_GBK"/>
          <w:lang w:eastAsia="zh-CN"/>
        </w:rPr>
      </w:pPr>
      <w:r>
        <w:t>4、协调组织人事部门，对学员在校期间进行考核考察</w:t>
      </w:r>
      <w:r>
        <w:rPr>
          <w:rFonts w:hint="eastAsia"/>
          <w:lang w:eastAsia="zh-CN"/>
        </w:rPr>
        <w:t>。</w:t>
      </w:r>
    </w:p>
    <w:p>
      <w:pPr>
        <w:pStyle w:val="19"/>
      </w:pPr>
      <w:r>
        <w:t>5、对乡（镇）党校进行业务指导。</w:t>
      </w:r>
    </w:p>
    <w:p>
      <w:pPr>
        <w:pStyle w:val="19"/>
      </w:pPr>
      <w:r>
        <w:t>6、完成县委、县政府交办的其他任务。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中国共产党宁晋县委员会党校本级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按照预算管理有关规定，目前我省部门预算的编制实行综合预算管理，即全部收入和支出都反映在预算中。中国共产党宁晋县委员会党校机关及所属事业单位的收支包含在部门预算中。</w:t>
      </w:r>
    </w:p>
    <w:p>
      <w:pPr>
        <w:pStyle w:val="20"/>
      </w:pPr>
      <w:r>
        <w:t>(一）预算收入主要内容</w:t>
      </w:r>
    </w:p>
    <w:p>
      <w:pPr>
        <w:pStyle w:val="20"/>
      </w:pPr>
      <w:r>
        <w:t>收入预算235.924万元，其中一般公共预算收入235.924万元，政府性基金预算收入0万元，国有资本经营预算收入0万元，事业单位经营收入0万元，其他收入0万元</w:t>
      </w:r>
      <w:r>
        <w:rPr>
          <w:rFonts w:hint="eastAsia"/>
          <w:lang w:eastAsia="zh-CN"/>
        </w:rPr>
        <w:t>，</w:t>
      </w:r>
      <w:r>
        <w:t>202</w:t>
      </w:r>
      <w:r>
        <w:rPr>
          <w:rFonts w:hint="eastAsia"/>
          <w:lang w:val="en-US" w:eastAsia="zh-CN"/>
        </w:rPr>
        <w:t>3</w:t>
      </w:r>
      <w:r>
        <w:t>年预算收入总额为235.924万元。</w:t>
      </w:r>
    </w:p>
    <w:p>
      <w:pPr>
        <w:pStyle w:val="20"/>
      </w:pPr>
      <w:r>
        <w:t>（二）预算支出主要内容</w:t>
      </w:r>
    </w:p>
    <w:p>
      <w:pPr>
        <w:pStyle w:val="20"/>
      </w:pPr>
      <w:r>
        <w:t>202</w:t>
      </w:r>
      <w:r>
        <w:rPr>
          <w:rFonts w:hint="eastAsia"/>
          <w:lang w:val="en-US" w:eastAsia="zh-CN"/>
        </w:rPr>
        <w:t>3</w:t>
      </w:r>
      <w:r>
        <w:t>年总支出预算为235.92万元，其中，基本支出预算安排为137.64万元，包括人员经费支出126.16万元和日常公用经费支出11.48万元；项目支出预算安排为98.284万元。</w:t>
      </w:r>
    </w:p>
    <w:p>
      <w:pPr>
        <w:pStyle w:val="20"/>
        <w:rPr>
          <w:rFonts w:hint="eastAsia"/>
        </w:rPr>
      </w:pPr>
      <w:r>
        <w:t>（三）</w:t>
      </w:r>
      <w:r>
        <w:rPr>
          <w:rFonts w:hint="eastAsia"/>
        </w:rPr>
        <w:t>比上年增减情况</w:t>
      </w:r>
    </w:p>
    <w:p>
      <w:pPr>
        <w:pStyle w:val="20"/>
      </w:pPr>
      <w:r>
        <w:rPr>
          <w:rFonts w:hint="eastAsia"/>
        </w:rPr>
        <w:t>202</w:t>
      </w:r>
      <w:r>
        <w:rPr>
          <w:rFonts w:hint="eastAsia"/>
          <w:lang w:val="en-US" w:eastAsia="zh-CN"/>
        </w:rPr>
        <w:t>3</w:t>
      </w:r>
      <w:r>
        <w:rPr>
          <w:rFonts w:hint="eastAsia"/>
        </w:rPr>
        <w:t>年部门预算较202</w:t>
      </w:r>
      <w:r>
        <w:rPr>
          <w:rFonts w:hint="eastAsia"/>
          <w:lang w:val="en-US" w:eastAsia="zh-CN"/>
        </w:rPr>
        <w:t>2</w:t>
      </w:r>
      <w:r>
        <w:rPr>
          <w:rFonts w:hint="eastAsia"/>
        </w:rPr>
        <w:t>年预算</w:t>
      </w:r>
      <w:r>
        <w:rPr>
          <w:rFonts w:hint="eastAsia"/>
          <w:lang w:eastAsia="zh-CN"/>
        </w:rPr>
        <w:t>减少</w:t>
      </w:r>
      <w:r>
        <w:rPr>
          <w:rFonts w:hint="eastAsia"/>
          <w:lang w:val="en-US" w:eastAsia="zh-CN"/>
        </w:rPr>
        <w:t>37.14598</w:t>
      </w:r>
      <w:r>
        <w:rPr>
          <w:rFonts w:hint="eastAsia"/>
        </w:rPr>
        <w:t>万元，其中：基本支出比上年预算</w:t>
      </w:r>
      <w:r>
        <w:rPr>
          <w:rFonts w:hint="eastAsia"/>
          <w:lang w:eastAsia="zh-CN"/>
        </w:rPr>
        <w:t>增加</w:t>
      </w:r>
      <w:r>
        <w:rPr>
          <w:rFonts w:hint="eastAsia"/>
        </w:rPr>
        <w:t>了</w:t>
      </w:r>
      <w:r>
        <w:rPr>
          <w:rFonts w:hint="eastAsia"/>
          <w:lang w:val="en-US" w:eastAsia="zh-CN"/>
        </w:rPr>
        <w:t>23.51146</w:t>
      </w:r>
      <w:r>
        <w:rPr>
          <w:rFonts w:hint="eastAsia"/>
        </w:rPr>
        <w:t>万元，</w:t>
      </w:r>
      <w:r>
        <w:rPr>
          <w:rFonts w:hint="eastAsia"/>
          <w:lang w:eastAsia="zh-CN"/>
        </w:rPr>
        <w:t>增加</w:t>
      </w:r>
      <w:r>
        <w:rPr>
          <w:rFonts w:hint="eastAsia"/>
        </w:rPr>
        <w:t>的主要原因是</w:t>
      </w:r>
      <w:r>
        <w:rPr>
          <w:rFonts w:hint="eastAsia"/>
          <w:lang w:eastAsia="zh-CN"/>
        </w:rPr>
        <w:t>新录入两名公务员</w:t>
      </w:r>
      <w:r>
        <w:rPr>
          <w:rFonts w:hint="eastAsia"/>
        </w:rPr>
        <w:t>。项目支出比上年预算</w:t>
      </w:r>
      <w:r>
        <w:rPr>
          <w:rFonts w:hint="eastAsia"/>
          <w:lang w:eastAsia="zh-CN"/>
        </w:rPr>
        <w:t>减少</w:t>
      </w:r>
      <w:r>
        <w:rPr>
          <w:rFonts w:hint="eastAsia"/>
        </w:rPr>
        <w:t>了</w:t>
      </w:r>
      <w:r>
        <w:rPr>
          <w:rFonts w:hint="eastAsia"/>
          <w:lang w:val="en-US" w:eastAsia="zh-CN"/>
        </w:rPr>
        <w:t>60.65744</w:t>
      </w:r>
      <w:r>
        <w:rPr>
          <w:rFonts w:hint="eastAsia"/>
        </w:rPr>
        <w:t>万元，</w:t>
      </w:r>
      <w:r>
        <w:rPr>
          <w:rFonts w:hint="eastAsia"/>
          <w:lang w:eastAsia="zh-CN"/>
        </w:rPr>
        <w:t>减少</w:t>
      </w:r>
      <w:r>
        <w:rPr>
          <w:rFonts w:hint="eastAsia"/>
        </w:rPr>
        <w:t>的主要原因是项目数量和项目资金</w:t>
      </w:r>
      <w:r>
        <w:rPr>
          <w:rFonts w:hint="eastAsia"/>
          <w:lang w:eastAsia="zh-CN"/>
        </w:rPr>
        <w:t>减少</w:t>
      </w:r>
      <w:r>
        <w:rPr>
          <w:rFonts w:hint="eastAsia"/>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机关运行经费预算支出11.48万元，主要用于保障单位运行，用于购买货物和服务。</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（一）因公出国（境）经费预算</w:t>
      </w:r>
    </w:p>
    <w:p>
      <w:pPr>
        <w:pStyle w:val="22"/>
        <w:rPr>
          <w:rFonts w:hint="eastAsia"/>
        </w:rPr>
      </w:pPr>
      <w:r>
        <w:rPr>
          <w:rFonts w:hint="eastAsia"/>
        </w:rPr>
        <w:t>因公出国（境）经费预算项目支出安排0万元，与上年相比无变化。</w:t>
      </w:r>
    </w:p>
    <w:p>
      <w:pPr>
        <w:pStyle w:val="22"/>
        <w:rPr>
          <w:rFonts w:hint="eastAsia"/>
        </w:rPr>
      </w:pPr>
      <w:r>
        <w:rPr>
          <w:rFonts w:hint="eastAsia"/>
        </w:rPr>
        <w:t>（二）公务接待费用预算</w:t>
      </w:r>
    </w:p>
    <w:p>
      <w:pPr>
        <w:pStyle w:val="22"/>
        <w:rPr>
          <w:rFonts w:hint="eastAsia"/>
        </w:rPr>
      </w:pPr>
      <w:r>
        <w:rPr>
          <w:rFonts w:hint="eastAsia"/>
        </w:rPr>
        <w:t>宁晋县委党校公务接待费用0.03万元，与上年相比无变化。</w:t>
      </w:r>
    </w:p>
    <w:p>
      <w:pPr>
        <w:pStyle w:val="22"/>
        <w:rPr>
          <w:rFonts w:hint="eastAsia"/>
        </w:rPr>
      </w:pPr>
      <w:r>
        <w:rPr>
          <w:rFonts w:hint="eastAsia"/>
        </w:rPr>
        <w:t>（三）公务用车购置及运行维护费预算</w:t>
      </w:r>
    </w:p>
    <w:p>
      <w:pPr>
        <w:pStyle w:val="22"/>
        <w:rPr>
          <w:rFonts w:hint="default" w:eastAsia="方正仿宋_GBK"/>
          <w:lang w:val="en-US" w:eastAsia="zh-CN"/>
        </w:rPr>
      </w:pPr>
      <w:r>
        <w:rPr>
          <w:rFonts w:hint="eastAsia"/>
        </w:rPr>
        <w:t>宁晋县委党校有车辆编制数1辆，公务</w:t>
      </w:r>
      <w:r>
        <w:rPr>
          <w:rFonts w:hint="eastAsia"/>
          <w:lang w:eastAsia="zh-CN"/>
        </w:rPr>
        <w:t>用</w:t>
      </w:r>
      <w:r>
        <w:rPr>
          <w:rFonts w:hint="eastAsia"/>
        </w:rPr>
        <w:t>车</w:t>
      </w:r>
      <w:r>
        <w:rPr>
          <w:rFonts w:hint="eastAsia"/>
          <w:lang w:eastAsia="zh-CN"/>
        </w:rPr>
        <w:t>运行维护</w:t>
      </w:r>
      <w:r>
        <w:rPr>
          <w:rFonts w:hint="eastAsia"/>
        </w:rPr>
        <w:t>费预算2万元</w:t>
      </w:r>
      <w:r>
        <w:rPr>
          <w:rFonts w:hint="eastAsia"/>
          <w:lang w:eastAsia="zh-CN"/>
        </w:rPr>
        <w:t>，</w:t>
      </w:r>
      <w:r>
        <w:rPr>
          <w:rFonts w:hint="eastAsia"/>
          <w:lang w:val="en-US" w:eastAsia="zh-CN"/>
        </w:rPr>
        <w:t>2022年购置公务用车1辆。</w:t>
      </w:r>
    </w:p>
    <w:p>
      <w:pPr>
        <w:pStyle w:val="22"/>
        <w:rPr>
          <w:rFonts w:hint="eastAsia"/>
        </w:rPr>
      </w:pPr>
      <w:r>
        <w:rPr>
          <w:rFonts w:hint="eastAsia"/>
        </w:rPr>
        <w:t>（四）会议及培训费</w:t>
      </w:r>
    </w:p>
    <w:p>
      <w:pPr>
        <w:pStyle w:val="22"/>
        <w:rPr>
          <w:rFonts w:hint="eastAsia"/>
        </w:rPr>
      </w:pPr>
      <w:r>
        <w:rPr>
          <w:rFonts w:hint="eastAsia"/>
        </w:rPr>
        <w:t>会议费0万元，与上年度持平。</w:t>
      </w:r>
    </w:p>
    <w:p>
      <w:pPr>
        <w:pStyle w:val="22"/>
      </w:pPr>
      <w:r>
        <w:rPr>
          <w:rFonts w:hint="eastAsia"/>
        </w:rPr>
        <w:t>培训费5</w:t>
      </w:r>
      <w:r>
        <w:rPr>
          <w:rFonts w:hint="eastAsia"/>
          <w:lang w:val="en-US" w:eastAsia="zh-CN"/>
        </w:rPr>
        <w:t>0</w:t>
      </w:r>
      <w:r>
        <w:rPr>
          <w:rFonts w:hint="eastAsia"/>
        </w:rPr>
        <w:t>万元，比上年度</w:t>
      </w:r>
      <w:r>
        <w:rPr>
          <w:rFonts w:hint="eastAsia"/>
          <w:lang w:eastAsia="zh-CN"/>
        </w:rPr>
        <w:t>减少</w:t>
      </w:r>
      <w:r>
        <w:rPr>
          <w:rFonts w:hint="eastAsia"/>
          <w:lang w:val="en-US" w:eastAsia="zh-CN"/>
        </w:rPr>
        <w:t>2.98</w:t>
      </w:r>
      <w:r>
        <w:rPr>
          <w:rFonts w:hint="eastAsia"/>
        </w:rPr>
        <w:t>万元，用于开展“新时代 宁晋高质量赶超发展大讲堂”和</w:t>
      </w:r>
      <w:r>
        <w:rPr>
          <w:rFonts w:hint="eastAsia"/>
          <w:lang w:eastAsia="zh-CN"/>
        </w:rPr>
        <w:t>党员干部</w:t>
      </w:r>
      <w:r>
        <w:rPr>
          <w:rFonts w:hint="eastAsia"/>
        </w:rPr>
        <w:t>培训。</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县委党校的工作思路是以学习宣传贯彻党的二十大精神为重点，以贯彻落实《中国共产党党校（行政学院）工作条例》为主线，坚持党校姓党、实事求是、质量立校、改革创新、从严治校的原则，抓好党校主业主课，常态化开展好</w:t>
      </w:r>
      <w:r>
        <w:rPr>
          <w:rFonts w:hint="eastAsia"/>
          <w:lang w:eastAsia="zh-CN"/>
        </w:rPr>
        <w:t>党史学习教育</w:t>
      </w:r>
      <w:r>
        <w:t>和“四史”宣传教育，同时打造系列亮点特色工作。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目标1：保障单位在职职工工资和公益岗补贴及时准确发放，使职工基本权益得到维护。</w:t>
      </w:r>
    </w:p>
    <w:p>
      <w:pPr>
        <w:pStyle w:val="24"/>
      </w:pPr>
      <w:r>
        <w:t>目标2：完成年初单位既定目标，开展干部培训活动；加强党史党建阵地文化建设。</w:t>
      </w:r>
    </w:p>
    <w:p>
      <w:pPr>
        <w:pStyle w:val="24"/>
      </w:pPr>
      <w:r>
        <w:t>目标3：维护单位各部门正常办公和办学条件；进行校园维修，对图书馆和四史教育展馆进行提升建设，改善办公和办学环境；引进物业保洁服务，保障党校培训正常开展；购置电子教学设备，进行党校信息化建设；开展校园绿化美化，改善党校院落面貌；保障党校冬季取暖夏季空调用电。</w:t>
      </w:r>
      <w:bookmarkStart w:id="18" w:name="_GoBack"/>
      <w:bookmarkEnd w:id="18"/>
    </w:p>
    <w:p>
      <w:pPr>
        <w:pStyle w:val="24"/>
      </w:pPr>
      <w:r>
        <w:t>目标4：保障科研工作，提高科研水平。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1、抓好各类培训工作，做好干训工作，服务全县发展大局。</w:t>
      </w:r>
    </w:p>
    <w:p>
      <w:pPr>
        <w:pStyle w:val="25"/>
      </w:pPr>
      <w:r>
        <w:t>2、加强校外理论宣讲工作，提高我校影响力和知名度。</w:t>
      </w:r>
    </w:p>
    <w:p>
      <w:pPr>
        <w:pStyle w:val="25"/>
      </w:pPr>
      <w:r>
        <w:t>3、进一步加强师资队伍建设，提高教师教学质量和水平。</w:t>
      </w:r>
    </w:p>
    <w:p>
      <w:pPr>
        <w:pStyle w:val="25"/>
      </w:pPr>
      <w:r>
        <w:t>4、搞好教学科研改革，进一步提高教师教学研究水平。</w:t>
      </w:r>
    </w:p>
    <w:p>
      <w:pPr>
        <w:pStyle w:val="25"/>
      </w:pPr>
      <w:r>
        <w:t>5、进一步提升办学条件，提高学员满意度。</w:t>
      </w:r>
    </w:p>
    <w:p>
      <w:pPr>
        <w:spacing w:before="0" w:after="0" w:line="240" w:lineRule="auto"/>
        <w:jc w:val="left"/>
        <w:outlineLvl w:val="9"/>
        <w:rPr>
          <w:rFonts w:ascii="方正楷体_GBK" w:hAnsi="方正楷体_GBK" w:eastAsia="方正楷体_GBK" w:cs="方正楷体_GBK"/>
          <w:b/>
          <w:color w:val="000000"/>
          <w:sz w:val="32"/>
        </w:rPr>
      </w:pPr>
    </w:p>
    <w:p>
      <w:pPr>
        <w:spacing w:before="0" w:after="0"/>
        <w:jc w:val="left"/>
        <w:outlineLvl w:val="9"/>
        <w:rPr>
          <w:rFonts w:ascii="方正仿宋_GBK" w:hAnsi="方正仿宋_GBK" w:eastAsia="方正仿宋_GBK" w:cs="方正仿宋_GBK"/>
          <w:b/>
          <w:color w:val="000000"/>
          <w:sz w:val="28"/>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第二部分  预算项目绩效目标</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1、党校信息化建设绩效目标表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2、党员干部培训绩效目标表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≥10万元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≤10万元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3、冬季取暖和夏季空调费绩效目标表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4、公益岗补贴绩效目标表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保障单位人员工资发放人数</w:t>
            </w:r>
          </w:p>
        </w:tc>
        <w:tc>
          <w:tcPr>
            <w:tcW w:w="2466" w:type="dxa"/>
            <w:vAlign w:val="center"/>
          </w:tcPr>
          <w:p>
            <w:pPr>
              <w:pStyle w:val="14"/>
            </w:pPr>
            <w:r>
              <w:t>保证单位人员工资发放的人数</w:t>
            </w:r>
          </w:p>
        </w:tc>
        <w:tc>
          <w:tcPr>
            <w:tcW w:w="2466" w:type="dxa"/>
            <w:vAlign w:val="center"/>
          </w:tcPr>
          <w:p>
            <w:pPr>
              <w:pStyle w:val="14"/>
            </w:pPr>
            <w:r>
              <w:t>14</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工资发放计算准确率</w:t>
            </w:r>
          </w:p>
        </w:tc>
        <w:tc>
          <w:tcPr>
            <w:tcW w:w="2466" w:type="dxa"/>
            <w:vAlign w:val="center"/>
          </w:tcPr>
          <w:p>
            <w:pPr>
              <w:pStyle w:val="14"/>
            </w:pPr>
            <w:r>
              <w:t>实际发放工资额/应发放工资额*100%</w:t>
            </w:r>
          </w:p>
        </w:tc>
        <w:tc>
          <w:tcPr>
            <w:tcW w:w="2466" w:type="dxa"/>
            <w:vAlign w:val="center"/>
          </w:tcPr>
          <w:p>
            <w:pPr>
              <w:pStyle w:val="14"/>
            </w:pPr>
            <w:r>
              <w:t>100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按政策按时发放到位率</w:t>
            </w:r>
          </w:p>
        </w:tc>
        <w:tc>
          <w:tcPr>
            <w:tcW w:w="2466" w:type="dxa"/>
            <w:vAlign w:val="center"/>
          </w:tcPr>
          <w:p>
            <w:pPr>
              <w:pStyle w:val="14"/>
            </w:pPr>
            <w:r>
              <w:t>实际按规定发放时间次数/全部发放次数*100%</w:t>
            </w:r>
          </w:p>
        </w:tc>
        <w:tc>
          <w:tcPr>
            <w:tcW w:w="2466" w:type="dxa"/>
            <w:vAlign w:val="center"/>
          </w:tcPr>
          <w:p>
            <w:pPr>
              <w:pStyle w:val="14"/>
            </w:pPr>
            <w:r>
              <w:t>≥90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工资成本</w:t>
            </w:r>
          </w:p>
        </w:tc>
        <w:tc>
          <w:tcPr>
            <w:tcW w:w="2466" w:type="dxa"/>
            <w:vAlign w:val="center"/>
          </w:tcPr>
          <w:p>
            <w:pPr>
              <w:pStyle w:val="14"/>
            </w:pPr>
            <w:r>
              <w:t>人均经费达到政策要求</w:t>
            </w:r>
          </w:p>
        </w:tc>
        <w:tc>
          <w:tcPr>
            <w:tcW w:w="2466" w:type="dxa"/>
            <w:vAlign w:val="center"/>
          </w:tcPr>
          <w:p>
            <w:pPr>
              <w:pStyle w:val="14"/>
            </w:pPr>
            <w:r>
              <w:t>≥5000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职工评价</w:t>
            </w:r>
          </w:p>
        </w:tc>
        <w:tc>
          <w:tcPr>
            <w:tcW w:w="2466" w:type="dxa"/>
            <w:vAlign w:val="center"/>
          </w:tcPr>
          <w:p>
            <w:pPr>
              <w:pStyle w:val="14"/>
            </w:pPr>
            <w:r>
              <w:t>职工对工资发放工作的评价</w:t>
            </w:r>
          </w:p>
        </w:tc>
        <w:tc>
          <w:tcPr>
            <w:tcW w:w="2466" w:type="dxa"/>
            <w:vAlign w:val="center"/>
          </w:tcPr>
          <w:p>
            <w:pPr>
              <w:pStyle w:val="14"/>
            </w:pPr>
            <w:r>
              <w:t>≥90</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重点工作完成的占全部重点工作的比重</w:t>
            </w:r>
          </w:p>
        </w:tc>
        <w:tc>
          <w:tcPr>
            <w:tcW w:w="2466" w:type="dxa"/>
            <w:vAlign w:val="center"/>
          </w:tcPr>
          <w:p>
            <w:pPr>
              <w:pStyle w:val="14"/>
            </w:pPr>
            <w:r>
              <w:t>≥100</w:t>
            </w:r>
          </w:p>
        </w:tc>
        <w:tc>
          <w:tcPr>
            <w:tcW w:w="2466"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年终考核成绩</w:t>
            </w:r>
          </w:p>
        </w:tc>
        <w:tc>
          <w:tcPr>
            <w:tcW w:w="2466" w:type="dxa"/>
            <w:vAlign w:val="center"/>
          </w:tcPr>
          <w:p>
            <w:pPr>
              <w:pStyle w:val="14"/>
            </w:pPr>
            <w:r>
              <w:t>单位人员年终考核成绩</w:t>
            </w:r>
          </w:p>
        </w:tc>
        <w:tc>
          <w:tcPr>
            <w:tcW w:w="2466" w:type="dxa"/>
            <w:vAlign w:val="center"/>
          </w:tcPr>
          <w:p>
            <w:pPr>
              <w:pStyle w:val="14"/>
            </w:pPr>
            <w:r>
              <w:t>全部良以上</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全部良以上</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5、举办2023年度“新时代·宁晋县高质量发展大讲堂”绩效目标表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支出全部经费</w:t>
            </w:r>
          </w:p>
        </w:tc>
        <w:tc>
          <w:tcPr>
            <w:tcW w:w="2466" w:type="dxa"/>
            <w:vAlign w:val="center"/>
          </w:tcPr>
          <w:p>
            <w:pPr>
              <w:pStyle w:val="14"/>
            </w:pPr>
            <w:r>
              <w:t>≥40万元（支出全部经费）</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≥95百分比（培训质量提高）</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资金成本</w:t>
            </w:r>
          </w:p>
        </w:tc>
        <w:tc>
          <w:tcPr>
            <w:tcW w:w="2466" w:type="dxa"/>
            <w:vAlign w:val="center"/>
          </w:tcPr>
          <w:p>
            <w:pPr>
              <w:pStyle w:val="14"/>
            </w:pPr>
            <w:r>
              <w:t>≤40万元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≥98百分比</w:t>
            </w:r>
          </w:p>
        </w:tc>
        <w:tc>
          <w:tcPr>
            <w:tcW w:w="2466" w:type="dxa"/>
            <w:vAlign w:val="center"/>
          </w:tcPr>
          <w:p>
            <w:pPr>
              <w:pStyle w:val="14"/>
            </w:pPr>
            <w:r>
              <w:t>业能力增强务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提高支出效率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提高培训质量</w:t>
            </w:r>
          </w:p>
        </w:tc>
        <w:tc>
          <w:tcPr>
            <w:tcW w:w="2466" w:type="dxa"/>
            <w:vAlign w:val="center"/>
          </w:tcPr>
          <w:p>
            <w:pPr>
              <w:pStyle w:val="14"/>
            </w:pPr>
            <w:r>
              <w:t>培训质量</w:t>
            </w:r>
          </w:p>
        </w:tc>
        <w:tc>
          <w:tcPr>
            <w:tcW w:w="2466" w:type="dxa"/>
            <w:vAlign w:val="center"/>
          </w:tcPr>
          <w:p>
            <w:pPr>
              <w:pStyle w:val="14"/>
            </w:pPr>
            <w:r>
              <w:t>≥98百分比</w:t>
            </w:r>
          </w:p>
        </w:tc>
        <w:tc>
          <w:tcPr>
            <w:tcW w:w="2466" w:type="dxa"/>
            <w:vAlign w:val="center"/>
          </w:tcPr>
          <w:p>
            <w:pPr>
              <w:pStyle w:val="14"/>
            </w:pPr>
            <w:r>
              <w:t>提高质量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培训对象满意</w:t>
            </w:r>
          </w:p>
        </w:tc>
        <w:tc>
          <w:tcPr>
            <w:tcW w:w="2466" w:type="dxa"/>
            <w:vAlign w:val="center"/>
          </w:tcPr>
          <w:p>
            <w:pPr>
              <w:pStyle w:val="14"/>
            </w:pPr>
            <w:r>
              <w:t>培训对象满意</w:t>
            </w:r>
          </w:p>
        </w:tc>
        <w:tc>
          <w:tcPr>
            <w:tcW w:w="2466" w:type="dxa"/>
            <w:vAlign w:val="center"/>
          </w:tcPr>
          <w:p>
            <w:pPr>
              <w:pStyle w:val="14"/>
            </w:pPr>
            <w:r>
              <w:t>≥95百分比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6、科研经费绩效目标表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1.提高科研水平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≥20万元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≤20万元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7、图书馆和四史教育展馆提升建设绩效目标表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8、乡镇党校建设绩效目标表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≥0.5万元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≤0.5万元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9、校园维修美化物业费绩效目标表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1.美化校园环境，提高教学质量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资金全部支出</w:t>
            </w:r>
          </w:p>
        </w:tc>
        <w:tc>
          <w:tcPr>
            <w:tcW w:w="2466" w:type="dxa"/>
            <w:vAlign w:val="center"/>
          </w:tcPr>
          <w:p>
            <w:pPr>
              <w:pStyle w:val="14"/>
            </w:pPr>
            <w:r>
              <w:t>≥10万元</w:t>
            </w:r>
          </w:p>
        </w:tc>
        <w:tc>
          <w:tcPr>
            <w:tcW w:w="2466" w:type="dxa"/>
            <w:vAlign w:val="center"/>
          </w:tcPr>
          <w:p>
            <w:pPr>
              <w:pStyle w:val="14"/>
            </w:pPr>
            <w:r>
              <w:t>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≥97百分比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≤10万元</w:t>
            </w:r>
          </w:p>
        </w:tc>
        <w:tc>
          <w:tcPr>
            <w:tcW w:w="2466" w:type="dxa"/>
            <w:vAlign w:val="center"/>
          </w:tcPr>
          <w:p>
            <w:pPr>
              <w:pStyle w:val="14"/>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可持续使用</w:t>
            </w:r>
          </w:p>
        </w:tc>
        <w:tc>
          <w:tcPr>
            <w:tcW w:w="2466" w:type="dxa"/>
            <w:vAlign w:val="center"/>
          </w:tcPr>
          <w:p>
            <w:pPr>
              <w:pStyle w:val="14"/>
            </w:pPr>
            <w:r>
              <w:t>可持续使用率</w:t>
            </w:r>
          </w:p>
        </w:tc>
        <w:tc>
          <w:tcPr>
            <w:tcW w:w="2466" w:type="dxa"/>
            <w:vAlign w:val="center"/>
          </w:tcPr>
          <w:p>
            <w:pPr>
              <w:pStyle w:val="14"/>
            </w:pPr>
            <w:r>
              <w:t>≥98百分比</w:t>
            </w:r>
          </w:p>
        </w:tc>
        <w:tc>
          <w:tcPr>
            <w:tcW w:w="2466" w:type="dxa"/>
            <w:vAlign w:val="center"/>
          </w:tcPr>
          <w:p>
            <w:pPr>
              <w:pStyle w:val="14"/>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完成率</w:t>
            </w:r>
          </w:p>
        </w:tc>
        <w:tc>
          <w:tcPr>
            <w:tcW w:w="2466" w:type="dxa"/>
            <w:vAlign w:val="center"/>
          </w:tcPr>
          <w:p>
            <w:pPr>
              <w:pStyle w:val="14"/>
            </w:pPr>
            <w:r>
              <w:t>≥97百分比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节能环保减排</w:t>
            </w:r>
          </w:p>
        </w:tc>
        <w:tc>
          <w:tcPr>
            <w:tcW w:w="2466" w:type="dxa"/>
            <w:vAlign w:val="center"/>
          </w:tcPr>
          <w:p>
            <w:pPr>
              <w:pStyle w:val="14"/>
            </w:pPr>
            <w:r>
              <w:t>节能环保减排</w:t>
            </w:r>
          </w:p>
        </w:tc>
        <w:tc>
          <w:tcPr>
            <w:tcW w:w="2466" w:type="dxa"/>
            <w:vAlign w:val="center"/>
          </w:tcPr>
          <w:p>
            <w:pPr>
              <w:pStyle w:val="14"/>
            </w:pPr>
            <w:r>
              <w:t>≥97百分比</w:t>
            </w:r>
          </w:p>
        </w:tc>
        <w:tc>
          <w:tcPr>
            <w:tcW w:w="2466" w:type="dxa"/>
            <w:vAlign w:val="center"/>
          </w:tcPr>
          <w:p>
            <w:pPr>
              <w:pStyle w:val="14"/>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提高培训质量</w:t>
            </w:r>
          </w:p>
        </w:tc>
        <w:tc>
          <w:tcPr>
            <w:tcW w:w="2466" w:type="dxa"/>
            <w:vAlign w:val="center"/>
          </w:tcPr>
          <w:p>
            <w:pPr>
              <w:pStyle w:val="14"/>
            </w:pPr>
            <w:r>
              <w:t>提高培训质量</w:t>
            </w:r>
          </w:p>
        </w:tc>
        <w:tc>
          <w:tcPr>
            <w:tcW w:w="2466" w:type="dxa"/>
            <w:vAlign w:val="center"/>
          </w:tcPr>
          <w:p>
            <w:pPr>
              <w:pStyle w:val="14"/>
            </w:pPr>
            <w:r>
              <w:t>≥96百分比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使用者满意度</w:t>
            </w:r>
          </w:p>
        </w:tc>
        <w:tc>
          <w:tcPr>
            <w:tcW w:w="2466" w:type="dxa"/>
            <w:vAlign w:val="center"/>
          </w:tcPr>
          <w:p>
            <w:pPr>
              <w:pStyle w:val="14"/>
            </w:pPr>
            <w:r>
              <w:t>满意率</w:t>
            </w:r>
          </w:p>
        </w:tc>
        <w:tc>
          <w:tcPr>
            <w:tcW w:w="2466" w:type="dxa"/>
            <w:vAlign w:val="center"/>
          </w:tcPr>
          <w:p>
            <w:pPr>
              <w:pStyle w:val="14"/>
            </w:pPr>
            <w:r>
              <w:t>≥97百分比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10、云视频系统网络费绩效目标表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资金全部支出</w:t>
            </w:r>
          </w:p>
        </w:tc>
        <w:tc>
          <w:tcPr>
            <w:tcW w:w="2466" w:type="dxa"/>
            <w:vAlign w:val="center"/>
          </w:tcPr>
          <w:p>
            <w:pPr>
              <w:pStyle w:val="14"/>
            </w:pPr>
            <w:r>
              <w:t>≥1.44万元</w:t>
            </w:r>
          </w:p>
        </w:tc>
        <w:tc>
          <w:tcPr>
            <w:tcW w:w="2466" w:type="dxa"/>
            <w:vAlign w:val="center"/>
          </w:tcPr>
          <w:p>
            <w:pPr>
              <w:pStyle w:val="14"/>
            </w:pPr>
            <w:r>
              <w:t>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≥97百分比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≤1.44万元</w:t>
            </w:r>
          </w:p>
        </w:tc>
        <w:tc>
          <w:tcPr>
            <w:tcW w:w="2466" w:type="dxa"/>
            <w:vAlign w:val="center"/>
          </w:tcPr>
          <w:p>
            <w:pPr>
              <w:pStyle w:val="14"/>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可持续使用</w:t>
            </w:r>
          </w:p>
        </w:tc>
        <w:tc>
          <w:tcPr>
            <w:tcW w:w="2466" w:type="dxa"/>
            <w:vAlign w:val="center"/>
          </w:tcPr>
          <w:p>
            <w:pPr>
              <w:pStyle w:val="14"/>
            </w:pPr>
            <w:r>
              <w:t>可持续使用率</w:t>
            </w:r>
          </w:p>
        </w:tc>
        <w:tc>
          <w:tcPr>
            <w:tcW w:w="2466" w:type="dxa"/>
            <w:vAlign w:val="center"/>
          </w:tcPr>
          <w:p>
            <w:pPr>
              <w:pStyle w:val="14"/>
            </w:pPr>
            <w:r>
              <w:t>≥98百分比</w:t>
            </w:r>
          </w:p>
        </w:tc>
        <w:tc>
          <w:tcPr>
            <w:tcW w:w="2466" w:type="dxa"/>
            <w:vAlign w:val="center"/>
          </w:tcPr>
          <w:p>
            <w:pPr>
              <w:pStyle w:val="14"/>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完成率</w:t>
            </w:r>
          </w:p>
        </w:tc>
        <w:tc>
          <w:tcPr>
            <w:tcW w:w="2466" w:type="dxa"/>
            <w:vAlign w:val="center"/>
          </w:tcPr>
          <w:p>
            <w:pPr>
              <w:pStyle w:val="14"/>
            </w:pPr>
            <w:r>
              <w:t>≥97百分比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节能环保减排</w:t>
            </w:r>
          </w:p>
        </w:tc>
        <w:tc>
          <w:tcPr>
            <w:tcW w:w="2466" w:type="dxa"/>
            <w:vAlign w:val="center"/>
          </w:tcPr>
          <w:p>
            <w:pPr>
              <w:pStyle w:val="14"/>
            </w:pPr>
            <w:r>
              <w:t>节能环保减排</w:t>
            </w:r>
          </w:p>
        </w:tc>
        <w:tc>
          <w:tcPr>
            <w:tcW w:w="2466" w:type="dxa"/>
            <w:vAlign w:val="center"/>
          </w:tcPr>
          <w:p>
            <w:pPr>
              <w:pStyle w:val="14"/>
            </w:pPr>
            <w:r>
              <w:t>≥97百分比</w:t>
            </w:r>
          </w:p>
        </w:tc>
        <w:tc>
          <w:tcPr>
            <w:tcW w:w="2466" w:type="dxa"/>
            <w:vAlign w:val="center"/>
          </w:tcPr>
          <w:p>
            <w:pPr>
              <w:pStyle w:val="14"/>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提高培训质量</w:t>
            </w:r>
          </w:p>
        </w:tc>
        <w:tc>
          <w:tcPr>
            <w:tcW w:w="2466" w:type="dxa"/>
            <w:vAlign w:val="center"/>
          </w:tcPr>
          <w:p>
            <w:pPr>
              <w:pStyle w:val="14"/>
            </w:pPr>
            <w:r>
              <w:t>提高培训质量</w:t>
            </w:r>
          </w:p>
        </w:tc>
        <w:tc>
          <w:tcPr>
            <w:tcW w:w="2466" w:type="dxa"/>
            <w:vAlign w:val="center"/>
          </w:tcPr>
          <w:p>
            <w:pPr>
              <w:pStyle w:val="14"/>
            </w:pPr>
            <w:r>
              <w:t>≥96百分比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使用者满意度</w:t>
            </w:r>
          </w:p>
        </w:tc>
        <w:tc>
          <w:tcPr>
            <w:tcW w:w="2466" w:type="dxa"/>
            <w:vAlign w:val="center"/>
          </w:tcPr>
          <w:p>
            <w:pPr>
              <w:pStyle w:val="14"/>
            </w:pPr>
            <w:r>
              <w:t>满意率</w:t>
            </w:r>
          </w:p>
        </w:tc>
        <w:tc>
          <w:tcPr>
            <w:tcW w:w="2466" w:type="dxa"/>
            <w:vAlign w:val="center"/>
          </w:tcPr>
          <w:p>
            <w:pPr>
              <w:pStyle w:val="14"/>
            </w:pPr>
            <w:r>
              <w:t>≥97百分比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2023年，中国共产党宁晋县委员会党校安排政府采购预算0.00万元。具体内容见下表。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中国共产党宁晋县委员会党校（含所属单位）上年末固定资产金额为0.00万元（详见下表）。本年度拟购置固定资产总额为0.00万元，已按要求列入政府采购预算，详见政府采购预算表。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00000"/>
    <w:rsid w:val="0C8138E6"/>
    <w:rsid w:val="122B4A34"/>
    <w:rsid w:val="142D7726"/>
    <w:rsid w:val="22E94D61"/>
    <w:rsid w:val="291E28CB"/>
    <w:rsid w:val="56960069"/>
    <w:rsid w:val="6B7F006E"/>
    <w:rsid w:val="6F333531"/>
    <w:rsid w:val="7F7F4A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2023-05-26T17:13:16Z</dcterms:created>
  <dcterms:modified xsi:type="dcterms:W3CDTF">2023-05-26T09:13:16Z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2023-05-26T17:13:19Z</dcterms:created>
  <dcterms:modified xsi:type="dcterms:W3CDTF">2023-05-26T09:13:18Z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2023-05-26T17:13:12Z</dcterms:created>
  <dcterms:modified xsi:type="dcterms:W3CDTF">2023-05-26T09:13:12Z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2023-05-26T17:13:22Z</dcterms:created>
  <dcterms:modified xsi:type="dcterms:W3CDTF">2023-05-26T09:13:22Z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7a87e23-fb3d-4bb7-a90c-e73914508c08}">
  <ds:schemaRefs/>
</ds:datastoreItem>
</file>

<file path=customXml/itemProps10.xml><?xml version="1.0" encoding="utf-8"?>
<ds:datastoreItem xmlns:ds="http://schemas.openxmlformats.org/officeDocument/2006/customXml" ds:itemID="{c1292290-a7d5-40fa-97a8-f96611f9cef4}">
  <ds:schemaRefs/>
</ds:datastoreItem>
</file>

<file path=customXml/itemProps11.xml><?xml version="1.0" encoding="utf-8"?>
<ds:datastoreItem xmlns:ds="http://schemas.openxmlformats.org/officeDocument/2006/customXml" ds:itemID="{0fe96cc6-1eec-4623-bb01-2b9df7e9e643}">
  <ds:schemaRefs/>
</ds:datastoreItem>
</file>

<file path=customXml/itemProps12.xml><?xml version="1.0" encoding="utf-8"?>
<ds:datastoreItem xmlns:ds="http://schemas.openxmlformats.org/officeDocument/2006/customXml" ds:itemID="{abd83b01-126a-4e5b-82a7-5e535be658dc}">
  <ds:schemaRefs/>
</ds:datastoreItem>
</file>

<file path=customXml/itemProps13.xml><?xml version="1.0" encoding="utf-8"?>
<ds:datastoreItem xmlns:ds="http://schemas.openxmlformats.org/officeDocument/2006/customXml" ds:itemID="{e5bdf218-a33b-4cf5-99d5-94f5b3cf4b00}">
  <ds:schemaRefs/>
</ds:datastoreItem>
</file>

<file path=customXml/itemProps14.xml><?xml version="1.0" encoding="utf-8"?>
<ds:datastoreItem xmlns:ds="http://schemas.openxmlformats.org/officeDocument/2006/customXml" ds:itemID="{a62cf5b8-cb93-4e9f-97c0-a8acda538613}">
  <ds:schemaRefs/>
</ds:datastoreItem>
</file>

<file path=customXml/itemProps15.xml><?xml version="1.0" encoding="utf-8"?>
<ds:datastoreItem xmlns:ds="http://schemas.openxmlformats.org/officeDocument/2006/customXml" ds:itemID="{7e89be0e-06c1-4951-bac7-c8158ba0ee52}">
  <ds:schemaRefs/>
</ds:datastoreItem>
</file>

<file path=customXml/itemProps16.xml><?xml version="1.0" encoding="utf-8"?>
<ds:datastoreItem xmlns:ds="http://schemas.openxmlformats.org/officeDocument/2006/customXml" ds:itemID="{fc266bbd-e5ba-44e6-86c4-15ecc39bf48e}">
  <ds:schemaRefs/>
</ds:datastoreItem>
</file>

<file path=customXml/itemProps17.xml><?xml version="1.0" encoding="utf-8"?>
<ds:datastoreItem xmlns:ds="http://schemas.openxmlformats.org/officeDocument/2006/customXml" ds:itemID="{19a0d4fe-ed4e-4f75-961a-fff1cae2a9d0}">
  <ds:schemaRefs/>
</ds:datastoreItem>
</file>

<file path=customXml/itemProps18.xml><?xml version="1.0" encoding="utf-8"?>
<ds:datastoreItem xmlns:ds="http://schemas.openxmlformats.org/officeDocument/2006/customXml" ds:itemID="{81a26e2c-4781-4f90-b70c-7619dc617bb1}">
  <ds:schemaRefs/>
</ds:datastoreItem>
</file>

<file path=customXml/itemProps19.xml><?xml version="1.0" encoding="utf-8"?>
<ds:datastoreItem xmlns:ds="http://schemas.openxmlformats.org/officeDocument/2006/customXml" ds:itemID="{adba2c52-3769-43eb-9636-916466545643}">
  <ds:schemaRefs/>
</ds:datastoreItem>
</file>

<file path=customXml/itemProps2.xml><?xml version="1.0" encoding="utf-8"?>
<ds:datastoreItem xmlns:ds="http://schemas.openxmlformats.org/officeDocument/2006/customXml" ds:itemID="{4aba67fe-2bce-4fea-b939-f3ae3055e45b}">
  <ds:schemaRefs/>
</ds:datastoreItem>
</file>

<file path=customXml/itemProps20.xml><?xml version="1.0" encoding="utf-8"?>
<ds:datastoreItem xmlns:ds="http://schemas.openxmlformats.org/officeDocument/2006/customXml" ds:itemID="{def8e434-adab-401b-afc4-211f861eeb9d}">
  <ds:schemaRefs/>
</ds:datastoreItem>
</file>

<file path=customXml/itemProps21.xml><?xml version="1.0" encoding="utf-8"?>
<ds:datastoreItem xmlns:ds="http://schemas.openxmlformats.org/officeDocument/2006/customXml" ds:itemID="{0fba769d-5423-4959-a54d-e4f9bd8f659d}">
  <ds:schemaRefs/>
</ds:datastoreItem>
</file>

<file path=customXml/itemProps22.xml><?xml version="1.0" encoding="utf-8"?>
<ds:datastoreItem xmlns:ds="http://schemas.openxmlformats.org/officeDocument/2006/customXml" ds:itemID="{e65b966b-1528-458d-bfd6-da8128b604c2}">
  <ds:schemaRefs/>
</ds:datastoreItem>
</file>

<file path=customXml/itemProps23.xml><?xml version="1.0" encoding="utf-8"?>
<ds:datastoreItem xmlns:ds="http://schemas.openxmlformats.org/officeDocument/2006/customXml" ds:itemID="{cbe93d2a-8c65-4170-a1b4-c0b8fb757921}">
  <ds:schemaRefs/>
</ds:datastoreItem>
</file>

<file path=customXml/itemProps24.xml><?xml version="1.0" encoding="utf-8"?>
<ds:datastoreItem xmlns:ds="http://schemas.openxmlformats.org/officeDocument/2006/customXml" ds:itemID="{e32d2dcc-3aa8-4aa4-8821-f273430c16da}">
  <ds:schemaRefs/>
</ds:datastoreItem>
</file>

<file path=customXml/itemProps25.xml><?xml version="1.0" encoding="utf-8"?>
<ds:datastoreItem xmlns:ds="http://schemas.openxmlformats.org/officeDocument/2006/customXml" ds:itemID="{a845536b-ca38-4c61-8ae1-df50cf8339e8}">
  <ds:schemaRefs/>
</ds:datastoreItem>
</file>

<file path=customXml/itemProps26.xml><?xml version="1.0" encoding="utf-8"?>
<ds:datastoreItem xmlns:ds="http://schemas.openxmlformats.org/officeDocument/2006/customXml" ds:itemID="{5f28444e-2548-453f-858f-3d485d9a270c}">
  <ds:schemaRefs/>
</ds:datastoreItem>
</file>

<file path=customXml/itemProps27.xml><?xml version="1.0" encoding="utf-8"?>
<ds:datastoreItem xmlns:ds="http://schemas.openxmlformats.org/officeDocument/2006/customXml" ds:itemID="{92329066-c849-4bd5-83a4-27b4cd0ce5bc}">
  <ds:schemaRefs/>
</ds:datastoreItem>
</file>

<file path=customXml/itemProps28.xml><?xml version="1.0" encoding="utf-8"?>
<ds:datastoreItem xmlns:ds="http://schemas.openxmlformats.org/officeDocument/2006/customXml" ds:itemID="{05391f75-dd05-4a86-85c7-aa2b2d3792cb}">
  <ds:schemaRefs/>
</ds:datastoreItem>
</file>

<file path=customXml/itemProps29.xml><?xml version="1.0" encoding="utf-8"?>
<ds:datastoreItem xmlns:ds="http://schemas.openxmlformats.org/officeDocument/2006/customXml" ds:itemID="{be0a785d-196d-4b2d-bec5-363dc0bb7363}">
  <ds:schemaRefs/>
</ds:datastoreItem>
</file>

<file path=customXml/itemProps3.xml><?xml version="1.0" encoding="utf-8"?>
<ds:datastoreItem xmlns:ds="http://schemas.openxmlformats.org/officeDocument/2006/customXml" ds:itemID="{49d0831c-9f34-4a88-b66e-0784c9132a92}">
  <ds:schemaRefs/>
</ds:datastoreItem>
</file>

<file path=customXml/itemProps30.xml><?xml version="1.0" encoding="utf-8"?>
<ds:datastoreItem xmlns:ds="http://schemas.openxmlformats.org/officeDocument/2006/customXml" ds:itemID="{64753ef3-cfae-4ec2-8efb-b8f36e2de271}">
  <ds:schemaRefs/>
</ds:datastoreItem>
</file>

<file path=customXml/itemProps31.xml><?xml version="1.0" encoding="utf-8"?>
<ds:datastoreItem xmlns:ds="http://schemas.openxmlformats.org/officeDocument/2006/customXml" ds:itemID="{4b1a0511-bb51-4b26-bb02-4ca427c63bc3}">
  <ds:schemaRefs/>
</ds:datastoreItem>
</file>

<file path=customXml/itemProps32.xml><?xml version="1.0" encoding="utf-8"?>
<ds:datastoreItem xmlns:ds="http://schemas.openxmlformats.org/officeDocument/2006/customXml" ds:itemID="{d571c506-3dd5-43c1-bd69-cca7ef1477bc}">
  <ds:schemaRefs/>
</ds:datastoreItem>
</file>

<file path=customXml/itemProps33.xml><?xml version="1.0" encoding="utf-8"?>
<ds:datastoreItem xmlns:ds="http://schemas.openxmlformats.org/officeDocument/2006/customXml" ds:itemID="{b92c8458-61eb-49f0-bb11-82db9ef98f1d}">
  <ds:schemaRefs/>
</ds:datastoreItem>
</file>

<file path=customXml/itemProps34.xml><?xml version="1.0" encoding="utf-8"?>
<ds:datastoreItem xmlns:ds="http://schemas.openxmlformats.org/officeDocument/2006/customXml" ds:itemID="{78daad82-3767-4b5b-b950-25b2abbb2aa5}">
  <ds:schemaRefs/>
</ds:datastoreItem>
</file>

<file path=customXml/itemProps35.xml><?xml version="1.0" encoding="utf-8"?>
<ds:datastoreItem xmlns:ds="http://schemas.openxmlformats.org/officeDocument/2006/customXml" ds:itemID="{06193f63-3458-40f4-8106-f9830d1181ad}">
  <ds:schemaRefs/>
</ds:datastoreItem>
</file>

<file path=customXml/itemProps36.xml><?xml version="1.0" encoding="utf-8"?>
<ds:datastoreItem xmlns:ds="http://schemas.openxmlformats.org/officeDocument/2006/customXml" ds:itemID="{8889fb6d-1248-455e-aa7b-423223ef11e3}">
  <ds:schemaRefs/>
</ds:datastoreItem>
</file>

<file path=customXml/itemProps37.xml><?xml version="1.0" encoding="utf-8"?>
<ds:datastoreItem xmlns:ds="http://schemas.openxmlformats.org/officeDocument/2006/customXml" ds:itemID="{244d4a00-6d6f-4a2f-b759-51461594982c}">
  <ds:schemaRefs/>
</ds:datastoreItem>
</file>

<file path=customXml/itemProps38.xml><?xml version="1.0" encoding="utf-8"?>
<ds:datastoreItem xmlns:ds="http://schemas.openxmlformats.org/officeDocument/2006/customXml" ds:itemID="{82d2b7c6-a2d3-4c62-ae36-6acd544a148c}">
  <ds:schemaRefs/>
</ds:datastoreItem>
</file>

<file path=customXml/itemProps39.xml><?xml version="1.0" encoding="utf-8"?>
<ds:datastoreItem xmlns:ds="http://schemas.openxmlformats.org/officeDocument/2006/customXml" ds:itemID="{9662faa2-e013-4bd0-b09d-5a8812b7df45}">
  <ds:schemaRefs/>
</ds:datastoreItem>
</file>

<file path=customXml/itemProps4.xml><?xml version="1.0" encoding="utf-8"?>
<ds:datastoreItem xmlns:ds="http://schemas.openxmlformats.org/officeDocument/2006/customXml" ds:itemID="{d835238a-2227-4293-b758-09161802ddfb}">
  <ds:schemaRefs/>
</ds:datastoreItem>
</file>

<file path=customXml/itemProps40.xml><?xml version="1.0" encoding="utf-8"?>
<ds:datastoreItem xmlns:ds="http://schemas.openxmlformats.org/officeDocument/2006/customXml" ds:itemID="{e79fae74-7b59-4707-869b-c8cf9f1fa134}">
  <ds:schemaRefs/>
</ds:datastoreItem>
</file>

<file path=customXml/itemProps41.xml><?xml version="1.0" encoding="utf-8"?>
<ds:datastoreItem xmlns:ds="http://schemas.openxmlformats.org/officeDocument/2006/customXml" ds:itemID="{204dc239-3e83-4a9d-9fad-651581a25329}">
  <ds:schemaRefs/>
</ds:datastoreItem>
</file>

<file path=customXml/itemProps42.xml><?xml version="1.0" encoding="utf-8"?>
<ds:datastoreItem xmlns:ds="http://schemas.openxmlformats.org/officeDocument/2006/customXml" ds:itemID="{2063b412-b22d-4cc8-9fd6-f16af683e076}">
  <ds:schemaRefs/>
</ds:datastoreItem>
</file>

<file path=customXml/itemProps43.xml><?xml version="1.0" encoding="utf-8"?>
<ds:datastoreItem xmlns:ds="http://schemas.openxmlformats.org/officeDocument/2006/customXml" ds:itemID="{0a2760c7-0aad-4c63-9c1b-af3af0c54084}">
  <ds:schemaRefs/>
</ds:datastoreItem>
</file>

<file path=customXml/itemProps44.xml><?xml version="1.0" encoding="utf-8"?>
<ds:datastoreItem xmlns:ds="http://schemas.openxmlformats.org/officeDocument/2006/customXml" ds:itemID="{d8dd675e-b538-4136-98d2-3df992e3b0dd}">
  <ds:schemaRefs/>
</ds:datastoreItem>
</file>

<file path=customXml/itemProps45.xml><?xml version="1.0" encoding="utf-8"?>
<ds:datastoreItem xmlns:ds="http://schemas.openxmlformats.org/officeDocument/2006/customXml" ds:itemID="{a3931d40-bb94-4307-9acd-55f5d3c47433}">
  <ds:schemaRefs/>
</ds:datastoreItem>
</file>

<file path=customXml/itemProps46.xml><?xml version="1.0" encoding="utf-8"?>
<ds:datastoreItem xmlns:ds="http://schemas.openxmlformats.org/officeDocument/2006/customXml" ds:itemID="{1c09fd3b-96ef-4c75-940c-d7b20f78d02c}">
  <ds:schemaRefs/>
</ds:datastoreItem>
</file>

<file path=customXml/itemProps47.xml><?xml version="1.0" encoding="utf-8"?>
<ds:datastoreItem xmlns:ds="http://schemas.openxmlformats.org/officeDocument/2006/customXml" ds:itemID="{1ca8ed26-c86e-4310-9c11-eb6a38b2263a}">
  <ds:schemaRefs/>
</ds:datastoreItem>
</file>

<file path=customXml/itemProps48.xml><?xml version="1.0" encoding="utf-8"?>
<ds:datastoreItem xmlns:ds="http://schemas.openxmlformats.org/officeDocument/2006/customXml" ds:itemID="{27b60a28-60d3-41dc-8f82-40afcdbd7507}">
  <ds:schemaRefs/>
</ds:datastoreItem>
</file>

<file path=customXml/itemProps49.xml><?xml version="1.0" encoding="utf-8"?>
<ds:datastoreItem xmlns:ds="http://schemas.openxmlformats.org/officeDocument/2006/customXml" ds:itemID="{48f40edb-9991-4e69-8f7d-359ea23ee675}">
  <ds:schemaRefs/>
</ds:datastoreItem>
</file>

<file path=customXml/itemProps5.xml><?xml version="1.0" encoding="utf-8"?>
<ds:datastoreItem xmlns:ds="http://schemas.openxmlformats.org/officeDocument/2006/customXml" ds:itemID="{1730d1ef-ea0b-4e3d-840c-2383d3295c2d}">
  <ds:schemaRefs/>
</ds:datastoreItem>
</file>

<file path=customXml/itemProps50.xml><?xml version="1.0" encoding="utf-8"?>
<ds:datastoreItem xmlns:ds="http://schemas.openxmlformats.org/officeDocument/2006/customXml" ds:itemID="{3c1f8a47-164e-49a6-8232-bd29a5a9adfb}">
  <ds:schemaRefs/>
</ds:datastoreItem>
</file>

<file path=customXml/itemProps6.xml><?xml version="1.0" encoding="utf-8"?>
<ds:datastoreItem xmlns:ds="http://schemas.openxmlformats.org/officeDocument/2006/customXml" ds:itemID="{9a3b8ce4-97c6-44b4-be2d-89473d7dd037}">
  <ds:schemaRefs/>
</ds:datastoreItem>
</file>

<file path=customXml/itemProps7.xml><?xml version="1.0" encoding="utf-8"?>
<ds:datastoreItem xmlns:ds="http://schemas.openxmlformats.org/officeDocument/2006/customXml" ds:itemID="{46c60abb-c314-4bc6-b2b4-f64c86840e65}">
  <ds:schemaRefs/>
</ds:datastoreItem>
</file>

<file path=customXml/itemProps8.xml><?xml version="1.0" encoding="utf-8"?>
<ds:datastoreItem xmlns:ds="http://schemas.openxmlformats.org/officeDocument/2006/customXml" ds:itemID="{7defc355-58ce-4be5-9ffb-ccc2d8da9c6f}">
  <ds:schemaRefs/>
</ds:datastoreItem>
</file>

<file path=customXml/itemProps9.xml><?xml version="1.0" encoding="utf-8"?>
<ds:datastoreItem xmlns:ds="http://schemas.openxmlformats.org/officeDocument/2006/customXml" ds:itemID="{22b9968d-0778-426a-b25a-5fe6ae3ff01a}">
  <ds:schemaRefs/>
</ds:datastoreItem>
</file>

<file path=docProps/app.xml><?xml version="1.0" encoding="utf-8"?>
<Properties xmlns="http://schemas.openxmlformats.org/officeDocument/2006/extended-properties" xmlns:vt="http://schemas.openxmlformats.org/officeDocument/2006/docPropsVTypes">
  <Pages>89</Pages>
  <Words>16354</Words>
  <Characters>19557</Characters>
  <TotalTime>14</TotalTime>
  <ScaleCrop>false</ScaleCrop>
  <LinksUpToDate>false</LinksUpToDate>
  <CharactersWithSpaces>19848</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2023-05-26T17:13:00Z</dcterms:created>
  <dc:creator>Administrator</dc:creator>
  <cp:lastModifiedBy>Administrator</cp:lastModifiedBy>
  <dcterms:modified xsi:type="dcterms:W3CDTF">2024-04-03T07:42:35Z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769CF27104634FE4ABE12817FE13CAB7</vt:lpwstr>
  </property>
</Properties>
</file>