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4"/>
          <w:szCs w:val="24"/>
        </w:rPr>
      </w:pPr>
      <w:r>
        <w:rPr>
          <w:rFonts w:hint="eastAsia" w:ascii="宋体" w:hAnsi="宋体" w:cs="宋体"/>
          <w:b/>
          <w:i w:val="0"/>
          <w:caps w:val="0"/>
          <w:color w:val="333333"/>
          <w:spacing w:val="0"/>
          <w:sz w:val="36"/>
          <w:szCs w:val="36"/>
          <w:shd w:val="clear" w:color="auto" w:fill="FFFFFF"/>
          <w:lang w:eastAsia="zh-CN"/>
        </w:rPr>
        <w:t>中国人民银行宁晋县支行</w:t>
      </w:r>
      <w:r>
        <w:rPr>
          <w:rFonts w:hint="eastAsia" w:ascii="宋体" w:hAnsi="宋体" w:cs="宋体"/>
          <w:b/>
          <w:i w:val="0"/>
          <w:caps w:val="0"/>
          <w:color w:val="333333"/>
          <w:spacing w:val="0"/>
          <w:sz w:val="36"/>
          <w:szCs w:val="36"/>
          <w:shd w:val="clear" w:color="auto" w:fill="FFFFFF"/>
          <w:lang w:val="en-US" w:eastAsia="zh-CN"/>
        </w:rPr>
        <w:t>2022年</w:t>
      </w:r>
      <w:r>
        <w:rPr>
          <w:rFonts w:hint="eastAsia" w:ascii="宋体" w:hAnsi="宋体" w:eastAsia="宋体" w:cs="宋体"/>
          <w:b/>
          <w:i w:val="0"/>
          <w:caps w:val="0"/>
          <w:color w:val="333333"/>
          <w:spacing w:val="0"/>
          <w:sz w:val="36"/>
          <w:szCs w:val="36"/>
          <w:shd w:val="clear" w:color="auto" w:fill="FFFFFF"/>
        </w:rPr>
        <w:t>政府信息公开工作年度报告</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right="0" w:firstLine="562" w:firstLineChars="200"/>
        <w:jc w:val="both"/>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b/>
          <w:bCs/>
          <w:i w:val="0"/>
          <w:iCs w:val="0"/>
          <w:caps w:val="0"/>
          <w:color w:val="333333"/>
          <w:spacing w:val="0"/>
          <w:sz w:val="28"/>
          <w:szCs w:val="28"/>
          <w:shd w:val="clear" w:fill="FFFFFF"/>
        </w:rPr>
        <w:t>一、总体情况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left="0" w:right="0" w:firstLine="560" w:firstLineChars="200"/>
        <w:jc w:val="both"/>
        <w:textAlignment w:val="auto"/>
        <w:rPr>
          <w:rFonts w:hint="eastAsia" w:ascii="宋体" w:hAnsi="宋体" w:eastAsia="宋体" w:cs="宋体"/>
          <w:i w:val="0"/>
          <w:iCs w:val="0"/>
          <w:caps w:val="0"/>
          <w:color w:val="333333"/>
          <w:spacing w:val="0"/>
          <w:sz w:val="28"/>
          <w:szCs w:val="28"/>
          <w:lang w:val="en-US" w:eastAsia="zh-CN"/>
        </w:rPr>
      </w:pPr>
      <w:r>
        <w:rPr>
          <w:rFonts w:hint="eastAsia" w:ascii="宋体" w:hAnsi="宋体" w:eastAsia="宋体" w:cs="宋体"/>
          <w:i w:val="0"/>
          <w:iCs w:val="0"/>
          <w:caps w:val="0"/>
          <w:color w:val="333333"/>
          <w:spacing w:val="0"/>
          <w:sz w:val="28"/>
          <w:szCs w:val="28"/>
          <w:lang w:eastAsia="zh-CN"/>
        </w:rPr>
        <w:t>根据《中华人民共和国政府信息公开条例》《河北省实施</w:t>
      </w:r>
      <w:r>
        <w:rPr>
          <w:rFonts w:hint="eastAsia" w:ascii="宋体" w:hAnsi="宋体" w:eastAsia="宋体" w:cs="宋体"/>
          <w:i w:val="0"/>
          <w:iCs w:val="0"/>
          <w:caps w:val="0"/>
          <w:color w:val="333333"/>
          <w:spacing w:val="0"/>
          <w:sz w:val="28"/>
          <w:szCs w:val="28"/>
          <w:lang w:val="en-US" w:eastAsia="zh-CN"/>
        </w:rPr>
        <w:t>&lt;中华人民共和国政府信息公开条例&gt;办法</w:t>
      </w:r>
      <w:r>
        <w:rPr>
          <w:rFonts w:hint="eastAsia" w:ascii="宋体" w:hAnsi="宋体" w:eastAsia="宋体" w:cs="宋体"/>
          <w:i w:val="0"/>
          <w:iCs w:val="0"/>
          <w:caps w:val="0"/>
          <w:color w:val="333333"/>
          <w:spacing w:val="0"/>
          <w:sz w:val="28"/>
          <w:szCs w:val="28"/>
          <w:lang w:eastAsia="zh-CN"/>
        </w:rPr>
        <w:t>》等规定，人行宁晋县支行按照政务公开工作部署和要求，紧密结合工作实际，认真落实相关制度规定，进一步加强信息发布工作，积极推动政务公开工作规范化、制度化。</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right="0" w:rightChars="0" w:firstLine="560" w:firstLineChars="200"/>
        <w:jc w:val="both"/>
        <w:textAlignment w:val="auto"/>
        <w:rPr>
          <w:rFonts w:hint="eastAsia" w:ascii="宋体" w:hAnsi="宋体" w:eastAsia="宋体" w:cs="宋体"/>
          <w:i w:val="0"/>
          <w:iCs w:val="0"/>
          <w:caps w:val="0"/>
          <w:color w:val="333333"/>
          <w:spacing w:val="0"/>
          <w:sz w:val="28"/>
          <w:szCs w:val="28"/>
          <w:lang w:val="en-US" w:eastAsia="zh-CN"/>
        </w:rPr>
      </w:pPr>
      <w:r>
        <w:rPr>
          <w:rFonts w:hint="eastAsia" w:ascii="宋体" w:hAnsi="宋体" w:eastAsia="宋体" w:cs="宋体"/>
          <w:i w:val="0"/>
          <w:iCs w:val="0"/>
          <w:caps w:val="0"/>
          <w:color w:val="333333"/>
          <w:spacing w:val="0"/>
          <w:sz w:val="28"/>
          <w:szCs w:val="28"/>
          <w:lang w:val="en-US" w:eastAsia="zh-CN"/>
        </w:rPr>
        <w:t>（一）主动公开政府信息情况。按照县政府办要求，人行宁晋县支行加大主动公开力度，严格落实政务公开责任，按照审批流程依法主动公开政府信息。2022年在宁晋县政府信息公开平台共更新信息21条，主要涉及辖内金融管理和服务、履职工作情况等内容，增进社会公众对人民银行工作的了解和支持。</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right="0" w:rightChars="0" w:firstLine="560" w:firstLineChars="200"/>
        <w:jc w:val="both"/>
        <w:textAlignment w:val="auto"/>
        <w:rPr>
          <w:rFonts w:hint="default" w:ascii="宋体" w:hAnsi="宋体" w:eastAsia="宋体" w:cs="宋体"/>
          <w:i w:val="0"/>
          <w:iCs w:val="0"/>
          <w:caps w:val="0"/>
          <w:color w:val="333333"/>
          <w:spacing w:val="0"/>
          <w:sz w:val="28"/>
          <w:szCs w:val="28"/>
          <w:lang w:val="en-US" w:eastAsia="zh-CN"/>
        </w:rPr>
      </w:pPr>
      <w:r>
        <w:rPr>
          <w:rFonts w:hint="eastAsia" w:ascii="宋体" w:hAnsi="宋体" w:eastAsia="宋体" w:cs="宋体"/>
          <w:i w:val="0"/>
          <w:iCs w:val="0"/>
          <w:caps w:val="0"/>
          <w:color w:val="333333"/>
          <w:spacing w:val="0"/>
          <w:sz w:val="28"/>
          <w:szCs w:val="28"/>
          <w:lang w:val="en-US" w:eastAsia="zh-CN"/>
        </w:rPr>
        <w:t>（二）依申请公开情况。2022年，人行宁晋县支行没有受理依申请公开政府信息事项，未发生因信息公开引起的行政复议、诉讼。</w:t>
      </w:r>
    </w:p>
    <w:p>
      <w:pPr>
        <w:keepNext w:val="0"/>
        <w:keepLines w:val="0"/>
        <w:pageBreakBefore w:val="0"/>
        <w:widowControl w:val="0"/>
        <w:kinsoku/>
        <w:wordWrap/>
        <w:overflowPunct/>
        <w:topLinePunct w:val="0"/>
        <w:autoSpaceDE/>
        <w:autoSpaceDN/>
        <w:bidi w:val="0"/>
        <w:adjustRightInd/>
        <w:snapToGrid/>
        <w:spacing w:afterAutospacing="0" w:line="520" w:lineRule="exact"/>
        <w:ind w:left="0" w:leftChars="0" w:right="0" w:rightChars="0" w:firstLine="560" w:firstLineChars="200"/>
        <w:jc w:val="both"/>
        <w:textAlignment w:val="auto"/>
        <w:outlineLvl w:val="0"/>
        <w:rPr>
          <w:rFonts w:hint="eastAsia" w:ascii="宋体" w:hAnsi="宋体" w:eastAsia="宋体" w:cs="宋体"/>
          <w:i w:val="0"/>
          <w:iCs w:val="0"/>
          <w:caps w:val="0"/>
          <w:color w:val="333333"/>
          <w:spacing w:val="0"/>
          <w:sz w:val="28"/>
          <w:szCs w:val="28"/>
          <w:lang w:val="en-US" w:eastAsia="zh-CN"/>
        </w:rPr>
      </w:pPr>
      <w:r>
        <w:rPr>
          <w:rFonts w:hint="eastAsia" w:ascii="宋体" w:hAnsi="宋体" w:eastAsia="宋体" w:cs="宋体"/>
          <w:i w:val="0"/>
          <w:iCs w:val="0"/>
          <w:caps w:val="0"/>
          <w:color w:val="333333"/>
          <w:spacing w:val="0"/>
          <w:sz w:val="28"/>
          <w:szCs w:val="28"/>
          <w:lang w:val="en-US" w:eastAsia="zh-CN"/>
        </w:rPr>
        <w:t>（三）完善平台建设。按照县委、县政府统一安排部署，按时更新年度政府信息公开报告、领导成员变动情况以及履职工作情况等工作信息，规范信息发布审批流程，提升信息发布质效，更好满足社会公众信息需求，同时安排专人负责做好中国人民银行宁晋县支行板块的日常检查和信息维护工作，进一步提升政务公开工作质量。</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right="0" w:rightChars="0" w:firstLine="560" w:firstLineChars="200"/>
        <w:jc w:val="both"/>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lang w:val="en-US" w:eastAsia="zh-CN"/>
        </w:rPr>
        <w:t>（四）发挥监督保障作用。按照《中国人民银行办公厅关于做好政务公开工作的通知》和上级相关工作要求，明确具体任务和职责分工。组织参加2022年度政务公开培训，提升了政务公开工作人员的业务水平和能力。强化监督检查，积极发现公开过程中存在的突出问题，及时整改，使主动公开工作更加扎实、有序开展。</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right="0" w:firstLine="562" w:firstLineChars="200"/>
        <w:jc w:val="both"/>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b/>
          <w:bCs/>
          <w:i w:val="0"/>
          <w:iCs w:val="0"/>
          <w:caps w:val="0"/>
          <w:color w:val="333333"/>
          <w:spacing w:val="0"/>
          <w:sz w:val="28"/>
          <w:szCs w:val="28"/>
          <w:shd w:val="clear" w:fill="FFFFFF"/>
        </w:rPr>
        <w:t>二、主动公开政府信息情况</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5"/>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Theme="minorEastAsia" w:hAnsiTheme="minorEastAsia" w:eastAsiaTheme="minorEastAsia" w:cstheme="minorEastAsia"/>
                <w:kern w:val="0"/>
                <w:sz w:val="21"/>
                <w:szCs w:val="21"/>
                <w:lang w:val="en-US" w:eastAsia="zh-CN" w:bidi="ar"/>
              </w:rPr>
              <w:t>558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rPr>
                <w:rFonts w:hint="default" w:ascii="宋体" w:eastAsiaTheme="minorEastAsia"/>
                <w:sz w:val="24"/>
                <w:szCs w:val="24"/>
                <w:lang w:val="en-US" w:eastAsia="zh-CN"/>
              </w:rPr>
            </w:pPr>
            <w:r>
              <w:rPr>
                <w:rFonts w:hint="eastAsia" w:ascii="宋体"/>
                <w:sz w:val="24"/>
                <w:szCs w:val="24"/>
                <w:lang w:val="en-US" w:eastAsia="zh-CN"/>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right="0" w:firstLine="482" w:firstLineChars="200"/>
        <w:jc w:val="both"/>
        <w:textAlignment w:val="auto"/>
        <w:rPr>
          <w:rFonts w:hint="eastAsia" w:ascii="宋体" w:hAnsi="宋体" w:eastAsia="宋体" w:cs="宋体"/>
          <w:b/>
          <w:bCs/>
          <w:i w:val="0"/>
          <w:iCs w:val="0"/>
          <w:caps w:val="0"/>
          <w:color w:val="333333"/>
          <w:spacing w:val="0"/>
          <w:sz w:val="24"/>
          <w:szCs w:val="24"/>
          <w:shd w:val="clear" w:fill="FFFFFF"/>
        </w:rPr>
      </w:pPr>
      <w:r>
        <w:rPr>
          <w:rFonts w:hint="eastAsia" w:ascii="宋体" w:hAnsi="宋体" w:eastAsia="宋体" w:cs="宋体"/>
          <w:b/>
          <w:bCs/>
          <w:i w:val="0"/>
          <w:iCs w:val="0"/>
          <w:caps w:val="0"/>
          <w:color w:val="333333"/>
          <w:spacing w:val="0"/>
          <w:sz w:val="24"/>
          <w:szCs w:val="24"/>
          <w:shd w:val="clear" w:fill="FFFFFF"/>
        </w:rPr>
        <w:t>三、收到和处理政府信息公开申请情况</w:t>
      </w:r>
    </w:p>
    <w:tbl>
      <w:tblPr>
        <w:tblStyle w:val="5"/>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right="0" w:firstLine="482" w:firstLineChars="200"/>
        <w:jc w:val="both"/>
        <w:textAlignment w:val="auto"/>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5"/>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r>
              <w:rPr>
                <w:rFonts w:ascii="黑体" w:hAnsi="宋体" w:eastAsia="黑体" w:cs="黑体"/>
                <w:kern w:val="0"/>
                <w:sz w:val="20"/>
                <w:szCs w:val="20"/>
                <w:lang w:val="en-US" w:eastAsia="zh-CN" w:bidi="ar"/>
              </w:rPr>
              <w:t> </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right="0" w:firstLine="562" w:firstLineChars="200"/>
        <w:jc w:val="both"/>
        <w:textAlignment w:val="auto"/>
        <w:rPr>
          <w:rFonts w:hint="eastAsia" w:ascii="宋体" w:hAnsi="宋体" w:eastAsia="宋体" w:cs="宋体"/>
          <w:b/>
          <w:bCs/>
          <w:i w:val="0"/>
          <w:iCs w:val="0"/>
          <w:caps w:val="0"/>
          <w:color w:val="333333"/>
          <w:spacing w:val="0"/>
          <w:sz w:val="28"/>
          <w:szCs w:val="28"/>
          <w:shd w:val="clear" w:fill="FFFFFF"/>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right="0" w:firstLine="562" w:firstLineChars="200"/>
        <w:jc w:val="both"/>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b/>
          <w:bCs/>
          <w:i w:val="0"/>
          <w:iCs w:val="0"/>
          <w:caps w:val="0"/>
          <w:color w:val="333333"/>
          <w:spacing w:val="0"/>
          <w:sz w:val="28"/>
          <w:szCs w:val="28"/>
          <w:shd w:val="clear" w:fill="FFFFFF"/>
        </w:rPr>
        <w:t>五、存在的主要问题及改进情况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right="0" w:firstLine="560" w:firstLineChars="200"/>
        <w:jc w:val="both"/>
        <w:textAlignment w:val="auto"/>
        <w:rPr>
          <w:rFonts w:hint="eastAsia" w:ascii="宋体" w:hAnsi="宋体" w:eastAsia="宋体" w:cs="宋体"/>
          <w:i w:val="0"/>
          <w:iCs w:val="0"/>
          <w:caps w:val="0"/>
          <w:color w:val="333333"/>
          <w:spacing w:val="0"/>
          <w:sz w:val="28"/>
          <w:szCs w:val="28"/>
          <w:lang w:val="en-US" w:eastAsia="zh-CN"/>
        </w:rPr>
      </w:pPr>
      <w:r>
        <w:rPr>
          <w:rFonts w:hint="eastAsia" w:ascii="宋体" w:hAnsi="宋体" w:eastAsia="宋体" w:cs="宋体"/>
          <w:color w:val="333333"/>
          <w:kern w:val="2"/>
          <w:sz w:val="28"/>
          <w:szCs w:val="28"/>
          <w:shd w:val="clear" w:color="auto" w:fill="FFFFFF"/>
          <w:lang w:val="en-US" w:eastAsia="zh-CN" w:bidi="ar-SA"/>
        </w:rPr>
        <w:t>2022年，在县政府和上级行的指导下，中国人民银行宁晋县支行政府信息公开工作取得了一定成绩，但仍存在一些问题。2023年，中国人民银行宁晋县支行将认真贯彻落实《中华人民共和国</w:t>
      </w:r>
      <w:bookmarkStart w:id="0" w:name="_GoBack"/>
      <w:bookmarkEnd w:id="0"/>
      <w:r>
        <w:rPr>
          <w:rFonts w:hint="eastAsia" w:ascii="宋体" w:hAnsi="宋体" w:eastAsia="宋体" w:cs="宋体"/>
          <w:color w:val="333333"/>
          <w:kern w:val="2"/>
          <w:sz w:val="28"/>
          <w:szCs w:val="28"/>
          <w:shd w:val="clear" w:color="auto" w:fill="FFFFFF"/>
          <w:lang w:val="en-US" w:eastAsia="zh-CN" w:bidi="ar-SA"/>
        </w:rPr>
        <w:t>政府信息公开条例》，加大人员培训力度，进一步加大政府信息公开工作力度，完善公开程序，积极推进主动公开，加强政府信息公开的内部审查、协调发布会和监督检查，力争政务公开工作的规范化、标准化工作取得实效，努力增进公众对人社工作的了解、理解和支持。</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right="0" w:firstLine="562" w:firstLineChars="200"/>
        <w:jc w:val="both"/>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b/>
          <w:bCs/>
          <w:i w:val="0"/>
          <w:iCs w:val="0"/>
          <w:caps w:val="0"/>
          <w:color w:val="333333"/>
          <w:spacing w:val="0"/>
          <w:sz w:val="28"/>
          <w:szCs w:val="28"/>
          <w:shd w:val="clear" w:fill="FFFFFF"/>
        </w:rPr>
        <w:t>六、其他需要报告的事项</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right="0" w:rightChars="0" w:firstLine="560" w:firstLineChars="200"/>
        <w:jc w:val="both"/>
        <w:textAlignment w:val="auto"/>
        <w:rPr>
          <w:rFonts w:hint="eastAsia" w:ascii="宋体" w:hAnsi="宋体" w:eastAsia="宋体" w:cs="宋体"/>
          <w:color w:val="333333"/>
          <w:kern w:val="2"/>
          <w:sz w:val="28"/>
          <w:szCs w:val="28"/>
          <w:shd w:val="clear" w:color="auto" w:fill="FFFFFF"/>
          <w:lang w:val="en-US" w:eastAsia="zh-CN" w:bidi="ar-SA"/>
        </w:rPr>
      </w:pPr>
      <w:r>
        <w:rPr>
          <w:rFonts w:hint="eastAsia" w:ascii="宋体" w:hAnsi="宋体" w:eastAsia="宋体" w:cs="宋体"/>
          <w:color w:val="333333"/>
          <w:kern w:val="2"/>
          <w:sz w:val="28"/>
          <w:szCs w:val="28"/>
          <w:shd w:val="clear" w:color="auto" w:fill="FFFFFF"/>
          <w:lang w:val="en-US" w:eastAsia="zh-CN" w:bidi="ar-SA"/>
        </w:rPr>
        <w:t>2022年，我支行没有收取信息处理费。无其他需要报告事项。</w:t>
      </w:r>
    </w:p>
    <w:p>
      <w:pPr>
        <w:keepNext w:val="0"/>
        <w:keepLines w:val="0"/>
        <w:pageBreakBefore w:val="0"/>
        <w:shd w:val="clear"/>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kNTZjZGNiOTBiMzA4YjY4ZGNjMzMwZGFhYWVlZmYifQ=="/>
  </w:docVars>
  <w:rsids>
    <w:rsidRoot w:val="063977E7"/>
    <w:rsid w:val="063977E7"/>
    <w:rsid w:val="17254460"/>
    <w:rsid w:val="1BD1392C"/>
    <w:rsid w:val="1FE70667"/>
    <w:rsid w:val="2D3A7792"/>
    <w:rsid w:val="2DB3449A"/>
    <w:rsid w:val="37487978"/>
    <w:rsid w:val="40CD0199"/>
    <w:rsid w:val="56FB7981"/>
    <w:rsid w:val="58D00F8B"/>
    <w:rsid w:val="603F08A7"/>
    <w:rsid w:val="61941174"/>
    <w:rsid w:val="689E1819"/>
    <w:rsid w:val="6D0161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Body Text First Indent 2"/>
    <w:basedOn w:val="3"/>
    <w:autoRedefine/>
    <w:unhideWhenUsed/>
    <w:qFormat/>
    <w:uiPriority w:val="99"/>
    <w:pPr>
      <w:ind w:firstLine="420"/>
    </w:pPr>
  </w:style>
  <w:style w:type="paragraph" w:styleId="3">
    <w:name w:val="Body Text Indent"/>
    <w:basedOn w:val="1"/>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1545</Words>
  <Characters>1580</Characters>
  <Lines>0</Lines>
  <Paragraphs>0</Paragraphs>
  <TotalTime>8</TotalTime>
  <ScaleCrop>false</ScaleCrop>
  <LinksUpToDate>false</LinksUpToDate>
  <CharactersWithSpaces>1786</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Hopefully</cp:lastModifiedBy>
  <dcterms:modified xsi:type="dcterms:W3CDTF">2024-04-07T07:55:41Z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A1596E9BBA3949EE9FFA7A2DC31A9F61</vt:lpwstr>
  </property>
</Properties>
</file>