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555" w:lineRule="atLeast"/>
        <w:ind w:left="0" w:right="0" w:firstLine="0"/>
        <w:jc w:val="center"/>
        <w:rPr>
          <w:rFonts w:ascii="sans-serif" w:hAnsi="sans-serif" w:eastAsia="sans-serif" w:cs="sans-serif"/>
          <w:i w:val="0"/>
          <w:caps w:val="0"/>
          <w:color w:val="000000"/>
          <w:spacing w:val="0"/>
          <w:sz w:val="21"/>
          <w:szCs w:val="21"/>
        </w:rPr>
      </w:pPr>
      <w:r>
        <w:rPr>
          <w:rStyle w:val="5"/>
          <w:rFonts w:hint="eastAsia" w:ascii="宋体" w:hAnsi="宋体" w:eastAsia="宋体" w:cs="宋体"/>
          <w:b/>
          <w:i w:val="0"/>
          <w:caps w:val="0"/>
          <w:color w:val="333333"/>
          <w:spacing w:val="0"/>
          <w:sz w:val="36"/>
          <w:szCs w:val="36"/>
          <w:bdr w:val="none" w:color="auto" w:sz="0" w:space="0"/>
          <w:shd w:val="clear" w:fill="FFFFFF"/>
        </w:rPr>
        <w:t>宁晋县侯口镇2023年政府信息公开工作年度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555" w:lineRule="atLeast"/>
        <w:ind w:left="0" w:right="0" w:firstLine="0"/>
        <w:jc w:val="center"/>
        <w:rPr>
          <w:rFonts w:hint="default" w:ascii="sans-serif" w:hAnsi="sans-serif" w:eastAsia="sans-serif" w:cs="sans-serif"/>
          <w:i w:val="0"/>
          <w:caps w:val="0"/>
          <w:color w:val="000000"/>
          <w:spacing w:val="0"/>
          <w:sz w:val="21"/>
          <w:szCs w:val="21"/>
        </w:rPr>
      </w:pPr>
      <w:r>
        <w:rPr>
          <w:rStyle w:val="5"/>
          <w:rFonts w:hint="eastAsia" w:ascii="宋体" w:hAnsi="宋体" w:eastAsia="宋体" w:cs="宋体"/>
          <w:b/>
          <w:i w:val="0"/>
          <w:caps w:val="0"/>
          <w:color w:val="333333"/>
          <w:spacing w:val="0"/>
          <w:sz w:val="36"/>
          <w:szCs w:val="36"/>
          <w:bdr w:val="none" w:color="auto" w:sz="0" w:space="0"/>
          <w:shd w:val="clear" w:fill="FFFFFF"/>
        </w:rPr>
        <w:t>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ind w:left="0" w:right="0" w:firstLine="0"/>
        <w:jc w:val="center"/>
        <w:rPr>
          <w:rFonts w:hint="default" w:ascii="sans-serif" w:hAnsi="sans-serif" w:eastAsia="sans-serif" w:cs="sans-serif"/>
          <w:i w:val="0"/>
          <w:caps w:val="0"/>
          <w:color w:val="000000"/>
          <w:spacing w:val="0"/>
          <w:sz w:val="21"/>
          <w:szCs w:val="21"/>
        </w:rPr>
      </w:pPr>
      <w:bookmarkStart w:id="0" w:name="_GoBack"/>
      <w:bookmarkEnd w:id="0"/>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ind w:left="0" w:right="0" w:firstLine="420"/>
        <w:jc w:val="both"/>
        <w:rPr>
          <w:rFonts w:hint="default" w:ascii="sans-serif" w:hAnsi="sans-serif" w:eastAsia="sans-serif" w:cs="sans-serif"/>
          <w:i w:val="0"/>
          <w:caps w:val="0"/>
          <w:color w:val="000000"/>
          <w:spacing w:val="0"/>
          <w:sz w:val="21"/>
          <w:szCs w:val="21"/>
        </w:rPr>
      </w:pPr>
      <w:r>
        <w:rPr>
          <w:rStyle w:val="5"/>
          <w:rFonts w:hint="eastAsia" w:ascii="宋体" w:hAnsi="宋体" w:eastAsia="宋体" w:cs="宋体"/>
          <w:b/>
          <w:i w:val="0"/>
          <w:caps w:val="0"/>
          <w:color w:val="333333"/>
          <w:spacing w:val="0"/>
          <w:sz w:val="24"/>
          <w:szCs w:val="24"/>
          <w:bdr w:val="none" w:color="auto" w:sz="0" w:space="0"/>
          <w:shd w:val="clear" w:fill="FFFFFF"/>
        </w:rPr>
        <w:t>一、总体情况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ind w:left="0" w:right="0" w:firstLine="645"/>
        <w:jc w:val="both"/>
        <w:rPr>
          <w:rFonts w:hint="default" w:ascii="sans-serif" w:hAnsi="sans-serif" w:eastAsia="sans-serif" w:cs="sans-serif"/>
          <w:i w:val="0"/>
          <w:caps w:val="0"/>
          <w:color w:val="000000"/>
          <w:spacing w:val="0"/>
          <w:sz w:val="21"/>
          <w:szCs w:val="21"/>
        </w:rPr>
      </w:pPr>
      <w:r>
        <w:rPr>
          <w:rFonts w:ascii="仿宋" w:hAnsi="仿宋" w:eastAsia="仿宋" w:cs="仿宋"/>
          <w:i w:val="0"/>
          <w:caps w:val="0"/>
          <w:color w:val="000000"/>
          <w:spacing w:val="0"/>
          <w:sz w:val="31"/>
          <w:szCs w:val="31"/>
          <w:bdr w:val="none" w:color="auto" w:sz="0" w:space="0"/>
          <w:shd w:val="clear" w:fill="FFFFFF"/>
        </w:rPr>
        <w:t>本年度报告依据《中华人民共和国政府信息公开条例》、《中华人民共和国政府信息公开工作年度报告格式》和省、市</w:t>
      </w:r>
      <w:r>
        <w:rPr>
          <w:rFonts w:hint="eastAsia" w:ascii="仿宋" w:hAnsi="仿宋" w:eastAsia="仿宋" w:cs="仿宋"/>
          <w:i w:val="0"/>
          <w:caps w:val="0"/>
          <w:color w:val="000000"/>
          <w:spacing w:val="0"/>
          <w:sz w:val="31"/>
          <w:szCs w:val="31"/>
          <w:bdr w:val="none" w:color="auto" w:sz="0" w:space="0"/>
          <w:shd w:val="clear" w:fill="FFFFFF"/>
        </w:rPr>
        <w:t>、县政务公开工作要求，由侯口镇人民政府办公室编制而成。全文包括总体情况、主动公开政府信息情况、收到和处理政府信息公开申请情况、政府信息公开行政复议和行政诉讼情况、存在的主要问题及改进情况、其他需要报告的事项等内容。本年报中所列数据的统计期限为2023年1月1日至12月31日。本年报的电子版可在宁晋县人民政府网站（https://www.ningjin.gov.cn/）下载。如对本年报有任何疑问，请与侯口镇人民政府办公室联系，联系电话：0319-5498606。</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50" w:lineRule="atLeast"/>
        <w:ind w:left="0" w:right="0" w:firstLine="645"/>
        <w:jc w:val="both"/>
        <w:rPr>
          <w:rFonts w:hint="default" w:ascii="sans-serif" w:hAnsi="sans-serif" w:eastAsia="sans-serif" w:cs="sans-serif"/>
          <w:i w:val="0"/>
          <w:caps w:val="0"/>
          <w:color w:val="000000"/>
          <w:spacing w:val="0"/>
          <w:sz w:val="21"/>
          <w:szCs w:val="21"/>
        </w:rPr>
      </w:pPr>
      <w:r>
        <w:rPr>
          <w:rFonts w:hint="eastAsia" w:ascii="仿宋" w:hAnsi="仿宋" w:eastAsia="仿宋" w:cs="仿宋"/>
          <w:i w:val="0"/>
          <w:caps w:val="0"/>
          <w:color w:val="000000"/>
          <w:spacing w:val="0"/>
          <w:sz w:val="31"/>
          <w:szCs w:val="31"/>
          <w:bdr w:val="none" w:color="auto" w:sz="0" w:space="0"/>
          <w:shd w:val="clear" w:fill="FFFFFF"/>
        </w:rPr>
        <w:t>2023年我镇扎实推进政务公开工作，强化组织领导，完善工作机制，加强信息发布，进一步加大公开力度，不断增强政府信息公开实效。为进一步加强和改进政务公开工作，我镇党委、政府高度重视，认真落实我镇政府信息公开工作。现将工作开展情况汇报如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 w:beforeAutospacing="0" w:after="30" w:afterAutospacing="0" w:line="450" w:lineRule="atLeast"/>
        <w:ind w:left="0" w:right="0" w:firstLine="540"/>
        <w:rPr>
          <w:rFonts w:hint="default" w:ascii="sans-serif" w:hAnsi="sans-serif" w:eastAsia="sans-serif" w:cs="sans-serif"/>
          <w:i w:val="0"/>
          <w:caps w:val="0"/>
          <w:color w:val="000000"/>
          <w:spacing w:val="0"/>
          <w:sz w:val="21"/>
          <w:szCs w:val="21"/>
        </w:rPr>
      </w:pPr>
      <w:r>
        <w:rPr>
          <w:rFonts w:ascii="楷体" w:hAnsi="楷体" w:eastAsia="楷体" w:cs="楷体"/>
          <w:b w:val="0"/>
          <w:i w:val="0"/>
          <w:caps w:val="0"/>
          <w:color w:val="000000"/>
          <w:spacing w:val="0"/>
          <w:sz w:val="31"/>
          <w:szCs w:val="31"/>
          <w:bdr w:val="none" w:color="auto" w:sz="0" w:space="0"/>
          <w:shd w:val="clear" w:fill="FFFFFF"/>
        </w:rPr>
        <w:t>（一）主动公开方面。</w:t>
      </w:r>
      <w:r>
        <w:rPr>
          <w:rFonts w:hint="eastAsia" w:ascii="仿宋" w:hAnsi="仿宋" w:eastAsia="仿宋" w:cs="仿宋"/>
          <w:i w:val="0"/>
          <w:caps w:val="0"/>
          <w:color w:val="000000"/>
          <w:spacing w:val="0"/>
          <w:sz w:val="31"/>
          <w:szCs w:val="31"/>
          <w:bdr w:val="none" w:color="auto" w:sz="0" w:space="0"/>
          <w:shd w:val="clear" w:fill="FFFFFF"/>
        </w:rPr>
        <w:t>侯口镇高度重视政府信息公开工作，明确政务公开的资料、方法、步骤、目标，积极通过政府信息公开平台专栏，我镇已按要求主动公开了机构信息、预决算信息、信息公开年报；本年度我镇没有发布政策性文件，发生行政处罚案件14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50" w:lineRule="atLeast"/>
        <w:ind w:left="0" w:right="0" w:firstLine="645"/>
        <w:jc w:val="both"/>
        <w:rPr>
          <w:rFonts w:hint="default" w:ascii="sans-serif" w:hAnsi="sans-serif" w:eastAsia="sans-serif" w:cs="sans-serif"/>
          <w:i w:val="0"/>
          <w:caps w:val="0"/>
          <w:color w:val="000000"/>
          <w:spacing w:val="0"/>
          <w:sz w:val="21"/>
          <w:szCs w:val="21"/>
        </w:rPr>
      </w:pPr>
      <w:r>
        <w:rPr>
          <w:rFonts w:hint="eastAsia" w:ascii="仿宋" w:hAnsi="仿宋" w:eastAsia="仿宋" w:cs="仿宋"/>
          <w:i w:val="0"/>
          <w:caps w:val="0"/>
          <w:color w:val="000000"/>
          <w:spacing w:val="0"/>
          <w:sz w:val="31"/>
          <w:szCs w:val="31"/>
          <w:bdr w:val="none" w:color="auto" w:sz="0" w:space="0"/>
          <w:shd w:val="clear" w:fill="FFFFFF"/>
        </w:rPr>
        <w:t>一是严格按照县政府统一要求和部署。对照2023年政务公开工作要点，积极开展政务公开工作，围绕重大政务以及群众关注多、疑问多的热点、难点问题，主动发布政务信息；深入解读重大政策，推进执行公开，设置政策公开栏，制作展板，加大工作执行和落实情况的公开力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50" w:lineRule="atLeast"/>
        <w:ind w:left="0" w:right="0" w:firstLine="645"/>
        <w:jc w:val="both"/>
        <w:rPr>
          <w:rFonts w:hint="default" w:ascii="sans-serif" w:hAnsi="sans-serif" w:eastAsia="sans-serif" w:cs="sans-serif"/>
          <w:i w:val="0"/>
          <w:caps w:val="0"/>
          <w:color w:val="000000"/>
          <w:spacing w:val="0"/>
          <w:sz w:val="21"/>
          <w:szCs w:val="21"/>
        </w:rPr>
      </w:pPr>
      <w:r>
        <w:rPr>
          <w:rFonts w:hint="eastAsia" w:ascii="仿宋" w:hAnsi="仿宋" w:eastAsia="仿宋" w:cs="仿宋"/>
          <w:i w:val="0"/>
          <w:caps w:val="0"/>
          <w:color w:val="000000"/>
          <w:spacing w:val="0"/>
          <w:sz w:val="31"/>
          <w:szCs w:val="31"/>
          <w:bdr w:val="none" w:color="auto" w:sz="0" w:space="0"/>
          <w:shd w:val="clear" w:fill="FFFFFF"/>
        </w:rPr>
        <w:t>二是深化重点领域信息公开。加强重点工作信息公开，围绕防范风险、污染治理等重点领域，强化信息公开，定期通过公开栏、广播喇叭等多种渠道向民众公开政策措施、工作进度，以及专项资金使用情况；细化财政信息公开，对我镇财务决算和财务预算（含三公经费）通过多种形式予以公开，通过电子政务网络平台发布财政预决算公开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50" w:lineRule="atLeast"/>
        <w:ind w:left="0" w:right="0" w:firstLine="645"/>
        <w:jc w:val="both"/>
        <w:rPr>
          <w:rFonts w:hint="default" w:ascii="sans-serif" w:hAnsi="sans-serif" w:eastAsia="sans-serif" w:cs="sans-serif"/>
          <w:i w:val="0"/>
          <w:caps w:val="0"/>
          <w:color w:val="000000"/>
          <w:spacing w:val="0"/>
          <w:sz w:val="21"/>
          <w:szCs w:val="21"/>
        </w:rPr>
      </w:pPr>
      <w:r>
        <w:rPr>
          <w:rFonts w:hint="eastAsia" w:ascii="仿宋" w:hAnsi="仿宋" w:eastAsia="仿宋" w:cs="仿宋"/>
          <w:i w:val="0"/>
          <w:caps w:val="0"/>
          <w:color w:val="000000"/>
          <w:spacing w:val="0"/>
          <w:sz w:val="31"/>
          <w:szCs w:val="31"/>
          <w:bdr w:val="none" w:color="auto" w:sz="0" w:space="0"/>
          <w:shd w:val="clear" w:fill="FFFFFF"/>
        </w:rPr>
        <w:t>三是合理利用新媒体进行政务公开。充分利用微信公众号等网络新媒体，坚持更新动态内容，选择性发布、转载省市县政府网站内容公开情况，加强平时的浏览和学习，推动政务公开工作开展。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 w:beforeAutospacing="0" w:after="30" w:afterAutospacing="0" w:line="450" w:lineRule="atLeast"/>
        <w:ind w:left="0" w:right="0" w:firstLine="540"/>
        <w:rPr>
          <w:rFonts w:hint="default" w:ascii="sans-serif" w:hAnsi="sans-serif" w:eastAsia="sans-serif" w:cs="sans-serif"/>
          <w:i w:val="0"/>
          <w:caps w:val="0"/>
          <w:color w:val="000000"/>
          <w:spacing w:val="0"/>
          <w:sz w:val="21"/>
          <w:szCs w:val="21"/>
        </w:rPr>
      </w:pPr>
      <w:r>
        <w:rPr>
          <w:rFonts w:hint="eastAsia" w:ascii="楷体" w:hAnsi="楷体" w:eastAsia="楷体" w:cs="楷体"/>
          <w:b w:val="0"/>
          <w:i w:val="0"/>
          <w:caps w:val="0"/>
          <w:color w:val="000000"/>
          <w:spacing w:val="0"/>
          <w:sz w:val="31"/>
          <w:szCs w:val="31"/>
          <w:bdr w:val="none" w:color="auto" w:sz="0" w:space="0"/>
          <w:shd w:val="clear" w:fill="FFFFFF"/>
        </w:rPr>
        <w:t>（二）依申请公开的政府信息情况</w:t>
      </w:r>
      <w:r>
        <w:rPr>
          <w:rFonts w:hint="eastAsia" w:ascii="仿宋" w:hAnsi="仿宋" w:eastAsia="仿宋" w:cs="仿宋"/>
          <w:b w:val="0"/>
          <w:i w:val="0"/>
          <w:caps w:val="0"/>
          <w:color w:val="000000"/>
          <w:spacing w:val="0"/>
          <w:sz w:val="28"/>
          <w:szCs w:val="28"/>
          <w:bdr w:val="none" w:color="auto" w:sz="0" w:space="0"/>
          <w:shd w:val="clear" w:fill="FFFFFF"/>
        </w:rPr>
        <w:t>。</w:t>
      </w:r>
      <w:r>
        <w:rPr>
          <w:rFonts w:hint="eastAsia" w:ascii="仿宋" w:hAnsi="仿宋" w:eastAsia="仿宋" w:cs="仿宋"/>
          <w:i w:val="0"/>
          <w:caps w:val="0"/>
          <w:color w:val="000000"/>
          <w:spacing w:val="0"/>
          <w:sz w:val="31"/>
          <w:szCs w:val="31"/>
          <w:bdr w:val="none" w:color="auto" w:sz="0" w:space="0"/>
          <w:shd w:val="clear" w:fill="FFFFFF"/>
        </w:rPr>
        <w:t>侯口镇认真学习《中华人民共和国政府信息公开条例》，熟悉掌握“依申请公开”要求，经自查，2023年以来，侯口镇未收到政府政务公开申请。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 w:beforeAutospacing="0" w:after="30" w:afterAutospacing="0" w:line="450" w:lineRule="atLeast"/>
        <w:ind w:left="0" w:right="0" w:firstLine="645"/>
        <w:rPr>
          <w:rFonts w:hint="default" w:ascii="sans-serif" w:hAnsi="sans-serif" w:eastAsia="sans-serif" w:cs="sans-serif"/>
          <w:i w:val="0"/>
          <w:caps w:val="0"/>
          <w:color w:val="000000"/>
          <w:spacing w:val="0"/>
          <w:sz w:val="21"/>
          <w:szCs w:val="21"/>
        </w:rPr>
      </w:pPr>
      <w:r>
        <w:rPr>
          <w:rFonts w:hint="eastAsia" w:ascii="楷体" w:hAnsi="楷体" w:eastAsia="楷体" w:cs="楷体"/>
          <w:b w:val="0"/>
          <w:i w:val="0"/>
          <w:caps w:val="0"/>
          <w:color w:val="000000"/>
          <w:spacing w:val="0"/>
          <w:sz w:val="31"/>
          <w:szCs w:val="31"/>
          <w:bdr w:val="none" w:color="auto" w:sz="0" w:space="0"/>
          <w:shd w:val="clear" w:fill="FFFFFF"/>
        </w:rPr>
        <w:t>（三）政府信息管理方面。</w:t>
      </w:r>
      <w:r>
        <w:rPr>
          <w:rFonts w:hint="eastAsia" w:ascii="仿宋" w:hAnsi="仿宋" w:eastAsia="仿宋" w:cs="仿宋"/>
          <w:i w:val="0"/>
          <w:caps w:val="0"/>
          <w:color w:val="000000"/>
          <w:spacing w:val="0"/>
          <w:sz w:val="31"/>
          <w:szCs w:val="31"/>
          <w:bdr w:val="none" w:color="auto" w:sz="0" w:space="0"/>
          <w:shd w:val="clear" w:fill="FFFFFF"/>
        </w:rPr>
        <w:t>积极健全政府信息管理机制。严格贯彻落实公文公开审查机制，将公文属性源头认定和发布审查嵌入发文流程，有效解决政府文件公开不到位问题；完善政府信息制作、获取、保存、处理等各方面制度，对各项政府信息进行全周期管理，方便后续查阅；及时对镇政府规范性文件进行立改废，完善政府文件归纳建档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 w:beforeAutospacing="0" w:after="30" w:afterAutospacing="0" w:line="450" w:lineRule="atLeast"/>
        <w:ind w:left="0" w:right="0" w:firstLine="645"/>
        <w:rPr>
          <w:rFonts w:hint="eastAsia" w:ascii="仿宋" w:hAnsi="仿宋" w:eastAsia="仿宋" w:cs="仿宋"/>
          <w:i w:val="0"/>
          <w:caps w:val="0"/>
          <w:color w:val="000000"/>
          <w:spacing w:val="0"/>
          <w:sz w:val="31"/>
          <w:szCs w:val="31"/>
          <w:bdr w:val="none" w:color="auto" w:sz="0" w:space="0"/>
          <w:shd w:val="clear" w:fill="FFFFFF"/>
        </w:rPr>
      </w:pPr>
      <w:r>
        <w:rPr>
          <w:rFonts w:hint="eastAsia" w:ascii="楷体" w:hAnsi="楷体" w:eastAsia="楷体" w:cs="楷体"/>
          <w:b w:val="0"/>
          <w:i w:val="0"/>
          <w:caps w:val="0"/>
          <w:color w:val="000000"/>
          <w:spacing w:val="0"/>
          <w:sz w:val="31"/>
          <w:szCs w:val="31"/>
          <w:bdr w:val="none" w:color="auto" w:sz="0" w:space="0"/>
          <w:shd w:val="clear" w:fill="FFFFFF"/>
        </w:rPr>
        <w:t>（四）政府信息公开平台建设。</w:t>
      </w:r>
      <w:r>
        <w:rPr>
          <w:rFonts w:hint="eastAsia" w:ascii="仿宋" w:hAnsi="仿宋" w:eastAsia="仿宋" w:cs="仿宋"/>
          <w:i w:val="0"/>
          <w:caps w:val="0"/>
          <w:color w:val="000000"/>
          <w:spacing w:val="0"/>
          <w:sz w:val="31"/>
          <w:szCs w:val="31"/>
          <w:bdr w:val="none" w:color="auto" w:sz="0" w:space="0"/>
          <w:shd w:val="clear" w:fill="FFFFFF"/>
        </w:rPr>
        <w:t>我镇设有政务公开微信公众号（宁晋县侯口镇人民政府）1个，用于日常公务公开、政策解读、公示公告等各类政府信息传播，方便群众随时查阅相关政策。利用新媒体的传播力、影响力、引导力提高政府公信力。截止到目前，今年共发布推送各类信息218条，严格按照上级要求及时更新内容，达到了平台内容更新一周两次以上，不存在“僵尸”栏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 w:beforeAutospacing="0" w:after="30" w:afterAutospacing="0" w:line="450" w:lineRule="atLeast"/>
        <w:ind w:left="0" w:right="0" w:firstLine="645"/>
        <w:rPr>
          <w:rFonts w:hint="default" w:ascii="sans-serif" w:hAnsi="sans-serif" w:eastAsia="sans-serif" w:cs="sans-serif"/>
          <w:i w:val="0"/>
          <w:caps w:val="0"/>
          <w:color w:val="000000"/>
          <w:spacing w:val="0"/>
          <w:sz w:val="21"/>
          <w:szCs w:val="21"/>
        </w:rPr>
      </w:pPr>
      <w:r>
        <w:rPr>
          <w:rFonts w:hint="eastAsia" w:ascii="仿宋" w:hAnsi="仿宋" w:eastAsia="仿宋" w:cs="仿宋"/>
          <w:i w:val="0"/>
          <w:caps w:val="0"/>
          <w:color w:val="000000"/>
          <w:spacing w:val="0"/>
          <w:sz w:val="31"/>
          <w:szCs w:val="31"/>
          <w:bdr w:val="none" w:color="auto" w:sz="0" w:space="0"/>
          <w:shd w:val="clear" w:fill="FFFFFF"/>
        </w:rPr>
        <w:t>下一步，我镇会严格落实网络意识形态责任制，加强新媒体平台内容建设和信息发布审核，把好政治关、政策关、内容关。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 w:beforeAutospacing="0" w:after="30" w:afterAutospacing="0" w:line="450" w:lineRule="atLeast"/>
        <w:ind w:left="0" w:right="0" w:firstLine="645"/>
        <w:rPr>
          <w:rFonts w:hint="default" w:ascii="sans-serif" w:hAnsi="sans-serif" w:eastAsia="sans-serif" w:cs="sans-serif"/>
          <w:i w:val="0"/>
          <w:caps w:val="0"/>
          <w:color w:val="000000"/>
          <w:spacing w:val="0"/>
          <w:sz w:val="21"/>
          <w:szCs w:val="21"/>
        </w:rPr>
      </w:pPr>
      <w:r>
        <w:rPr>
          <w:rFonts w:hint="eastAsia" w:ascii="楷体" w:hAnsi="楷体" w:eastAsia="楷体" w:cs="楷体"/>
          <w:b w:val="0"/>
          <w:i w:val="0"/>
          <w:caps w:val="0"/>
          <w:color w:val="000000"/>
          <w:spacing w:val="0"/>
          <w:sz w:val="31"/>
          <w:szCs w:val="31"/>
          <w:bdr w:val="none" w:color="auto" w:sz="0" w:space="0"/>
          <w:shd w:val="clear" w:fill="FFFFFF"/>
        </w:rPr>
        <w:t>（五）进一步强化监督保障。</w:t>
      </w:r>
      <w:r>
        <w:rPr>
          <w:rFonts w:hint="eastAsia" w:ascii="仿宋" w:hAnsi="仿宋" w:eastAsia="仿宋" w:cs="仿宋"/>
          <w:i w:val="0"/>
          <w:caps w:val="0"/>
          <w:color w:val="000000"/>
          <w:spacing w:val="0"/>
          <w:sz w:val="31"/>
          <w:szCs w:val="31"/>
          <w:bdr w:val="none" w:color="auto" w:sz="0" w:space="0"/>
          <w:shd w:val="clear" w:fill="FFFFFF"/>
        </w:rPr>
        <w:t>一是积极落实信息公开制度，严格信息审查机制，加大网上巡查力度，对未公开信息的部门进行督促整改；二是严格落实《中华人民共和国政府信息公开条例》、《河北省人民政府办公厅关于印发〈河北省政务公开工作考核办法〉〈河北省政务公开工作社会评议办法〉〈河北省政务公开工作责任追究办法〉的通知》文件精神，持续推进政务公开各项工作有序开展。三是加强政务新媒体运行监管工作，坚持做好政务新媒体打卡工作，及时汇总上报我镇政务新媒体信息发布情况。四是建立健全政务公开工作考核制度，对2023年度镇政府各部门进行了考核，并将考核结果提交县委组织部门运用到对各部门领导班子年度综合考核评价指标中。</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ind w:left="0" w:right="0" w:firstLine="645"/>
        <w:jc w:val="both"/>
        <w:rPr>
          <w:rFonts w:hint="default" w:ascii="sans-serif" w:hAnsi="sans-serif" w:eastAsia="sans-serif" w:cs="sans-serif"/>
          <w:i w:val="0"/>
          <w:caps w:val="0"/>
          <w:color w:val="000000"/>
          <w:spacing w:val="0"/>
          <w:sz w:val="21"/>
          <w:szCs w:val="21"/>
        </w:rPr>
      </w:pPr>
      <w:r>
        <w:rPr>
          <w:rFonts w:hint="eastAsia" w:ascii="仿宋" w:hAnsi="仿宋" w:eastAsia="仿宋" w:cs="仿宋"/>
          <w:i w:val="0"/>
          <w:caps w:val="0"/>
          <w:color w:val="000000"/>
          <w:spacing w:val="0"/>
          <w:sz w:val="31"/>
          <w:szCs w:val="31"/>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ind w:left="0" w:right="0" w:firstLine="420"/>
        <w:jc w:val="both"/>
        <w:rPr>
          <w:rFonts w:hint="default" w:ascii="sans-serif" w:hAnsi="sans-serif" w:eastAsia="sans-serif" w:cs="sans-serif"/>
          <w:i w:val="0"/>
          <w:caps w:val="0"/>
          <w:color w:val="000000"/>
          <w:spacing w:val="0"/>
          <w:sz w:val="21"/>
          <w:szCs w:val="21"/>
        </w:rPr>
      </w:pPr>
      <w:r>
        <w:rPr>
          <w:rFonts w:hint="eastAsia" w:ascii="宋体" w:hAnsi="宋体" w:eastAsia="宋体" w:cs="宋体"/>
          <w:i w:val="0"/>
          <w:caps w:val="0"/>
          <w:color w:val="333333"/>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ind w:left="0" w:right="0" w:firstLine="420"/>
        <w:jc w:val="both"/>
        <w:rPr>
          <w:rFonts w:hint="default" w:ascii="sans-serif" w:hAnsi="sans-serif" w:eastAsia="sans-serif" w:cs="sans-serif"/>
          <w:i w:val="0"/>
          <w:caps w:val="0"/>
          <w:color w:val="000000"/>
          <w:spacing w:val="0"/>
          <w:sz w:val="21"/>
          <w:szCs w:val="21"/>
        </w:rPr>
      </w:pPr>
      <w:r>
        <w:rPr>
          <w:rStyle w:val="5"/>
          <w:rFonts w:hint="eastAsia" w:ascii="宋体" w:hAnsi="宋体" w:eastAsia="宋体" w:cs="宋体"/>
          <w:b/>
          <w:i w:val="0"/>
          <w:caps w:val="0"/>
          <w:color w:val="333333"/>
          <w:spacing w:val="0"/>
          <w:sz w:val="24"/>
          <w:szCs w:val="24"/>
          <w:bdr w:val="none" w:color="auto" w:sz="0" w:space="0"/>
          <w:shd w:val="clear" w:fill="FFFFFF"/>
        </w:rPr>
        <w:t>二、主动公开政府信息情况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ind w:left="0" w:right="0" w:firstLine="420"/>
        <w:jc w:val="both"/>
        <w:rPr>
          <w:rFonts w:hint="default" w:ascii="sans-serif" w:hAnsi="sans-serif" w:eastAsia="sans-serif" w:cs="sans-serif"/>
          <w:i w:val="0"/>
          <w:caps w:val="0"/>
          <w:color w:val="000000"/>
          <w:spacing w:val="0"/>
          <w:sz w:val="21"/>
          <w:szCs w:val="21"/>
        </w:rPr>
      </w:pPr>
      <w:r>
        <w:rPr>
          <w:rFonts w:hint="eastAsia" w:ascii="宋体" w:hAnsi="宋体" w:eastAsia="宋体" w:cs="宋体"/>
          <w:i w:val="0"/>
          <w:caps w:val="0"/>
          <w:color w:val="333333"/>
          <w:spacing w:val="0"/>
          <w:sz w:val="24"/>
          <w:szCs w:val="24"/>
          <w:bdr w:val="none" w:color="auto" w:sz="0" w:space="0"/>
          <w:shd w:val="clear" w:fill="FFFFFF"/>
        </w:rPr>
        <w:t> </w:t>
      </w:r>
    </w:p>
    <w:tbl>
      <w:tblPr>
        <w:tblW w:w="973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2430"/>
        <w:gridCol w:w="2430"/>
        <w:gridCol w:w="2430"/>
        <w:gridCol w:w="24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345" w:hRule="atLeast"/>
        </w:trPr>
        <w:tc>
          <w:tcPr>
            <w:tcW w:w="9735" w:type="dxa"/>
            <w:gridSpan w:val="4"/>
            <w:tcBorders>
              <w:top w:val="single" w:color="auto" w:sz="6" w:space="0"/>
              <w:left w:val="single" w:color="auto" w:sz="6" w:space="0"/>
              <w:bottom w:val="single" w:color="auto" w:sz="6" w:space="0"/>
              <w:right w:val="single" w:color="auto" w:sz="6" w:space="0"/>
            </w:tcBorders>
            <w:shd w:val="clear" w:color="auto" w:fill="C6D9F1"/>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345" w:hRule="atLeast"/>
        </w:trPr>
        <w:tc>
          <w:tcPr>
            <w:tcW w:w="2430" w:type="dxa"/>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信息内容</w:t>
            </w:r>
          </w:p>
        </w:tc>
        <w:tc>
          <w:tcPr>
            <w:tcW w:w="2430" w:type="dxa"/>
            <w:tcBorders>
              <w:top w:val="single" w:color="auto" w:sz="6" w:space="0"/>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本年制发件数</w:t>
            </w:r>
          </w:p>
        </w:tc>
        <w:tc>
          <w:tcPr>
            <w:tcW w:w="2430" w:type="dxa"/>
            <w:tcBorders>
              <w:top w:val="single" w:color="auto" w:sz="6" w:space="0"/>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本年废止件数</w:t>
            </w:r>
          </w:p>
        </w:tc>
        <w:tc>
          <w:tcPr>
            <w:tcW w:w="2430" w:type="dxa"/>
            <w:tcBorders>
              <w:top w:val="single" w:color="auto" w:sz="6" w:space="0"/>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现行有效件数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345" w:hRule="atLeast"/>
        </w:trPr>
        <w:tc>
          <w:tcPr>
            <w:tcW w:w="2430" w:type="dxa"/>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规章</w:t>
            </w:r>
          </w:p>
        </w:tc>
        <w:tc>
          <w:tcPr>
            <w:tcW w:w="243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21"/>
                <w:szCs w:val="21"/>
                <w:bdr w:val="none" w:color="auto" w:sz="0" w:space="0"/>
              </w:rPr>
              <w:t>0</w:t>
            </w:r>
          </w:p>
        </w:tc>
        <w:tc>
          <w:tcPr>
            <w:tcW w:w="243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21"/>
                <w:szCs w:val="21"/>
                <w:bdr w:val="none" w:color="auto" w:sz="0" w:space="0"/>
              </w:rPr>
              <w:t>0</w:t>
            </w:r>
          </w:p>
        </w:tc>
        <w:tc>
          <w:tcPr>
            <w:tcW w:w="243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21"/>
                <w:szCs w:val="21"/>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345" w:hRule="atLeast"/>
        </w:trPr>
        <w:tc>
          <w:tcPr>
            <w:tcW w:w="2430" w:type="dxa"/>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行政规范性文件</w:t>
            </w:r>
          </w:p>
        </w:tc>
        <w:tc>
          <w:tcPr>
            <w:tcW w:w="243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21"/>
                <w:szCs w:val="21"/>
                <w:bdr w:val="none" w:color="auto" w:sz="0" w:space="0"/>
              </w:rPr>
              <w:t>0</w:t>
            </w:r>
          </w:p>
        </w:tc>
        <w:tc>
          <w:tcPr>
            <w:tcW w:w="243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21"/>
                <w:szCs w:val="21"/>
                <w:bdr w:val="none" w:color="auto" w:sz="0" w:space="0"/>
              </w:rPr>
              <w:t>0</w:t>
            </w:r>
          </w:p>
        </w:tc>
        <w:tc>
          <w:tcPr>
            <w:tcW w:w="243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21"/>
                <w:szCs w:val="21"/>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rPr>
        <w:tc>
          <w:tcPr>
            <w:tcW w:w="9735" w:type="dxa"/>
            <w:gridSpan w:val="4"/>
            <w:tcBorders>
              <w:top w:val="nil"/>
              <w:left w:val="single" w:color="auto" w:sz="6" w:space="0"/>
              <w:bottom w:val="single" w:color="auto" w:sz="6" w:space="0"/>
              <w:right w:val="single" w:color="auto" w:sz="6" w:space="0"/>
            </w:tcBorders>
            <w:shd w:val="clear" w:color="auto" w:fill="C6D9F1"/>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345" w:hRule="atLeast"/>
        </w:trPr>
        <w:tc>
          <w:tcPr>
            <w:tcW w:w="2430" w:type="dxa"/>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信息内容</w:t>
            </w:r>
          </w:p>
        </w:tc>
        <w:tc>
          <w:tcPr>
            <w:tcW w:w="7305" w:type="dxa"/>
            <w:gridSpan w:val="3"/>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345" w:hRule="atLeast"/>
        </w:trPr>
        <w:tc>
          <w:tcPr>
            <w:tcW w:w="2430" w:type="dxa"/>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行政许可</w:t>
            </w:r>
          </w:p>
        </w:tc>
        <w:tc>
          <w:tcPr>
            <w:tcW w:w="7305" w:type="dxa"/>
            <w:gridSpan w:val="3"/>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21"/>
                <w:szCs w:val="21"/>
                <w:bdr w:val="none" w:color="auto" w:sz="0" w:space="0"/>
              </w:rPr>
              <w:t>269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rPr>
        <w:tc>
          <w:tcPr>
            <w:tcW w:w="9735" w:type="dxa"/>
            <w:gridSpan w:val="4"/>
            <w:tcBorders>
              <w:top w:val="nil"/>
              <w:left w:val="single" w:color="auto" w:sz="6" w:space="0"/>
              <w:bottom w:val="single" w:color="auto" w:sz="6" w:space="0"/>
              <w:right w:val="single" w:color="auto" w:sz="6" w:space="0"/>
            </w:tcBorders>
            <w:shd w:val="clear" w:color="auto" w:fill="C6D9F1"/>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rPr>
        <w:tc>
          <w:tcPr>
            <w:tcW w:w="2430" w:type="dxa"/>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i w:val="0"/>
                <w:caps w:val="0"/>
                <w:color w:val="000000"/>
                <w:spacing w:val="0"/>
                <w:sz w:val="19"/>
                <w:szCs w:val="19"/>
                <w:bdr w:val="none" w:color="auto" w:sz="0" w:space="0"/>
              </w:rPr>
              <w:t>信息内容</w:t>
            </w:r>
          </w:p>
        </w:tc>
        <w:tc>
          <w:tcPr>
            <w:tcW w:w="7305" w:type="dxa"/>
            <w:gridSpan w:val="3"/>
            <w:tcBorders>
              <w:top w:val="single" w:color="auto" w:sz="6" w:space="0"/>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i w:val="0"/>
                <w:caps w:val="0"/>
                <w:color w:val="000000"/>
                <w:spacing w:val="0"/>
                <w:sz w:val="19"/>
                <w:szCs w:val="19"/>
                <w:bdr w:val="none" w:color="auto" w:sz="0" w:space="0"/>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345" w:hRule="atLeast"/>
        </w:trPr>
        <w:tc>
          <w:tcPr>
            <w:tcW w:w="2430" w:type="dxa"/>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行政处罚</w:t>
            </w:r>
          </w:p>
        </w:tc>
        <w:tc>
          <w:tcPr>
            <w:tcW w:w="7305" w:type="dxa"/>
            <w:gridSpan w:val="3"/>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rPr>
        <w:tc>
          <w:tcPr>
            <w:tcW w:w="2430" w:type="dxa"/>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行政强制</w:t>
            </w:r>
          </w:p>
        </w:tc>
        <w:tc>
          <w:tcPr>
            <w:tcW w:w="7305" w:type="dxa"/>
            <w:gridSpan w:val="3"/>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345" w:hRule="atLeast"/>
        </w:trPr>
        <w:tc>
          <w:tcPr>
            <w:tcW w:w="9735" w:type="dxa"/>
            <w:gridSpan w:val="4"/>
            <w:tcBorders>
              <w:top w:val="nil"/>
              <w:left w:val="single" w:color="auto" w:sz="6" w:space="0"/>
              <w:bottom w:val="single" w:color="auto" w:sz="6" w:space="0"/>
              <w:right w:val="single" w:color="auto" w:sz="6" w:space="0"/>
            </w:tcBorders>
            <w:shd w:val="clear" w:color="auto" w:fill="C6D9F1"/>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345" w:hRule="atLeast"/>
        </w:trPr>
        <w:tc>
          <w:tcPr>
            <w:tcW w:w="2430" w:type="dxa"/>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信息内容</w:t>
            </w:r>
          </w:p>
        </w:tc>
        <w:tc>
          <w:tcPr>
            <w:tcW w:w="7305" w:type="dxa"/>
            <w:gridSpan w:val="3"/>
            <w:tcBorders>
              <w:top w:val="nil"/>
              <w:left w:val="nil"/>
              <w:bottom w:val="single" w:color="auto" w:sz="6" w:space="0"/>
              <w:right w:val="single" w:color="000000"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345" w:hRule="atLeast"/>
        </w:trPr>
        <w:tc>
          <w:tcPr>
            <w:tcW w:w="2430" w:type="dxa"/>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行政事业性收费</w:t>
            </w:r>
          </w:p>
        </w:tc>
        <w:tc>
          <w:tcPr>
            <w:tcW w:w="7305" w:type="dxa"/>
            <w:gridSpan w:val="3"/>
            <w:tcBorders>
              <w:top w:val="nil"/>
              <w:left w:val="nil"/>
              <w:bottom w:val="single" w:color="auto" w:sz="6" w:space="0"/>
              <w:right w:val="single" w:color="000000"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24"/>
                <w:szCs w:val="24"/>
                <w:bdr w:val="none" w:color="auto" w:sz="0" w:space="0"/>
              </w:rPr>
              <w:t>8.00405</w:t>
            </w:r>
          </w:p>
        </w:tc>
      </w:tr>
    </w:tbl>
    <w:p>
      <w:pPr>
        <w:pStyle w:val="2"/>
        <w:keepNext w:val="0"/>
        <w:keepLines w:val="0"/>
        <w:widowControl/>
        <w:suppressLineNumbers w:val="0"/>
        <w:spacing w:before="75" w:beforeAutospacing="0" w:after="75" w:afterAutospacing="0"/>
        <w:ind w:left="0" w:right="0" w:firstLine="0"/>
        <w:jc w:val="left"/>
        <w:rPr>
          <w:rFonts w:hint="default" w:ascii="sans-serif" w:hAnsi="sans-serif" w:eastAsia="sans-serif" w:cs="sans-serif"/>
          <w:i w:val="0"/>
          <w:caps w:val="0"/>
          <w:color w:val="000000"/>
          <w:spacing w:val="0"/>
          <w:sz w:val="21"/>
          <w:szCs w:val="21"/>
        </w:rPr>
      </w:pPr>
      <w:r>
        <w:rPr>
          <w:rFonts w:ascii="Calibri" w:hAnsi="Calibri" w:eastAsia="sans-serif" w:cs="Calibri"/>
          <w:i w:val="0"/>
          <w:caps w:val="0"/>
          <w:color w:val="000000"/>
          <w:spacing w:val="0"/>
          <w:sz w:val="21"/>
          <w:szCs w:val="21"/>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ind w:left="0" w:right="0" w:firstLine="420"/>
        <w:jc w:val="both"/>
        <w:rPr>
          <w:rFonts w:hint="default" w:ascii="sans-serif" w:hAnsi="sans-serif" w:eastAsia="sans-serif" w:cs="sans-serif"/>
          <w:i w:val="0"/>
          <w:caps w:val="0"/>
          <w:color w:val="000000"/>
          <w:spacing w:val="0"/>
          <w:sz w:val="21"/>
          <w:szCs w:val="21"/>
        </w:rPr>
      </w:pPr>
      <w:r>
        <w:rPr>
          <w:rStyle w:val="5"/>
          <w:rFonts w:hint="eastAsia" w:ascii="宋体" w:hAnsi="宋体" w:eastAsia="宋体" w:cs="宋体"/>
          <w:b/>
          <w:i w:val="0"/>
          <w:caps w:val="0"/>
          <w:color w:val="333333"/>
          <w:spacing w:val="0"/>
          <w:sz w:val="24"/>
          <w:szCs w:val="24"/>
          <w:bdr w:val="none" w:color="auto" w:sz="0" w:space="0"/>
          <w:shd w:val="clear" w:fill="FFFFFF"/>
        </w:rPr>
        <w:t>三、收到和处理政府信息公开申请情况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ind w:left="0" w:right="0" w:firstLine="420"/>
        <w:jc w:val="both"/>
        <w:rPr>
          <w:rFonts w:hint="default" w:ascii="sans-serif" w:hAnsi="sans-serif" w:eastAsia="sans-serif" w:cs="sans-serif"/>
          <w:i w:val="0"/>
          <w:caps w:val="0"/>
          <w:color w:val="000000"/>
          <w:spacing w:val="0"/>
          <w:sz w:val="21"/>
          <w:szCs w:val="21"/>
        </w:rPr>
      </w:pPr>
      <w:r>
        <w:rPr>
          <w:rFonts w:hint="eastAsia" w:ascii="宋体" w:hAnsi="宋体" w:eastAsia="宋体" w:cs="宋体"/>
          <w:i w:val="0"/>
          <w:caps w:val="0"/>
          <w:color w:val="333333"/>
          <w:spacing w:val="0"/>
          <w:sz w:val="24"/>
          <w:szCs w:val="24"/>
          <w:bdr w:val="none" w:color="auto" w:sz="0" w:space="0"/>
          <w:shd w:val="clear" w:fill="FFFFFF"/>
        </w:rPr>
        <w:t> </w:t>
      </w:r>
    </w:p>
    <w:tbl>
      <w:tblPr>
        <w:tblW w:w="97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764"/>
        <w:gridCol w:w="944"/>
        <w:gridCol w:w="3218"/>
        <w:gridCol w:w="689"/>
        <w:gridCol w:w="689"/>
        <w:gridCol w:w="689"/>
        <w:gridCol w:w="689"/>
        <w:gridCol w:w="689"/>
        <w:gridCol w:w="689"/>
        <w:gridCol w:w="6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4935" w:type="dxa"/>
            <w:gridSpan w:val="3"/>
            <w:vMerge w:val="restart"/>
            <w:tcBorders>
              <w:top w:val="single" w:color="auto" w:sz="6" w:space="0"/>
              <w:left w:val="single" w:color="auto" w:sz="6" w:space="0"/>
              <w:bottom w:val="outset"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i w:val="0"/>
                <w:caps w:val="0"/>
                <w:color w:val="000000"/>
                <w:spacing w:val="0"/>
                <w:sz w:val="19"/>
                <w:szCs w:val="19"/>
                <w:bdr w:val="none" w:color="auto" w:sz="0" w:space="0"/>
              </w:rPr>
              <w:t>（本列数据的勾稽关系为：第一项加第二项之和，等于第三项加第四项之和）</w:t>
            </w:r>
          </w:p>
        </w:tc>
        <w:tc>
          <w:tcPr>
            <w:tcW w:w="4815" w:type="dxa"/>
            <w:gridSpan w:val="7"/>
            <w:tcBorders>
              <w:top w:val="single" w:color="auto" w:sz="6" w:space="0"/>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申请人情况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c>
          <w:tcPr>
            <w:tcW w:w="4935" w:type="dxa"/>
            <w:gridSpan w:val="3"/>
            <w:vMerge w:val="continue"/>
            <w:tcBorders>
              <w:top w:val="single" w:color="auto" w:sz="6" w:space="0"/>
              <w:left w:val="single" w:color="auto" w:sz="6" w:space="0"/>
              <w:bottom w:val="outset" w:color="auto" w:sz="6" w:space="0"/>
              <w:right w:val="single" w:color="auto" w:sz="6" w:space="0"/>
            </w:tcBorders>
            <w:shd w:val="clear"/>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1"/>
                <w:szCs w:val="21"/>
              </w:rPr>
            </w:pPr>
          </w:p>
        </w:tc>
        <w:tc>
          <w:tcPr>
            <w:tcW w:w="690" w:type="dxa"/>
            <w:vMerge w:val="restart"/>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自然人</w:t>
            </w:r>
          </w:p>
        </w:tc>
        <w:tc>
          <w:tcPr>
            <w:tcW w:w="3435" w:type="dxa"/>
            <w:gridSpan w:val="5"/>
            <w:tcBorders>
              <w:top w:val="single" w:color="auto" w:sz="6" w:space="0"/>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法人或其他组织</w:t>
            </w:r>
          </w:p>
        </w:tc>
        <w:tc>
          <w:tcPr>
            <w:tcW w:w="690" w:type="dxa"/>
            <w:vMerge w:val="restart"/>
            <w:tcBorders>
              <w:top w:val="single" w:color="auto" w:sz="6" w:space="0"/>
              <w:left w:val="nil"/>
              <w:bottom w:val="outset"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总计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c>
          <w:tcPr>
            <w:tcW w:w="4935" w:type="dxa"/>
            <w:gridSpan w:val="3"/>
            <w:vMerge w:val="continue"/>
            <w:tcBorders>
              <w:top w:val="single" w:color="auto" w:sz="6" w:space="0"/>
              <w:left w:val="single" w:color="auto" w:sz="6" w:space="0"/>
              <w:bottom w:val="outset" w:color="auto" w:sz="6" w:space="0"/>
              <w:right w:val="single" w:color="auto" w:sz="6" w:space="0"/>
            </w:tcBorders>
            <w:shd w:val="clear"/>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1"/>
                <w:szCs w:val="21"/>
              </w:rPr>
            </w:pPr>
          </w:p>
        </w:tc>
        <w:tc>
          <w:tcPr>
            <w:tcW w:w="690" w:type="dxa"/>
            <w:vMerge w:val="continue"/>
            <w:tcBorders>
              <w:top w:val="nil"/>
              <w:left w:val="nil"/>
              <w:bottom w:val="single"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商业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企业</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科研</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机构</w:t>
            </w:r>
          </w:p>
        </w:tc>
        <w:tc>
          <w:tcPr>
            <w:tcW w:w="690" w:type="dxa"/>
            <w:tcBorders>
              <w:top w:val="single" w:color="auto" w:sz="6" w:space="0"/>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社会公益组织</w:t>
            </w:r>
          </w:p>
        </w:tc>
        <w:tc>
          <w:tcPr>
            <w:tcW w:w="690" w:type="dxa"/>
            <w:tcBorders>
              <w:top w:val="single" w:color="auto" w:sz="6" w:space="0"/>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法律服务机构</w:t>
            </w:r>
          </w:p>
        </w:tc>
        <w:tc>
          <w:tcPr>
            <w:tcW w:w="690" w:type="dxa"/>
            <w:tcBorders>
              <w:top w:val="single" w:color="auto" w:sz="6" w:space="0"/>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其他</w:t>
            </w:r>
          </w:p>
        </w:tc>
        <w:tc>
          <w:tcPr>
            <w:tcW w:w="690" w:type="dxa"/>
            <w:vMerge w:val="continue"/>
            <w:tcBorders>
              <w:top w:val="single" w:color="auto" w:sz="6" w:space="0"/>
              <w:left w:val="nil"/>
              <w:bottom w:val="outset"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4935" w:type="dxa"/>
            <w:gridSpan w:val="3"/>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一、本年新收政府信息公开申请数量</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4935" w:type="dxa"/>
            <w:gridSpan w:val="3"/>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二、上年结转政府信息公开申请数量</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765" w:type="dxa"/>
            <w:vMerge w:val="restart"/>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三、本年度办理结果</w:t>
            </w:r>
          </w:p>
        </w:tc>
        <w:tc>
          <w:tcPr>
            <w:tcW w:w="4170" w:type="dxa"/>
            <w:gridSpan w:val="2"/>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（一）予以公开</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single" w:color="auto" w:sz="6" w:space="0"/>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765" w:type="dxa"/>
            <w:vMerge w:val="continue"/>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4170" w:type="dxa"/>
            <w:gridSpan w:val="2"/>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（二）部分公开</w:t>
            </w:r>
            <w:r>
              <w:rPr>
                <w:rFonts w:hint="eastAsia" w:ascii="楷体" w:hAnsi="楷体" w:eastAsia="楷体" w:cs="楷体"/>
                <w:i w:val="0"/>
                <w:caps w:val="0"/>
                <w:color w:val="000000"/>
                <w:spacing w:val="0"/>
                <w:sz w:val="19"/>
                <w:szCs w:val="19"/>
                <w:bdr w:val="none" w:color="auto" w:sz="0" w:space="0"/>
              </w:rPr>
              <w:t>（区分处理的，只计这一情形，不计其他情形）</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c>
          <w:tcPr>
            <w:tcW w:w="765" w:type="dxa"/>
            <w:vMerge w:val="continue"/>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945" w:type="dxa"/>
            <w:vMerge w:val="restart"/>
            <w:tcBorders>
              <w:top w:val="nil"/>
              <w:left w:val="nil"/>
              <w:bottom w:val="outset"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（三）不予公开</w:t>
            </w:r>
          </w:p>
        </w:tc>
        <w:tc>
          <w:tcPr>
            <w:tcW w:w="3225"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1.属于国家秘密</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single" w:color="auto" w:sz="6" w:space="0"/>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765" w:type="dxa"/>
            <w:vMerge w:val="continue"/>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945" w:type="dxa"/>
            <w:vMerge w:val="continue"/>
            <w:tcBorders>
              <w:top w:val="nil"/>
              <w:left w:val="nil"/>
              <w:bottom w:val="outset"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3225"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2.其他法律行政法规禁止公开</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765" w:type="dxa"/>
            <w:vMerge w:val="continue"/>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945" w:type="dxa"/>
            <w:vMerge w:val="continue"/>
            <w:tcBorders>
              <w:top w:val="nil"/>
              <w:left w:val="nil"/>
              <w:bottom w:val="outset"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3225"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3.危及“三安全一稳定”</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c>
          <w:tcPr>
            <w:tcW w:w="765" w:type="dxa"/>
            <w:vMerge w:val="continue"/>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945" w:type="dxa"/>
            <w:vMerge w:val="continue"/>
            <w:tcBorders>
              <w:top w:val="nil"/>
              <w:left w:val="nil"/>
              <w:bottom w:val="outset"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3225"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4.保护第三方合法权益</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c>
          <w:tcPr>
            <w:tcW w:w="765" w:type="dxa"/>
            <w:vMerge w:val="continue"/>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945" w:type="dxa"/>
            <w:vMerge w:val="continue"/>
            <w:tcBorders>
              <w:top w:val="nil"/>
              <w:left w:val="nil"/>
              <w:bottom w:val="outset"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3225"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5.属于三类内部事务信息</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c>
          <w:tcPr>
            <w:tcW w:w="765" w:type="dxa"/>
            <w:vMerge w:val="continue"/>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945" w:type="dxa"/>
            <w:vMerge w:val="continue"/>
            <w:tcBorders>
              <w:top w:val="nil"/>
              <w:left w:val="nil"/>
              <w:bottom w:val="outset"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3225"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6.属于四类过程性信息</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c>
          <w:tcPr>
            <w:tcW w:w="765" w:type="dxa"/>
            <w:vMerge w:val="continue"/>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945" w:type="dxa"/>
            <w:vMerge w:val="continue"/>
            <w:tcBorders>
              <w:top w:val="nil"/>
              <w:left w:val="nil"/>
              <w:bottom w:val="outset"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3225"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7.属于行政执法案卷</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c>
          <w:tcPr>
            <w:tcW w:w="765" w:type="dxa"/>
            <w:vMerge w:val="continue"/>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945" w:type="dxa"/>
            <w:vMerge w:val="continue"/>
            <w:tcBorders>
              <w:top w:val="nil"/>
              <w:left w:val="nil"/>
              <w:bottom w:val="outset"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3225"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8.属于行政查询事项</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c>
          <w:tcPr>
            <w:tcW w:w="765" w:type="dxa"/>
            <w:vMerge w:val="continue"/>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945" w:type="dxa"/>
            <w:vMerge w:val="restart"/>
            <w:tcBorders>
              <w:top w:val="nil"/>
              <w:left w:val="nil"/>
              <w:bottom w:val="outset"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（四）无法提供</w:t>
            </w:r>
          </w:p>
        </w:tc>
        <w:tc>
          <w:tcPr>
            <w:tcW w:w="3225"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1.本机关不掌握相关政府信息</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c>
          <w:tcPr>
            <w:tcW w:w="765" w:type="dxa"/>
            <w:vMerge w:val="continue"/>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945" w:type="dxa"/>
            <w:vMerge w:val="continue"/>
            <w:tcBorders>
              <w:top w:val="nil"/>
              <w:left w:val="nil"/>
              <w:bottom w:val="outset"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3225"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2.没有现成信息需要另行制作</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c>
          <w:tcPr>
            <w:tcW w:w="765" w:type="dxa"/>
            <w:vMerge w:val="continue"/>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945" w:type="dxa"/>
            <w:vMerge w:val="continue"/>
            <w:tcBorders>
              <w:top w:val="nil"/>
              <w:left w:val="nil"/>
              <w:bottom w:val="outset"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3225"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3.补正后申请内容仍不明确</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21"/>
                <w:szCs w:val="21"/>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765" w:type="dxa"/>
            <w:vMerge w:val="continue"/>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945" w:type="dxa"/>
            <w:vMerge w:val="restart"/>
            <w:tcBorders>
              <w:top w:val="nil"/>
              <w:left w:val="nil"/>
              <w:bottom w:val="outset"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（五）不予处理</w:t>
            </w:r>
          </w:p>
        </w:tc>
        <w:tc>
          <w:tcPr>
            <w:tcW w:w="3225"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1.信访举报投诉类申请</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c>
          <w:tcPr>
            <w:tcW w:w="765" w:type="dxa"/>
            <w:vMerge w:val="continue"/>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945" w:type="dxa"/>
            <w:vMerge w:val="continue"/>
            <w:tcBorders>
              <w:top w:val="nil"/>
              <w:left w:val="nil"/>
              <w:bottom w:val="outset"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3225"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2.重复申请</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c>
          <w:tcPr>
            <w:tcW w:w="765" w:type="dxa"/>
            <w:vMerge w:val="continue"/>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945" w:type="dxa"/>
            <w:vMerge w:val="continue"/>
            <w:tcBorders>
              <w:top w:val="nil"/>
              <w:left w:val="nil"/>
              <w:bottom w:val="outset"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3225"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3.要求提供公开出版物</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c>
          <w:tcPr>
            <w:tcW w:w="765" w:type="dxa"/>
            <w:vMerge w:val="continue"/>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945" w:type="dxa"/>
            <w:vMerge w:val="continue"/>
            <w:tcBorders>
              <w:top w:val="nil"/>
              <w:left w:val="nil"/>
              <w:bottom w:val="outset"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3225"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4.无正当理由大量反复申请</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780" w:hRule="atLeast"/>
        </w:trPr>
        <w:tc>
          <w:tcPr>
            <w:tcW w:w="765" w:type="dxa"/>
            <w:vMerge w:val="continue"/>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945" w:type="dxa"/>
            <w:vMerge w:val="continue"/>
            <w:tcBorders>
              <w:top w:val="nil"/>
              <w:left w:val="nil"/>
              <w:bottom w:val="outset"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3225" w:type="dxa"/>
            <w:tcBorders>
              <w:top w:val="nil"/>
              <w:left w:val="nil"/>
              <w:bottom w:val="outset"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i w:val="0"/>
                <w:caps w:val="0"/>
                <w:color w:val="000000"/>
                <w:spacing w:val="0"/>
                <w:sz w:val="19"/>
                <w:szCs w:val="19"/>
                <w:bdr w:val="none" w:color="auto" w:sz="0" w:space="0"/>
              </w:rPr>
              <w:t>5.要求行政机关确认或重新出具已获取信息</w:t>
            </w:r>
          </w:p>
        </w:tc>
        <w:tc>
          <w:tcPr>
            <w:tcW w:w="690" w:type="dxa"/>
            <w:tcBorders>
              <w:top w:val="nil"/>
              <w:left w:val="nil"/>
              <w:bottom w:val="outset"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outset"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outset"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outset"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outset"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outset"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outset"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c>
          <w:tcPr>
            <w:tcW w:w="765" w:type="dxa"/>
            <w:vMerge w:val="continue"/>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945" w:type="dxa"/>
            <w:vMerge w:val="restart"/>
            <w:tcBorders>
              <w:top w:val="nil"/>
              <w:left w:val="nil"/>
              <w:bottom w:val="outset"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（六）其他处理</w:t>
            </w:r>
          </w:p>
        </w:tc>
        <w:tc>
          <w:tcPr>
            <w:tcW w:w="3225"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i w:val="0"/>
                <w:caps w:val="0"/>
                <w:color w:val="000000"/>
                <w:spacing w:val="0"/>
                <w:sz w:val="19"/>
                <w:szCs w:val="19"/>
                <w:bdr w:val="none" w:color="auto" w:sz="0" w:space="0"/>
              </w:rPr>
              <w:t>1.申请人无正当理由逾期不补正、行政机关不再处理其政府信息公开申请</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21"/>
                <w:szCs w:val="21"/>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765" w:type="dxa"/>
            <w:vMerge w:val="continue"/>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945" w:type="dxa"/>
            <w:vMerge w:val="continue"/>
            <w:tcBorders>
              <w:top w:val="nil"/>
              <w:left w:val="nil"/>
              <w:bottom w:val="outset"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3225"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i w:val="0"/>
                <w:caps w:val="0"/>
                <w:color w:val="000000"/>
                <w:spacing w:val="0"/>
                <w:sz w:val="19"/>
                <w:szCs w:val="19"/>
                <w:bdr w:val="none" w:color="auto" w:sz="0" w:space="0"/>
              </w:rPr>
              <w:t>2.申请人逾期未按收费通知要求缴纳费用、行政机关不再处理其政府信息公开申请</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765" w:type="dxa"/>
            <w:vMerge w:val="continue"/>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945" w:type="dxa"/>
            <w:vMerge w:val="continue"/>
            <w:tcBorders>
              <w:top w:val="nil"/>
              <w:left w:val="nil"/>
              <w:bottom w:val="outset"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3225"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3.其他</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c>
          <w:tcPr>
            <w:tcW w:w="765" w:type="dxa"/>
            <w:vMerge w:val="continue"/>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rPr>
                <w:rFonts w:hint="default" w:ascii="sans-serif" w:hAnsi="sans-serif" w:eastAsia="sans-serif" w:cs="sans-serif"/>
                <w:i w:val="0"/>
                <w:caps w:val="0"/>
                <w:color w:val="000000"/>
                <w:spacing w:val="0"/>
                <w:sz w:val="21"/>
                <w:szCs w:val="21"/>
              </w:rPr>
            </w:pPr>
          </w:p>
        </w:tc>
        <w:tc>
          <w:tcPr>
            <w:tcW w:w="4170" w:type="dxa"/>
            <w:gridSpan w:val="2"/>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（七）总计</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c>
          <w:tcPr>
            <w:tcW w:w="4935" w:type="dxa"/>
            <w:gridSpan w:val="3"/>
            <w:tcBorders>
              <w:top w:val="nil"/>
              <w:left w:val="single" w:color="auto" w:sz="6" w:space="0"/>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i w:val="0"/>
                <w:caps w:val="0"/>
                <w:color w:val="000000"/>
                <w:spacing w:val="0"/>
                <w:sz w:val="19"/>
                <w:szCs w:val="19"/>
                <w:bdr w:val="none" w:color="auto" w:sz="0" w:space="0"/>
              </w:rPr>
              <w:t>四、结转下年度继续办理</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c>
          <w:tcPr>
            <w:tcW w:w="690" w:type="dxa"/>
            <w:tcBorders>
              <w:top w:val="nil"/>
              <w:left w:val="nil"/>
              <w:bottom w:val="single" w:color="auto" w:sz="6" w:space="0"/>
              <w:right w:val="single" w:color="auto" w:sz="6" w:space="0"/>
            </w:tcBorders>
            <w:shd w:val="clear"/>
            <w:tcMar>
              <w:top w:w="0" w:type="dxa"/>
              <w:left w:w="60" w:type="dxa"/>
              <w:bottom w:w="0" w:type="dxa"/>
              <w:right w:w="6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i w:val="0"/>
                <w:caps w:val="0"/>
                <w:color w:val="000000"/>
                <w:spacing w:val="0"/>
                <w:sz w:val="19"/>
                <w:szCs w:val="19"/>
                <w:bdr w:val="none" w:color="auto" w:sz="0" w:space="0"/>
              </w:rPr>
              <w:t>0</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ind w:left="0" w:right="0" w:firstLine="0"/>
        <w:jc w:val="center"/>
        <w:rPr>
          <w:rFonts w:hint="default" w:ascii="sans-serif" w:hAnsi="sans-serif" w:eastAsia="sans-serif" w:cs="sans-serif"/>
          <w:i w:val="0"/>
          <w:caps w:val="0"/>
          <w:color w:val="000000"/>
          <w:spacing w:val="0"/>
          <w:sz w:val="21"/>
          <w:szCs w:val="21"/>
        </w:rPr>
      </w:pPr>
      <w:r>
        <w:rPr>
          <w:rFonts w:hint="eastAsia" w:ascii="宋体" w:hAnsi="宋体" w:eastAsia="宋体" w:cs="宋体"/>
          <w:i w:val="0"/>
          <w:caps w:val="0"/>
          <w:color w:val="333333"/>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ind w:left="0" w:right="0" w:firstLine="420"/>
        <w:jc w:val="both"/>
        <w:rPr>
          <w:rFonts w:hint="default" w:ascii="sans-serif" w:hAnsi="sans-serif" w:eastAsia="sans-serif" w:cs="sans-serif"/>
          <w:i w:val="0"/>
          <w:caps w:val="0"/>
          <w:color w:val="000000"/>
          <w:spacing w:val="0"/>
          <w:sz w:val="21"/>
          <w:szCs w:val="21"/>
        </w:rPr>
      </w:pPr>
      <w:r>
        <w:rPr>
          <w:rStyle w:val="5"/>
          <w:rFonts w:hint="eastAsia" w:ascii="宋体" w:hAnsi="宋体" w:eastAsia="宋体" w:cs="宋体"/>
          <w:b/>
          <w:i w:val="0"/>
          <w:caps w:val="0"/>
          <w:color w:val="333333"/>
          <w:spacing w:val="0"/>
          <w:sz w:val="24"/>
          <w:szCs w:val="24"/>
          <w:bdr w:val="none" w:color="auto" w:sz="0" w:space="0"/>
          <w:shd w:val="clear" w:fill="FFFFFF"/>
        </w:rPr>
        <w:t>四、政府信息公开行政复议、行政诉讼情况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ind w:left="0" w:right="0" w:firstLine="0"/>
        <w:jc w:val="center"/>
        <w:rPr>
          <w:rFonts w:hint="default" w:ascii="sans-serif" w:hAnsi="sans-serif" w:eastAsia="sans-serif" w:cs="sans-serif"/>
          <w:i w:val="0"/>
          <w:caps w:val="0"/>
          <w:color w:val="000000"/>
          <w:spacing w:val="0"/>
          <w:sz w:val="21"/>
          <w:szCs w:val="21"/>
        </w:rPr>
      </w:pPr>
      <w:r>
        <w:rPr>
          <w:rFonts w:hint="eastAsia" w:ascii="宋体" w:hAnsi="宋体" w:eastAsia="宋体" w:cs="宋体"/>
          <w:i w:val="0"/>
          <w:caps w:val="0"/>
          <w:color w:val="333333"/>
          <w:spacing w:val="0"/>
          <w:sz w:val="24"/>
          <w:szCs w:val="24"/>
          <w:bdr w:val="none" w:color="auto" w:sz="0" w:space="0"/>
          <w:shd w:val="clear" w:fill="FFFFFF"/>
        </w:rPr>
        <w:t> </w:t>
      </w:r>
    </w:p>
    <w:tbl>
      <w:tblPr>
        <w:tblW w:w="97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650"/>
        <w:gridCol w:w="650"/>
        <w:gridCol w:w="650"/>
        <w:gridCol w:w="650"/>
        <w:gridCol w:w="650"/>
        <w:gridCol w:w="650"/>
        <w:gridCol w:w="650"/>
        <w:gridCol w:w="650"/>
        <w:gridCol w:w="650"/>
        <w:gridCol w:w="650"/>
        <w:gridCol w:w="650"/>
        <w:gridCol w:w="650"/>
        <w:gridCol w:w="650"/>
        <w:gridCol w:w="650"/>
        <w:gridCol w:w="6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c>
          <w:tcPr>
            <w:tcW w:w="3210" w:type="dxa"/>
            <w:gridSpan w:val="5"/>
            <w:tcBorders>
              <w:top w:val="single" w:color="auto" w:sz="6" w:space="0"/>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i w:val="0"/>
                <w:caps w:val="0"/>
                <w:color w:val="000000"/>
                <w:spacing w:val="0"/>
                <w:sz w:val="19"/>
                <w:szCs w:val="19"/>
                <w:bdr w:val="none" w:color="auto" w:sz="0" w:space="0"/>
              </w:rPr>
              <w:t>行政复议</w:t>
            </w:r>
          </w:p>
        </w:tc>
        <w:tc>
          <w:tcPr>
            <w:tcW w:w="6435" w:type="dxa"/>
            <w:gridSpan w:val="10"/>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i w:val="0"/>
                <w:caps w:val="0"/>
                <w:color w:val="000000"/>
                <w:spacing w:val="0"/>
                <w:sz w:val="19"/>
                <w:szCs w:val="19"/>
                <w:bdr w:val="none" w:color="auto" w:sz="0" w:space="0"/>
              </w:rPr>
              <w:t>行政诉讼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c>
          <w:tcPr>
            <w:tcW w:w="645"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i w:val="0"/>
                <w:caps w:val="0"/>
                <w:color w:val="000000"/>
                <w:spacing w:val="0"/>
                <w:sz w:val="19"/>
                <w:szCs w:val="19"/>
                <w:bdr w:val="none" w:color="auto" w:sz="0" w:space="0"/>
              </w:rPr>
              <w:t>结果维持</w:t>
            </w:r>
          </w:p>
        </w:tc>
        <w:tc>
          <w:tcPr>
            <w:tcW w:w="64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i w:val="0"/>
                <w:caps w:val="0"/>
                <w:color w:val="000000"/>
                <w:spacing w:val="0"/>
                <w:sz w:val="19"/>
                <w:szCs w:val="19"/>
                <w:bdr w:val="none" w:color="auto" w:sz="0" w:space="0"/>
              </w:rPr>
              <w:t>结果</w:t>
            </w:r>
            <w:r>
              <w:rPr>
                <w:rFonts w:hint="eastAsia" w:ascii="宋体" w:hAnsi="宋体" w:eastAsia="宋体" w:cs="宋体"/>
                <w:i w:val="0"/>
                <w:caps w:val="0"/>
                <w:color w:val="000000"/>
                <w:spacing w:val="0"/>
                <w:sz w:val="19"/>
                <w:szCs w:val="19"/>
                <w:bdr w:val="none" w:color="auto" w:sz="0" w:space="0"/>
              </w:rPr>
              <w:br w:type="textWrapping"/>
            </w:r>
            <w:r>
              <w:rPr>
                <w:rFonts w:hint="eastAsia" w:ascii="宋体" w:hAnsi="宋体" w:eastAsia="宋体" w:cs="宋体"/>
                <w:i w:val="0"/>
                <w:caps w:val="0"/>
                <w:color w:val="000000"/>
                <w:spacing w:val="0"/>
                <w:sz w:val="19"/>
                <w:szCs w:val="19"/>
                <w:bdr w:val="none" w:color="auto" w:sz="0" w:space="0"/>
              </w:rPr>
              <w:t>纠正</w:t>
            </w:r>
          </w:p>
        </w:tc>
        <w:tc>
          <w:tcPr>
            <w:tcW w:w="645" w:type="dxa"/>
            <w:vMerge w:val="restart"/>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i w:val="0"/>
                <w:caps w:val="0"/>
                <w:color w:val="000000"/>
                <w:spacing w:val="0"/>
                <w:sz w:val="19"/>
                <w:szCs w:val="19"/>
                <w:bdr w:val="none" w:color="auto" w:sz="0" w:space="0"/>
              </w:rPr>
              <w:t>其他</w:t>
            </w:r>
            <w:r>
              <w:rPr>
                <w:rFonts w:hint="eastAsia" w:ascii="宋体" w:hAnsi="宋体" w:eastAsia="宋体" w:cs="宋体"/>
                <w:i w:val="0"/>
                <w:caps w:val="0"/>
                <w:color w:val="000000"/>
                <w:spacing w:val="0"/>
                <w:sz w:val="19"/>
                <w:szCs w:val="19"/>
                <w:bdr w:val="none" w:color="auto" w:sz="0" w:space="0"/>
              </w:rPr>
              <w:br w:type="textWrapping"/>
            </w:r>
            <w:r>
              <w:rPr>
                <w:rFonts w:hint="eastAsia" w:ascii="宋体" w:hAnsi="宋体" w:eastAsia="宋体" w:cs="宋体"/>
                <w:i w:val="0"/>
                <w:caps w:val="0"/>
                <w:color w:val="000000"/>
                <w:spacing w:val="0"/>
                <w:sz w:val="19"/>
                <w:szCs w:val="19"/>
                <w:bdr w:val="none" w:color="auto" w:sz="0" w:space="0"/>
              </w:rPr>
              <w:t>结果</w:t>
            </w:r>
          </w:p>
        </w:tc>
        <w:tc>
          <w:tcPr>
            <w:tcW w:w="645" w:type="dxa"/>
            <w:vMerge w:val="restart"/>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i w:val="0"/>
                <w:caps w:val="0"/>
                <w:color w:val="000000"/>
                <w:spacing w:val="0"/>
                <w:sz w:val="19"/>
                <w:szCs w:val="19"/>
                <w:bdr w:val="none" w:color="auto" w:sz="0" w:space="0"/>
              </w:rPr>
              <w:t>尚未</w:t>
            </w:r>
            <w:r>
              <w:rPr>
                <w:rFonts w:hint="eastAsia" w:ascii="宋体" w:hAnsi="宋体" w:eastAsia="宋体" w:cs="宋体"/>
                <w:i w:val="0"/>
                <w:caps w:val="0"/>
                <w:color w:val="000000"/>
                <w:spacing w:val="0"/>
                <w:sz w:val="19"/>
                <w:szCs w:val="19"/>
                <w:bdr w:val="none" w:color="auto" w:sz="0" w:space="0"/>
              </w:rPr>
              <w:br w:type="textWrapping"/>
            </w:r>
            <w:r>
              <w:rPr>
                <w:rFonts w:hint="eastAsia" w:ascii="宋体" w:hAnsi="宋体" w:eastAsia="宋体" w:cs="宋体"/>
                <w:i w:val="0"/>
                <w:caps w:val="0"/>
                <w:color w:val="000000"/>
                <w:spacing w:val="0"/>
                <w:sz w:val="19"/>
                <w:szCs w:val="19"/>
                <w:bdr w:val="none" w:color="auto" w:sz="0" w:space="0"/>
              </w:rPr>
              <w:t>审结</w:t>
            </w:r>
          </w:p>
        </w:tc>
        <w:tc>
          <w:tcPr>
            <w:tcW w:w="645" w:type="dxa"/>
            <w:vMerge w:val="restart"/>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i w:val="0"/>
                <w:caps w:val="0"/>
                <w:color w:val="000000"/>
                <w:spacing w:val="0"/>
                <w:sz w:val="19"/>
                <w:szCs w:val="19"/>
                <w:bdr w:val="none" w:color="auto" w:sz="0" w:space="0"/>
              </w:rPr>
              <w:t>总计</w:t>
            </w:r>
          </w:p>
        </w:tc>
        <w:tc>
          <w:tcPr>
            <w:tcW w:w="3210" w:type="dxa"/>
            <w:gridSpan w:val="5"/>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i w:val="0"/>
                <w:caps w:val="0"/>
                <w:color w:val="000000"/>
                <w:spacing w:val="0"/>
                <w:sz w:val="19"/>
                <w:szCs w:val="19"/>
                <w:bdr w:val="none" w:color="auto" w:sz="0" w:space="0"/>
              </w:rPr>
              <w:t>未经复议直接起诉</w:t>
            </w:r>
          </w:p>
        </w:tc>
        <w:tc>
          <w:tcPr>
            <w:tcW w:w="3210" w:type="dxa"/>
            <w:gridSpan w:val="5"/>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i w:val="0"/>
                <w:caps w:val="0"/>
                <w:color w:val="000000"/>
                <w:spacing w:val="0"/>
                <w:sz w:val="19"/>
                <w:szCs w:val="19"/>
                <w:bdr w:val="none" w:color="auto" w:sz="0" w:space="0"/>
              </w:rPr>
              <w:t>复议后起诉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c>
          <w:tcPr>
            <w:tcW w:w="645"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1"/>
                <w:szCs w:val="21"/>
              </w:rPr>
            </w:pPr>
          </w:p>
        </w:tc>
        <w:tc>
          <w:tcPr>
            <w:tcW w:w="64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1"/>
                <w:szCs w:val="21"/>
              </w:rPr>
            </w:pPr>
          </w:p>
        </w:tc>
        <w:tc>
          <w:tcPr>
            <w:tcW w:w="645" w:type="dxa"/>
            <w:vMerge w:val="continue"/>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1"/>
                <w:szCs w:val="21"/>
              </w:rPr>
            </w:pPr>
          </w:p>
        </w:tc>
        <w:tc>
          <w:tcPr>
            <w:tcW w:w="645" w:type="dxa"/>
            <w:vMerge w:val="continue"/>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1"/>
                <w:szCs w:val="21"/>
              </w:rPr>
            </w:pPr>
          </w:p>
        </w:tc>
        <w:tc>
          <w:tcPr>
            <w:tcW w:w="645" w:type="dxa"/>
            <w:vMerge w:val="continue"/>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1"/>
                <w:szCs w:val="21"/>
              </w:rPr>
            </w:pPr>
          </w:p>
        </w:tc>
        <w:tc>
          <w:tcPr>
            <w:tcW w:w="64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i w:val="0"/>
                <w:caps w:val="0"/>
                <w:color w:val="000000"/>
                <w:spacing w:val="0"/>
                <w:sz w:val="19"/>
                <w:szCs w:val="19"/>
                <w:bdr w:val="none" w:color="auto" w:sz="0" w:space="0"/>
              </w:rPr>
              <w:t>结果</w:t>
            </w:r>
            <w:r>
              <w:rPr>
                <w:rFonts w:hint="eastAsia" w:ascii="宋体" w:hAnsi="宋体" w:eastAsia="宋体" w:cs="宋体"/>
                <w:i w:val="0"/>
                <w:caps w:val="0"/>
                <w:color w:val="000000"/>
                <w:spacing w:val="0"/>
                <w:sz w:val="19"/>
                <w:szCs w:val="19"/>
                <w:bdr w:val="none" w:color="auto" w:sz="0" w:space="0"/>
              </w:rPr>
              <w:br w:type="textWrapping"/>
            </w:r>
            <w:r>
              <w:rPr>
                <w:rFonts w:hint="eastAsia" w:ascii="宋体" w:hAnsi="宋体" w:eastAsia="宋体" w:cs="宋体"/>
                <w:i w:val="0"/>
                <w:caps w:val="0"/>
                <w:color w:val="000000"/>
                <w:spacing w:val="0"/>
                <w:sz w:val="19"/>
                <w:szCs w:val="19"/>
                <w:bdr w:val="none" w:color="auto" w:sz="0" w:space="0"/>
              </w:rPr>
              <w:t>维持</w:t>
            </w:r>
          </w:p>
        </w:tc>
        <w:tc>
          <w:tcPr>
            <w:tcW w:w="64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i w:val="0"/>
                <w:caps w:val="0"/>
                <w:color w:val="000000"/>
                <w:spacing w:val="0"/>
                <w:sz w:val="19"/>
                <w:szCs w:val="19"/>
                <w:bdr w:val="none" w:color="auto" w:sz="0" w:space="0"/>
              </w:rPr>
              <w:t>结果</w:t>
            </w:r>
            <w:r>
              <w:rPr>
                <w:rFonts w:hint="eastAsia" w:ascii="宋体" w:hAnsi="宋体" w:eastAsia="宋体" w:cs="宋体"/>
                <w:i w:val="0"/>
                <w:caps w:val="0"/>
                <w:color w:val="000000"/>
                <w:spacing w:val="0"/>
                <w:sz w:val="19"/>
                <w:szCs w:val="19"/>
                <w:bdr w:val="none" w:color="auto" w:sz="0" w:space="0"/>
              </w:rPr>
              <w:br w:type="textWrapping"/>
            </w:r>
            <w:r>
              <w:rPr>
                <w:rFonts w:hint="eastAsia" w:ascii="宋体" w:hAnsi="宋体" w:eastAsia="宋体" w:cs="宋体"/>
                <w:i w:val="0"/>
                <w:caps w:val="0"/>
                <w:color w:val="000000"/>
                <w:spacing w:val="0"/>
                <w:sz w:val="19"/>
                <w:szCs w:val="19"/>
                <w:bdr w:val="none" w:color="auto" w:sz="0" w:space="0"/>
              </w:rPr>
              <w:t>纠正</w:t>
            </w:r>
          </w:p>
        </w:tc>
        <w:tc>
          <w:tcPr>
            <w:tcW w:w="645"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i w:val="0"/>
                <w:caps w:val="0"/>
                <w:color w:val="000000"/>
                <w:spacing w:val="0"/>
                <w:sz w:val="19"/>
                <w:szCs w:val="19"/>
                <w:bdr w:val="none" w:color="auto" w:sz="0" w:space="0"/>
              </w:rPr>
              <w:t>其他</w:t>
            </w:r>
            <w:r>
              <w:rPr>
                <w:rFonts w:hint="eastAsia" w:ascii="宋体" w:hAnsi="宋体" w:eastAsia="宋体" w:cs="宋体"/>
                <w:i w:val="0"/>
                <w:caps w:val="0"/>
                <w:color w:val="000000"/>
                <w:spacing w:val="0"/>
                <w:sz w:val="19"/>
                <w:szCs w:val="19"/>
                <w:bdr w:val="none" w:color="auto" w:sz="0" w:space="0"/>
              </w:rPr>
              <w:br w:type="textWrapping"/>
            </w:r>
            <w:r>
              <w:rPr>
                <w:rFonts w:hint="eastAsia" w:ascii="宋体" w:hAnsi="宋体" w:eastAsia="宋体" w:cs="宋体"/>
                <w:i w:val="0"/>
                <w:caps w:val="0"/>
                <w:color w:val="000000"/>
                <w:spacing w:val="0"/>
                <w:sz w:val="19"/>
                <w:szCs w:val="19"/>
                <w:bdr w:val="none" w:color="auto" w:sz="0" w:space="0"/>
              </w:rPr>
              <w:t>结果</w:t>
            </w:r>
          </w:p>
        </w:tc>
        <w:tc>
          <w:tcPr>
            <w:tcW w:w="645"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i w:val="0"/>
                <w:caps w:val="0"/>
                <w:color w:val="000000"/>
                <w:spacing w:val="0"/>
                <w:sz w:val="19"/>
                <w:szCs w:val="19"/>
                <w:bdr w:val="none" w:color="auto" w:sz="0" w:space="0"/>
              </w:rPr>
              <w:t>尚未</w:t>
            </w:r>
            <w:r>
              <w:rPr>
                <w:rFonts w:hint="eastAsia" w:ascii="宋体" w:hAnsi="宋体" w:eastAsia="宋体" w:cs="宋体"/>
                <w:i w:val="0"/>
                <w:caps w:val="0"/>
                <w:color w:val="000000"/>
                <w:spacing w:val="0"/>
                <w:sz w:val="19"/>
                <w:szCs w:val="19"/>
                <w:bdr w:val="none" w:color="auto" w:sz="0" w:space="0"/>
              </w:rPr>
              <w:br w:type="textWrapping"/>
            </w:r>
            <w:r>
              <w:rPr>
                <w:rFonts w:hint="eastAsia" w:ascii="宋体" w:hAnsi="宋体" w:eastAsia="宋体" w:cs="宋体"/>
                <w:i w:val="0"/>
                <w:caps w:val="0"/>
                <w:color w:val="000000"/>
                <w:spacing w:val="0"/>
                <w:sz w:val="19"/>
                <w:szCs w:val="19"/>
                <w:bdr w:val="none" w:color="auto" w:sz="0" w:space="0"/>
              </w:rPr>
              <w:t>审结</w:t>
            </w:r>
          </w:p>
        </w:tc>
        <w:tc>
          <w:tcPr>
            <w:tcW w:w="645"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i w:val="0"/>
                <w:caps w:val="0"/>
                <w:color w:val="000000"/>
                <w:spacing w:val="0"/>
                <w:sz w:val="19"/>
                <w:szCs w:val="19"/>
                <w:bdr w:val="none" w:color="auto" w:sz="0" w:space="0"/>
              </w:rPr>
              <w:t>总计</w:t>
            </w:r>
          </w:p>
        </w:tc>
        <w:tc>
          <w:tcPr>
            <w:tcW w:w="645"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i w:val="0"/>
                <w:caps w:val="0"/>
                <w:color w:val="000000"/>
                <w:spacing w:val="0"/>
                <w:sz w:val="19"/>
                <w:szCs w:val="19"/>
                <w:bdr w:val="none" w:color="auto" w:sz="0" w:space="0"/>
              </w:rPr>
              <w:t>结果</w:t>
            </w:r>
            <w:r>
              <w:rPr>
                <w:rFonts w:hint="eastAsia" w:ascii="宋体" w:hAnsi="宋体" w:eastAsia="宋体" w:cs="宋体"/>
                <w:i w:val="0"/>
                <w:caps w:val="0"/>
                <w:color w:val="000000"/>
                <w:spacing w:val="0"/>
                <w:sz w:val="19"/>
                <w:szCs w:val="19"/>
                <w:bdr w:val="none" w:color="auto" w:sz="0" w:space="0"/>
              </w:rPr>
              <w:br w:type="textWrapping"/>
            </w:r>
            <w:r>
              <w:rPr>
                <w:rFonts w:hint="eastAsia" w:ascii="宋体" w:hAnsi="宋体" w:eastAsia="宋体" w:cs="宋体"/>
                <w:i w:val="0"/>
                <w:caps w:val="0"/>
                <w:color w:val="000000"/>
                <w:spacing w:val="0"/>
                <w:sz w:val="19"/>
                <w:szCs w:val="19"/>
                <w:bdr w:val="none" w:color="auto" w:sz="0" w:space="0"/>
              </w:rPr>
              <w:t>维持</w:t>
            </w:r>
          </w:p>
        </w:tc>
        <w:tc>
          <w:tcPr>
            <w:tcW w:w="645"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i w:val="0"/>
                <w:caps w:val="0"/>
                <w:color w:val="000000"/>
                <w:spacing w:val="0"/>
                <w:sz w:val="19"/>
                <w:szCs w:val="19"/>
                <w:bdr w:val="none" w:color="auto" w:sz="0" w:space="0"/>
              </w:rPr>
              <w:t>结果</w:t>
            </w:r>
            <w:r>
              <w:rPr>
                <w:rFonts w:hint="eastAsia" w:ascii="宋体" w:hAnsi="宋体" w:eastAsia="宋体" w:cs="宋体"/>
                <w:i w:val="0"/>
                <w:caps w:val="0"/>
                <w:color w:val="000000"/>
                <w:spacing w:val="0"/>
                <w:sz w:val="19"/>
                <w:szCs w:val="19"/>
                <w:bdr w:val="none" w:color="auto" w:sz="0" w:space="0"/>
              </w:rPr>
              <w:br w:type="textWrapping"/>
            </w:r>
            <w:r>
              <w:rPr>
                <w:rFonts w:hint="eastAsia" w:ascii="宋体" w:hAnsi="宋体" w:eastAsia="宋体" w:cs="宋体"/>
                <w:i w:val="0"/>
                <w:caps w:val="0"/>
                <w:color w:val="000000"/>
                <w:spacing w:val="0"/>
                <w:sz w:val="19"/>
                <w:szCs w:val="19"/>
                <w:bdr w:val="none" w:color="auto" w:sz="0" w:space="0"/>
              </w:rPr>
              <w:t>纠正</w:t>
            </w:r>
          </w:p>
        </w:tc>
        <w:tc>
          <w:tcPr>
            <w:tcW w:w="645"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i w:val="0"/>
                <w:caps w:val="0"/>
                <w:color w:val="000000"/>
                <w:spacing w:val="0"/>
                <w:sz w:val="19"/>
                <w:szCs w:val="19"/>
                <w:bdr w:val="none" w:color="auto" w:sz="0" w:space="0"/>
              </w:rPr>
              <w:t>其他</w:t>
            </w:r>
            <w:r>
              <w:rPr>
                <w:rFonts w:hint="eastAsia" w:ascii="宋体" w:hAnsi="宋体" w:eastAsia="宋体" w:cs="宋体"/>
                <w:i w:val="0"/>
                <w:caps w:val="0"/>
                <w:color w:val="000000"/>
                <w:spacing w:val="0"/>
                <w:sz w:val="19"/>
                <w:szCs w:val="19"/>
                <w:bdr w:val="none" w:color="auto" w:sz="0" w:space="0"/>
              </w:rPr>
              <w:br w:type="textWrapping"/>
            </w:r>
            <w:r>
              <w:rPr>
                <w:rFonts w:hint="eastAsia" w:ascii="宋体" w:hAnsi="宋体" w:eastAsia="宋体" w:cs="宋体"/>
                <w:i w:val="0"/>
                <w:caps w:val="0"/>
                <w:color w:val="000000"/>
                <w:spacing w:val="0"/>
                <w:sz w:val="19"/>
                <w:szCs w:val="19"/>
                <w:bdr w:val="none" w:color="auto" w:sz="0" w:space="0"/>
              </w:rPr>
              <w:t>结果</w:t>
            </w:r>
          </w:p>
        </w:tc>
        <w:tc>
          <w:tcPr>
            <w:tcW w:w="645"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i w:val="0"/>
                <w:caps w:val="0"/>
                <w:color w:val="000000"/>
                <w:spacing w:val="0"/>
                <w:sz w:val="19"/>
                <w:szCs w:val="19"/>
                <w:bdr w:val="none" w:color="auto" w:sz="0" w:space="0"/>
              </w:rPr>
              <w:t>尚未</w:t>
            </w:r>
            <w:r>
              <w:rPr>
                <w:rFonts w:hint="eastAsia" w:ascii="宋体" w:hAnsi="宋体" w:eastAsia="宋体" w:cs="宋体"/>
                <w:i w:val="0"/>
                <w:caps w:val="0"/>
                <w:color w:val="000000"/>
                <w:spacing w:val="0"/>
                <w:sz w:val="19"/>
                <w:szCs w:val="19"/>
                <w:bdr w:val="none" w:color="auto" w:sz="0" w:space="0"/>
              </w:rPr>
              <w:br w:type="textWrapping"/>
            </w:r>
            <w:r>
              <w:rPr>
                <w:rFonts w:hint="eastAsia" w:ascii="宋体" w:hAnsi="宋体" w:eastAsia="宋体" w:cs="宋体"/>
                <w:i w:val="0"/>
                <w:caps w:val="0"/>
                <w:color w:val="000000"/>
                <w:spacing w:val="0"/>
                <w:sz w:val="19"/>
                <w:szCs w:val="19"/>
                <w:bdr w:val="none" w:color="auto" w:sz="0" w:space="0"/>
              </w:rPr>
              <w:t>审结</w:t>
            </w:r>
          </w:p>
        </w:tc>
        <w:tc>
          <w:tcPr>
            <w:tcW w:w="645"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i w:val="0"/>
                <w:caps w:val="0"/>
                <w:color w:val="000000"/>
                <w:spacing w:val="0"/>
                <w:sz w:val="19"/>
                <w:szCs w:val="19"/>
                <w:bdr w:val="none" w:color="auto" w:sz="0" w:space="0"/>
              </w:rPr>
              <w:t>总计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675" w:hRule="atLeast"/>
        </w:trPr>
        <w:tc>
          <w:tcPr>
            <w:tcW w:w="645" w:type="dxa"/>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i w:val="0"/>
                <w:caps w:val="0"/>
                <w:color w:val="000000"/>
                <w:spacing w:val="0"/>
                <w:sz w:val="19"/>
                <w:szCs w:val="19"/>
                <w:bdr w:val="none" w:color="auto" w:sz="0" w:space="0"/>
              </w:rPr>
              <w:t>0</w:t>
            </w:r>
          </w:p>
        </w:tc>
        <w:tc>
          <w:tcPr>
            <w:tcW w:w="64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i w:val="0"/>
                <w:caps w:val="0"/>
                <w:color w:val="000000"/>
                <w:spacing w:val="0"/>
                <w:sz w:val="19"/>
                <w:szCs w:val="19"/>
                <w:bdr w:val="none" w:color="auto" w:sz="0" w:space="0"/>
              </w:rPr>
              <w:t>0</w:t>
            </w:r>
          </w:p>
        </w:tc>
        <w:tc>
          <w:tcPr>
            <w:tcW w:w="64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i w:val="0"/>
                <w:caps w:val="0"/>
                <w:color w:val="000000"/>
                <w:spacing w:val="0"/>
                <w:sz w:val="19"/>
                <w:szCs w:val="19"/>
                <w:bdr w:val="none" w:color="auto" w:sz="0" w:space="0"/>
              </w:rPr>
              <w:t>0</w:t>
            </w:r>
          </w:p>
        </w:tc>
        <w:tc>
          <w:tcPr>
            <w:tcW w:w="64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i w:val="0"/>
                <w:caps w:val="0"/>
                <w:color w:val="000000"/>
                <w:spacing w:val="0"/>
                <w:sz w:val="19"/>
                <w:szCs w:val="19"/>
                <w:bdr w:val="none" w:color="auto" w:sz="0" w:space="0"/>
              </w:rPr>
              <w:t>0</w:t>
            </w:r>
          </w:p>
        </w:tc>
        <w:tc>
          <w:tcPr>
            <w:tcW w:w="64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i w:val="0"/>
                <w:caps w:val="0"/>
                <w:color w:val="000000"/>
                <w:spacing w:val="0"/>
                <w:sz w:val="19"/>
                <w:szCs w:val="19"/>
                <w:bdr w:val="none" w:color="auto" w:sz="0" w:space="0"/>
              </w:rPr>
              <w:t>0</w:t>
            </w:r>
          </w:p>
        </w:tc>
        <w:tc>
          <w:tcPr>
            <w:tcW w:w="64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i w:val="0"/>
                <w:caps w:val="0"/>
                <w:color w:val="000000"/>
                <w:spacing w:val="0"/>
                <w:sz w:val="19"/>
                <w:szCs w:val="19"/>
                <w:bdr w:val="none" w:color="auto" w:sz="0" w:space="0"/>
              </w:rPr>
              <w:t>0</w:t>
            </w:r>
          </w:p>
        </w:tc>
        <w:tc>
          <w:tcPr>
            <w:tcW w:w="64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i w:val="0"/>
                <w:caps w:val="0"/>
                <w:color w:val="000000"/>
                <w:spacing w:val="0"/>
                <w:sz w:val="19"/>
                <w:szCs w:val="19"/>
                <w:bdr w:val="none" w:color="auto" w:sz="0" w:space="0"/>
              </w:rPr>
              <w:t>0</w:t>
            </w:r>
          </w:p>
        </w:tc>
        <w:tc>
          <w:tcPr>
            <w:tcW w:w="64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i w:val="0"/>
                <w:caps w:val="0"/>
                <w:color w:val="000000"/>
                <w:spacing w:val="0"/>
                <w:sz w:val="19"/>
                <w:szCs w:val="19"/>
                <w:bdr w:val="none" w:color="auto" w:sz="0" w:space="0"/>
              </w:rPr>
              <w:t>0</w:t>
            </w:r>
          </w:p>
        </w:tc>
        <w:tc>
          <w:tcPr>
            <w:tcW w:w="64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i w:val="0"/>
                <w:caps w:val="0"/>
                <w:color w:val="000000"/>
                <w:spacing w:val="0"/>
                <w:sz w:val="19"/>
                <w:szCs w:val="19"/>
                <w:bdr w:val="none" w:color="auto" w:sz="0" w:space="0"/>
              </w:rPr>
              <w:t>0</w:t>
            </w:r>
          </w:p>
        </w:tc>
        <w:tc>
          <w:tcPr>
            <w:tcW w:w="64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i w:val="0"/>
                <w:caps w:val="0"/>
                <w:color w:val="000000"/>
                <w:spacing w:val="0"/>
                <w:sz w:val="19"/>
                <w:szCs w:val="19"/>
                <w:bdr w:val="none" w:color="auto" w:sz="0" w:space="0"/>
              </w:rPr>
              <w:t>0</w:t>
            </w:r>
          </w:p>
        </w:tc>
        <w:tc>
          <w:tcPr>
            <w:tcW w:w="64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i w:val="0"/>
                <w:caps w:val="0"/>
                <w:color w:val="000000"/>
                <w:spacing w:val="0"/>
                <w:sz w:val="19"/>
                <w:szCs w:val="19"/>
                <w:bdr w:val="none" w:color="auto" w:sz="0" w:space="0"/>
              </w:rPr>
              <w:t>0</w:t>
            </w:r>
          </w:p>
        </w:tc>
        <w:tc>
          <w:tcPr>
            <w:tcW w:w="64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i w:val="0"/>
                <w:caps w:val="0"/>
                <w:color w:val="000000"/>
                <w:spacing w:val="0"/>
                <w:sz w:val="19"/>
                <w:szCs w:val="19"/>
                <w:bdr w:val="none" w:color="auto" w:sz="0" w:space="0"/>
              </w:rPr>
              <w:t>0</w:t>
            </w:r>
          </w:p>
        </w:tc>
        <w:tc>
          <w:tcPr>
            <w:tcW w:w="64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i w:val="0"/>
                <w:caps w:val="0"/>
                <w:color w:val="000000"/>
                <w:spacing w:val="0"/>
                <w:sz w:val="19"/>
                <w:szCs w:val="19"/>
                <w:bdr w:val="none" w:color="auto" w:sz="0" w:space="0"/>
              </w:rPr>
              <w:t>0</w:t>
            </w:r>
          </w:p>
        </w:tc>
        <w:tc>
          <w:tcPr>
            <w:tcW w:w="64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i w:val="0"/>
                <w:caps w:val="0"/>
                <w:color w:val="000000"/>
                <w:spacing w:val="0"/>
                <w:sz w:val="19"/>
                <w:szCs w:val="19"/>
                <w:bdr w:val="none" w:color="auto" w:sz="0" w:space="0"/>
              </w:rPr>
              <w:t>0</w:t>
            </w:r>
          </w:p>
        </w:tc>
        <w:tc>
          <w:tcPr>
            <w:tcW w:w="64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黑体" w:hAnsi="宋体" w:eastAsia="黑体" w:cs="黑体"/>
                <w:i w:val="0"/>
                <w:caps w:val="0"/>
                <w:color w:val="000000"/>
                <w:spacing w:val="0"/>
                <w:sz w:val="19"/>
                <w:szCs w:val="19"/>
                <w:bdr w:val="none" w:color="auto" w:sz="0" w:space="0"/>
              </w:rPr>
              <w:t>0</w:t>
            </w:r>
          </w:p>
        </w:tc>
      </w:tr>
    </w:tbl>
    <w:p>
      <w:pPr>
        <w:pStyle w:val="2"/>
        <w:keepNext w:val="0"/>
        <w:keepLines w:val="0"/>
        <w:widowControl/>
        <w:suppressLineNumbers w:val="0"/>
        <w:spacing w:before="75" w:beforeAutospacing="0" w:after="75" w:afterAutospacing="0"/>
        <w:ind w:left="0" w:right="0" w:firstLine="0"/>
        <w:jc w:val="left"/>
        <w:rPr>
          <w:rFonts w:hint="default" w:ascii="sans-serif" w:hAnsi="sans-serif" w:eastAsia="sans-serif" w:cs="sans-serif"/>
          <w:i w:val="0"/>
          <w:caps w:val="0"/>
          <w:color w:val="000000"/>
          <w:spacing w:val="0"/>
          <w:sz w:val="21"/>
          <w:szCs w:val="21"/>
        </w:rPr>
      </w:pPr>
      <w:r>
        <w:rPr>
          <w:rFonts w:hint="default" w:ascii="Calibri" w:hAnsi="Calibri" w:eastAsia="sans-serif" w:cs="Calibri"/>
          <w:i w:val="0"/>
          <w:caps w:val="0"/>
          <w:color w:val="000000"/>
          <w:spacing w:val="0"/>
          <w:sz w:val="21"/>
          <w:szCs w:val="21"/>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ind w:left="0" w:right="0" w:firstLine="420"/>
        <w:jc w:val="both"/>
        <w:rPr>
          <w:rFonts w:hint="default" w:ascii="sans-serif" w:hAnsi="sans-serif" w:eastAsia="sans-serif" w:cs="sans-serif"/>
          <w:i w:val="0"/>
          <w:caps w:val="0"/>
          <w:color w:val="000000"/>
          <w:spacing w:val="0"/>
          <w:sz w:val="21"/>
          <w:szCs w:val="21"/>
        </w:rPr>
      </w:pPr>
      <w:r>
        <w:rPr>
          <w:rStyle w:val="5"/>
          <w:rFonts w:hint="eastAsia" w:ascii="宋体" w:hAnsi="宋体" w:eastAsia="宋体" w:cs="宋体"/>
          <w:b/>
          <w:i w:val="0"/>
          <w:caps w:val="0"/>
          <w:color w:val="333333"/>
          <w:spacing w:val="0"/>
          <w:sz w:val="24"/>
          <w:szCs w:val="24"/>
          <w:bdr w:val="none" w:color="auto" w:sz="0" w:space="0"/>
          <w:shd w:val="clear" w:fill="FFFFFF"/>
        </w:rPr>
        <w:t>五、存在的主要问题及改进情况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50" w:lineRule="atLeast"/>
        <w:ind w:left="0" w:right="0" w:firstLine="645"/>
        <w:jc w:val="both"/>
        <w:rPr>
          <w:rFonts w:hint="default" w:ascii="sans-serif" w:hAnsi="sans-serif" w:eastAsia="sans-serif" w:cs="sans-serif"/>
          <w:i w:val="0"/>
          <w:caps w:val="0"/>
          <w:color w:val="000000"/>
          <w:spacing w:val="0"/>
          <w:sz w:val="21"/>
          <w:szCs w:val="21"/>
        </w:rPr>
      </w:pPr>
      <w:r>
        <w:rPr>
          <w:rFonts w:hint="eastAsia" w:ascii="仿宋" w:hAnsi="仿宋" w:eastAsia="仿宋" w:cs="仿宋"/>
          <w:i w:val="0"/>
          <w:caps w:val="0"/>
          <w:color w:val="000000"/>
          <w:spacing w:val="0"/>
          <w:sz w:val="31"/>
          <w:szCs w:val="31"/>
          <w:bdr w:val="none" w:color="auto" w:sz="0" w:space="0"/>
          <w:shd w:val="clear" w:fill="FFFFFF"/>
        </w:rPr>
        <w:t>2023年，我们也应清醒地看到，我镇政务公开工作还是存在问题:一是对政策解读的内容不够全面，解读形式方法需要多样化，解读效果还有待提高；二从事政务公开工作的人员需要加强，工作人员业务能力有待加强；三是政府工作的形式还有待创新，在满足群众关心的多种形式的问题上有待改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50" w:lineRule="atLeast"/>
        <w:ind w:left="0" w:right="0" w:firstLine="645"/>
        <w:jc w:val="both"/>
        <w:rPr>
          <w:rFonts w:hint="default" w:ascii="sans-serif" w:hAnsi="sans-serif" w:eastAsia="sans-serif" w:cs="sans-serif"/>
          <w:i w:val="0"/>
          <w:caps w:val="0"/>
          <w:color w:val="000000"/>
          <w:spacing w:val="0"/>
          <w:sz w:val="21"/>
          <w:szCs w:val="21"/>
        </w:rPr>
      </w:pPr>
      <w:r>
        <w:rPr>
          <w:rFonts w:hint="eastAsia" w:ascii="仿宋" w:hAnsi="仿宋" w:eastAsia="仿宋" w:cs="仿宋"/>
          <w:i w:val="0"/>
          <w:caps w:val="0"/>
          <w:color w:val="000000"/>
          <w:spacing w:val="0"/>
          <w:sz w:val="31"/>
          <w:szCs w:val="31"/>
          <w:bdr w:val="none" w:color="auto" w:sz="0" w:space="0"/>
          <w:shd w:val="clear" w:fill="FFFFFF"/>
        </w:rPr>
        <w:t>针对上述存在问题，今后我镇在政务村务公开工作要着重抓好以下几个方面工作: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50" w:lineRule="atLeast"/>
        <w:ind w:left="0" w:right="0" w:firstLine="645"/>
        <w:jc w:val="both"/>
        <w:rPr>
          <w:rFonts w:hint="default" w:ascii="sans-serif" w:hAnsi="sans-serif" w:eastAsia="sans-serif" w:cs="sans-serif"/>
          <w:i w:val="0"/>
          <w:caps w:val="0"/>
          <w:color w:val="000000"/>
          <w:spacing w:val="0"/>
          <w:sz w:val="21"/>
          <w:szCs w:val="21"/>
        </w:rPr>
      </w:pPr>
      <w:r>
        <w:rPr>
          <w:rFonts w:hint="eastAsia" w:ascii="仿宋" w:hAnsi="仿宋" w:eastAsia="仿宋" w:cs="仿宋"/>
          <w:i w:val="0"/>
          <w:caps w:val="0"/>
          <w:color w:val="000000"/>
          <w:spacing w:val="0"/>
          <w:sz w:val="31"/>
          <w:szCs w:val="31"/>
          <w:bdr w:val="none" w:color="auto" w:sz="0" w:space="0"/>
          <w:shd w:val="clear" w:fill="FFFFFF"/>
        </w:rPr>
        <w:t>一是按照上级要求，在2024年对政务工作进行认真研究，将进一步细化人员分工责任，确保各项工作落地见效，把政务村务公开工作落到实处。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50" w:lineRule="atLeast"/>
        <w:ind w:left="0" w:right="0" w:firstLine="645"/>
        <w:jc w:val="both"/>
        <w:rPr>
          <w:rFonts w:hint="default" w:ascii="sans-serif" w:hAnsi="sans-serif" w:eastAsia="sans-serif" w:cs="sans-serif"/>
          <w:i w:val="0"/>
          <w:caps w:val="0"/>
          <w:color w:val="000000"/>
          <w:spacing w:val="0"/>
          <w:sz w:val="21"/>
          <w:szCs w:val="21"/>
        </w:rPr>
      </w:pPr>
      <w:r>
        <w:rPr>
          <w:rFonts w:hint="eastAsia" w:ascii="仿宋" w:hAnsi="仿宋" w:eastAsia="仿宋" w:cs="仿宋"/>
          <w:i w:val="0"/>
          <w:caps w:val="0"/>
          <w:color w:val="000000"/>
          <w:spacing w:val="0"/>
          <w:sz w:val="31"/>
          <w:szCs w:val="31"/>
          <w:bdr w:val="none" w:color="auto" w:sz="0" w:space="0"/>
          <w:shd w:val="clear" w:fill="FFFFFF"/>
        </w:rPr>
        <w:t>二是构建政府专业队伍，提高我镇政务公开标准化水平。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50" w:lineRule="atLeast"/>
        <w:ind w:left="0" w:right="0" w:firstLine="645"/>
        <w:jc w:val="both"/>
        <w:rPr>
          <w:rFonts w:hint="default" w:ascii="sans-serif" w:hAnsi="sans-serif" w:eastAsia="sans-serif" w:cs="sans-serif"/>
          <w:i w:val="0"/>
          <w:caps w:val="0"/>
          <w:color w:val="000000"/>
          <w:spacing w:val="0"/>
          <w:sz w:val="21"/>
          <w:szCs w:val="21"/>
        </w:rPr>
      </w:pPr>
      <w:r>
        <w:rPr>
          <w:rFonts w:hint="eastAsia" w:ascii="仿宋" w:hAnsi="仿宋" w:eastAsia="仿宋" w:cs="仿宋"/>
          <w:i w:val="0"/>
          <w:caps w:val="0"/>
          <w:color w:val="000000"/>
          <w:spacing w:val="0"/>
          <w:sz w:val="31"/>
          <w:szCs w:val="31"/>
          <w:bdr w:val="none" w:color="auto" w:sz="0" w:space="0"/>
          <w:shd w:val="clear" w:fill="FFFFFF"/>
        </w:rPr>
        <w:t>三是持续开展形式多样的政务公开业务培训及政策宣讲活动，加强对村务工作的引导，确保政策及时传达到群众身边，努力提高政务公开水平。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50" w:lineRule="atLeast"/>
        <w:ind w:left="0" w:right="0" w:firstLine="645"/>
        <w:jc w:val="both"/>
        <w:rPr>
          <w:rFonts w:hint="default" w:ascii="sans-serif" w:hAnsi="sans-serif" w:eastAsia="sans-serif" w:cs="sans-serif"/>
          <w:i w:val="0"/>
          <w:caps w:val="0"/>
          <w:color w:val="000000"/>
          <w:spacing w:val="0"/>
          <w:sz w:val="21"/>
          <w:szCs w:val="21"/>
        </w:rPr>
      </w:pPr>
      <w:r>
        <w:rPr>
          <w:rFonts w:hint="eastAsia" w:ascii="仿宋" w:hAnsi="仿宋" w:eastAsia="仿宋" w:cs="仿宋"/>
          <w:i w:val="0"/>
          <w:caps w:val="0"/>
          <w:color w:val="000000"/>
          <w:spacing w:val="0"/>
          <w:sz w:val="31"/>
          <w:szCs w:val="31"/>
          <w:bdr w:val="none" w:color="auto" w:sz="0" w:space="0"/>
          <w:shd w:val="clear" w:fill="FFFFFF"/>
        </w:rPr>
        <w:t>四是认真研读上级关于2024年重点领域的工作内容，尤其针对涉及民生的重大项目等政府信息加大解读力度，增加重点领域工作的时效性。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50" w:lineRule="atLeast"/>
        <w:ind w:left="0" w:right="0" w:firstLine="645"/>
        <w:jc w:val="both"/>
        <w:rPr>
          <w:rFonts w:hint="default" w:ascii="sans-serif" w:hAnsi="sans-serif" w:eastAsia="sans-serif" w:cs="sans-serif"/>
          <w:i w:val="0"/>
          <w:caps w:val="0"/>
          <w:color w:val="000000"/>
          <w:spacing w:val="0"/>
          <w:sz w:val="21"/>
          <w:szCs w:val="21"/>
        </w:rPr>
      </w:pPr>
      <w:r>
        <w:rPr>
          <w:rFonts w:hint="eastAsia" w:ascii="仿宋" w:hAnsi="仿宋" w:eastAsia="仿宋" w:cs="仿宋"/>
          <w:i w:val="0"/>
          <w:caps w:val="0"/>
          <w:color w:val="000000"/>
          <w:spacing w:val="0"/>
          <w:sz w:val="31"/>
          <w:szCs w:val="31"/>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ind w:left="0" w:right="0" w:firstLine="420"/>
        <w:jc w:val="both"/>
        <w:rPr>
          <w:rFonts w:hint="default" w:ascii="sans-serif" w:hAnsi="sans-serif" w:eastAsia="sans-serif" w:cs="sans-serif"/>
          <w:i w:val="0"/>
          <w:caps w:val="0"/>
          <w:color w:val="000000"/>
          <w:spacing w:val="0"/>
          <w:sz w:val="21"/>
          <w:szCs w:val="21"/>
        </w:rPr>
      </w:pPr>
      <w:r>
        <w:rPr>
          <w:rStyle w:val="5"/>
          <w:rFonts w:hint="eastAsia" w:ascii="宋体" w:hAnsi="宋体" w:eastAsia="宋体" w:cs="宋体"/>
          <w:b/>
          <w:i w:val="0"/>
          <w:caps w:val="0"/>
          <w:color w:val="333333"/>
          <w:spacing w:val="0"/>
          <w:sz w:val="24"/>
          <w:szCs w:val="24"/>
          <w:bdr w:val="none" w:color="auto" w:sz="0" w:space="0"/>
          <w:shd w:val="clear" w:fill="FFFFFF"/>
        </w:rPr>
        <w:t>六、其他需要报告的事项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50" w:lineRule="atLeast"/>
        <w:ind w:left="0" w:right="0" w:firstLine="645"/>
        <w:jc w:val="both"/>
        <w:rPr>
          <w:rFonts w:hint="default" w:ascii="sans-serif" w:hAnsi="sans-serif" w:eastAsia="sans-serif" w:cs="sans-serif"/>
          <w:i w:val="0"/>
          <w:caps w:val="0"/>
          <w:color w:val="000000"/>
          <w:spacing w:val="0"/>
          <w:sz w:val="21"/>
          <w:szCs w:val="21"/>
        </w:rPr>
      </w:pPr>
      <w:r>
        <w:rPr>
          <w:rFonts w:hint="eastAsia" w:ascii="仿宋" w:hAnsi="仿宋" w:eastAsia="仿宋" w:cs="仿宋"/>
          <w:i w:val="0"/>
          <w:caps w:val="0"/>
          <w:color w:val="000000"/>
          <w:spacing w:val="0"/>
          <w:sz w:val="31"/>
          <w:szCs w:val="31"/>
          <w:bdr w:val="none" w:color="auto" w:sz="0" w:space="0"/>
          <w:shd w:val="clear" w:fill="FFFFFF"/>
        </w:rPr>
        <w:t>2023年，我镇没有收取信息处理费。无其他需要报告事项。</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45F26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2921</Words>
  <Characters>3021</Characters>
  <Lines>0</Lines>
  <Paragraphs>0</Paragraphs>
  <TotalTime>1</TotalTime>
  <ScaleCrop>false</ScaleCrop>
  <LinksUpToDate>false</LinksUpToDate>
  <CharactersWithSpaces>3032</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2024-04-26T02:50:51Z</dcterms:created>
  <dc:creator>Wi'n'do'w's</dc:creator>
  <cp:lastModifiedBy>Wi'n'do'w's</cp:lastModifiedBy>
  <dcterms:modified xsi:type="dcterms:W3CDTF">2024-04-26T02:52:19Z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