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w:t>
      </w:r>
      <w:bookmarkStart w:id="19" w:name="_GoBack"/>
      <w:bookmarkEnd w:id="19"/>
      <w:r>
        <w:rPr>
          <w:rFonts w:ascii="黑体" w:hAnsi="黑体" w:eastAsia="黑体" w:cs="黑体"/>
          <w:b/>
          <w:color w:val="000000"/>
          <w:sz w:val="44"/>
        </w:rPr>
        <w:t>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一、宁晋县国有企业综合服务中心本级收支预算</w:t>
      </w:r>
      <w:r>
        <w:tab/>
      </w:r>
      <w:r>
        <w:fldChar w:fldCharType="begin"/>
      </w:r>
      <w:r>
        <w:instrText xml:space="preserve">PAGEREF _Toc_4_4_0000000019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423.20</w:t>
            </w:r>
          </w:p>
        </w:tc>
        <w:tc>
          <w:tcPr>
            <w:tcW w:w="4535" w:type="dxa"/>
            <w:vAlign w:val="center"/>
          </w:tcPr>
          <w:p>
            <w:pPr>
              <w:pStyle w:val="14"/>
            </w:pPr>
            <w:r>
              <w:t>一、一般公共服务支出</w:t>
            </w:r>
          </w:p>
        </w:tc>
        <w:tc>
          <w:tcPr>
            <w:tcW w:w="2126" w:type="dxa"/>
            <w:vAlign w:val="center"/>
          </w:tcPr>
          <w:p>
            <w:pPr>
              <w:pStyle w:val="13"/>
            </w:pPr>
            <w:r>
              <w:t>423.20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r>
              <w:t>9.00</w:t>
            </w: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432.20</w:t>
            </w:r>
          </w:p>
        </w:tc>
        <w:tc>
          <w:tcPr>
            <w:tcW w:w="4535" w:type="dxa"/>
            <w:vAlign w:val="center"/>
          </w:tcPr>
          <w:p>
            <w:pPr>
              <w:pStyle w:val="16"/>
            </w:pPr>
            <w:r>
              <w:t>本年支出合计</w:t>
            </w:r>
          </w:p>
        </w:tc>
        <w:tc>
          <w:tcPr>
            <w:tcW w:w="2126" w:type="dxa"/>
            <w:vAlign w:val="center"/>
          </w:tcPr>
          <w:p>
            <w:pPr>
              <w:pStyle w:val="17"/>
            </w:pPr>
            <w:r>
              <w:t>432.20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432.20</w:t>
            </w:r>
          </w:p>
        </w:tc>
        <w:tc>
          <w:tcPr>
            <w:tcW w:w="4535" w:type="dxa"/>
            <w:vAlign w:val="center"/>
          </w:tcPr>
          <w:p>
            <w:pPr>
              <w:pStyle w:val="16"/>
            </w:pPr>
            <w:r>
              <w:t>支出总计</w:t>
            </w:r>
          </w:p>
        </w:tc>
        <w:tc>
          <w:tcPr>
            <w:tcW w:w="2126" w:type="dxa"/>
            <w:vAlign w:val="center"/>
          </w:tcPr>
          <w:p>
            <w:pPr>
              <w:pStyle w:val="17"/>
            </w:pPr>
            <w:r>
              <w:t>432.20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432.20</w:t>
            </w:r>
          </w:p>
        </w:tc>
        <w:tc>
          <w:tcPr>
            <w:tcW w:w="1134" w:type="dxa"/>
            <w:vAlign w:val="center"/>
          </w:tcPr>
          <w:p>
            <w:pPr>
              <w:pStyle w:val="17"/>
            </w:pPr>
            <w:r>
              <w:t>432.20</w:t>
            </w:r>
          </w:p>
        </w:tc>
        <w:tc>
          <w:tcPr>
            <w:tcW w:w="1134" w:type="dxa"/>
            <w:vAlign w:val="center"/>
          </w:tcPr>
          <w:p>
            <w:pPr>
              <w:pStyle w:val="17"/>
            </w:pPr>
            <w:r>
              <w:t>432.20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423.20</w:t>
            </w:r>
          </w:p>
        </w:tc>
        <w:tc>
          <w:tcPr>
            <w:tcW w:w="1134" w:type="dxa"/>
            <w:vAlign w:val="center"/>
          </w:tcPr>
          <w:p>
            <w:pPr>
              <w:pStyle w:val="13"/>
            </w:pPr>
            <w:r>
              <w:t>423.20</w:t>
            </w:r>
          </w:p>
        </w:tc>
        <w:tc>
          <w:tcPr>
            <w:tcW w:w="1134" w:type="dxa"/>
            <w:vAlign w:val="center"/>
          </w:tcPr>
          <w:p>
            <w:pPr>
              <w:pStyle w:val="13"/>
            </w:pPr>
            <w:r>
              <w:t>423.20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418.20</w:t>
            </w:r>
          </w:p>
        </w:tc>
        <w:tc>
          <w:tcPr>
            <w:tcW w:w="1134" w:type="dxa"/>
            <w:vAlign w:val="center"/>
          </w:tcPr>
          <w:p>
            <w:pPr>
              <w:pStyle w:val="13"/>
            </w:pPr>
            <w:r>
              <w:t>418.20</w:t>
            </w:r>
          </w:p>
        </w:tc>
        <w:tc>
          <w:tcPr>
            <w:tcW w:w="1134" w:type="dxa"/>
            <w:vAlign w:val="center"/>
          </w:tcPr>
          <w:p>
            <w:pPr>
              <w:pStyle w:val="13"/>
            </w:pPr>
            <w:r>
              <w:t>418.20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2010602</w:t>
            </w:r>
          </w:p>
        </w:tc>
        <w:tc>
          <w:tcPr>
            <w:tcW w:w="1559" w:type="dxa"/>
            <w:vAlign w:val="center"/>
          </w:tcPr>
          <w:p>
            <w:pPr>
              <w:pStyle w:val="14"/>
            </w:pPr>
            <w:r>
              <w:t>一般行政管理事务</w:t>
            </w:r>
          </w:p>
        </w:tc>
        <w:tc>
          <w:tcPr>
            <w:tcW w:w="1134" w:type="dxa"/>
            <w:vAlign w:val="center"/>
          </w:tcPr>
          <w:p>
            <w:pPr>
              <w:pStyle w:val="13"/>
            </w:pPr>
            <w:r>
              <w:t>25.20</w:t>
            </w:r>
          </w:p>
        </w:tc>
        <w:tc>
          <w:tcPr>
            <w:tcW w:w="1134" w:type="dxa"/>
            <w:vAlign w:val="center"/>
          </w:tcPr>
          <w:p>
            <w:pPr>
              <w:pStyle w:val="13"/>
            </w:pPr>
            <w:r>
              <w:t>25.20</w:t>
            </w:r>
          </w:p>
        </w:tc>
        <w:tc>
          <w:tcPr>
            <w:tcW w:w="1134" w:type="dxa"/>
            <w:vAlign w:val="center"/>
          </w:tcPr>
          <w:p>
            <w:pPr>
              <w:pStyle w:val="13"/>
            </w:pPr>
            <w:r>
              <w:t>25.20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2010699</w:t>
            </w:r>
          </w:p>
        </w:tc>
        <w:tc>
          <w:tcPr>
            <w:tcW w:w="1559" w:type="dxa"/>
            <w:vAlign w:val="center"/>
          </w:tcPr>
          <w:p>
            <w:pPr>
              <w:pStyle w:val="14"/>
            </w:pPr>
            <w:r>
              <w:t>其他财政事务支出</w:t>
            </w:r>
          </w:p>
        </w:tc>
        <w:tc>
          <w:tcPr>
            <w:tcW w:w="1134" w:type="dxa"/>
            <w:vAlign w:val="center"/>
          </w:tcPr>
          <w:p>
            <w:pPr>
              <w:pStyle w:val="13"/>
            </w:pPr>
            <w:r>
              <w:t>390.00</w:t>
            </w:r>
          </w:p>
        </w:tc>
        <w:tc>
          <w:tcPr>
            <w:tcW w:w="1134" w:type="dxa"/>
            <w:vAlign w:val="center"/>
          </w:tcPr>
          <w:p>
            <w:pPr>
              <w:pStyle w:val="13"/>
            </w:pPr>
            <w:r>
              <w:t>390.00</w:t>
            </w:r>
          </w:p>
        </w:tc>
        <w:tc>
          <w:tcPr>
            <w:tcW w:w="1134" w:type="dxa"/>
            <w:vAlign w:val="center"/>
          </w:tcPr>
          <w:p>
            <w:pPr>
              <w:pStyle w:val="13"/>
            </w:pPr>
            <w:r>
              <w:t>390.00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2013650</w:t>
            </w:r>
          </w:p>
        </w:tc>
        <w:tc>
          <w:tcPr>
            <w:tcW w:w="1559" w:type="dxa"/>
            <w:vAlign w:val="center"/>
          </w:tcPr>
          <w:p>
            <w:pPr>
              <w:pStyle w:val="14"/>
            </w:pPr>
            <w:r>
              <w:t>事业运行</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223</w:t>
            </w:r>
          </w:p>
        </w:tc>
        <w:tc>
          <w:tcPr>
            <w:tcW w:w="1559" w:type="dxa"/>
            <w:vAlign w:val="center"/>
          </w:tcPr>
          <w:p>
            <w:pPr>
              <w:pStyle w:val="14"/>
            </w:pPr>
            <w:r>
              <w:t>国有资本经营预算支出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22303</w:t>
            </w:r>
          </w:p>
        </w:tc>
        <w:tc>
          <w:tcPr>
            <w:tcW w:w="1559" w:type="dxa"/>
            <w:vAlign w:val="center"/>
          </w:tcPr>
          <w:p>
            <w:pPr>
              <w:pStyle w:val="14"/>
            </w:pPr>
            <w:r>
              <w:t>国有企业政策性补贴</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2230301</w:t>
            </w:r>
          </w:p>
        </w:tc>
        <w:tc>
          <w:tcPr>
            <w:tcW w:w="1559" w:type="dxa"/>
            <w:vAlign w:val="center"/>
          </w:tcPr>
          <w:p>
            <w:pPr>
              <w:pStyle w:val="14"/>
            </w:pPr>
            <w:r>
              <w:t>国有企业政策性补贴</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432.20</w:t>
            </w:r>
          </w:p>
        </w:tc>
        <w:tc>
          <w:tcPr>
            <w:tcW w:w="1361" w:type="dxa"/>
            <w:vAlign w:val="center"/>
          </w:tcPr>
          <w:p>
            <w:pPr>
              <w:pStyle w:val="17"/>
            </w:pPr>
          </w:p>
        </w:tc>
        <w:tc>
          <w:tcPr>
            <w:tcW w:w="1361" w:type="dxa"/>
            <w:vAlign w:val="center"/>
          </w:tcPr>
          <w:p>
            <w:pPr>
              <w:pStyle w:val="17"/>
            </w:pPr>
            <w:r>
              <w:t>432.20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423.20</w:t>
            </w:r>
          </w:p>
        </w:tc>
        <w:tc>
          <w:tcPr>
            <w:tcW w:w="1361" w:type="dxa"/>
            <w:vAlign w:val="center"/>
          </w:tcPr>
          <w:p>
            <w:pPr>
              <w:pStyle w:val="13"/>
            </w:pPr>
          </w:p>
        </w:tc>
        <w:tc>
          <w:tcPr>
            <w:tcW w:w="1361" w:type="dxa"/>
            <w:vAlign w:val="center"/>
          </w:tcPr>
          <w:p>
            <w:pPr>
              <w:pStyle w:val="13"/>
            </w:pPr>
            <w:r>
              <w:t>423.20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418.20</w:t>
            </w:r>
          </w:p>
        </w:tc>
        <w:tc>
          <w:tcPr>
            <w:tcW w:w="1361" w:type="dxa"/>
            <w:vAlign w:val="center"/>
          </w:tcPr>
          <w:p>
            <w:pPr>
              <w:pStyle w:val="13"/>
            </w:pPr>
          </w:p>
        </w:tc>
        <w:tc>
          <w:tcPr>
            <w:tcW w:w="1361" w:type="dxa"/>
            <w:vAlign w:val="center"/>
          </w:tcPr>
          <w:p>
            <w:pPr>
              <w:pStyle w:val="13"/>
            </w:pPr>
            <w:r>
              <w:t>418.20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2010602</w:t>
            </w:r>
          </w:p>
        </w:tc>
        <w:tc>
          <w:tcPr>
            <w:tcW w:w="4535" w:type="dxa"/>
            <w:vAlign w:val="center"/>
          </w:tcPr>
          <w:p>
            <w:pPr>
              <w:pStyle w:val="14"/>
            </w:pPr>
            <w:r>
              <w:t>一般行政管理事务</w:t>
            </w:r>
          </w:p>
        </w:tc>
        <w:tc>
          <w:tcPr>
            <w:tcW w:w="1361" w:type="dxa"/>
            <w:vAlign w:val="center"/>
          </w:tcPr>
          <w:p>
            <w:pPr>
              <w:pStyle w:val="13"/>
            </w:pPr>
            <w:r>
              <w:t>25.20</w:t>
            </w:r>
          </w:p>
        </w:tc>
        <w:tc>
          <w:tcPr>
            <w:tcW w:w="1361" w:type="dxa"/>
            <w:vAlign w:val="center"/>
          </w:tcPr>
          <w:p>
            <w:pPr>
              <w:pStyle w:val="13"/>
            </w:pPr>
          </w:p>
        </w:tc>
        <w:tc>
          <w:tcPr>
            <w:tcW w:w="1361" w:type="dxa"/>
            <w:vAlign w:val="center"/>
          </w:tcPr>
          <w:p>
            <w:pPr>
              <w:pStyle w:val="13"/>
            </w:pPr>
            <w:r>
              <w:t>25.20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2010699</w:t>
            </w:r>
          </w:p>
        </w:tc>
        <w:tc>
          <w:tcPr>
            <w:tcW w:w="4535" w:type="dxa"/>
            <w:vAlign w:val="center"/>
          </w:tcPr>
          <w:p>
            <w:pPr>
              <w:pStyle w:val="14"/>
            </w:pPr>
            <w:r>
              <w:t>其他财政事务支出</w:t>
            </w:r>
          </w:p>
        </w:tc>
        <w:tc>
          <w:tcPr>
            <w:tcW w:w="1361" w:type="dxa"/>
            <w:vAlign w:val="center"/>
          </w:tcPr>
          <w:p>
            <w:pPr>
              <w:pStyle w:val="13"/>
            </w:pPr>
            <w:r>
              <w:t>390.00</w:t>
            </w:r>
          </w:p>
        </w:tc>
        <w:tc>
          <w:tcPr>
            <w:tcW w:w="1361" w:type="dxa"/>
            <w:vAlign w:val="center"/>
          </w:tcPr>
          <w:p>
            <w:pPr>
              <w:pStyle w:val="13"/>
            </w:pPr>
          </w:p>
        </w:tc>
        <w:tc>
          <w:tcPr>
            <w:tcW w:w="1361" w:type="dxa"/>
            <w:vAlign w:val="center"/>
          </w:tcPr>
          <w:p>
            <w:pPr>
              <w:pStyle w:val="13"/>
            </w:pPr>
            <w:r>
              <w:t>390.00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2013650</w:t>
            </w:r>
          </w:p>
        </w:tc>
        <w:tc>
          <w:tcPr>
            <w:tcW w:w="4535" w:type="dxa"/>
            <w:vAlign w:val="center"/>
          </w:tcPr>
          <w:p>
            <w:pPr>
              <w:pStyle w:val="14"/>
            </w:pPr>
            <w:r>
              <w:t>事业运行</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223</w:t>
            </w:r>
          </w:p>
        </w:tc>
        <w:tc>
          <w:tcPr>
            <w:tcW w:w="4535" w:type="dxa"/>
            <w:vAlign w:val="center"/>
          </w:tcPr>
          <w:p>
            <w:pPr>
              <w:pStyle w:val="14"/>
            </w:pPr>
            <w:r>
              <w:t>国有资本经营预算支出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22303</w:t>
            </w:r>
          </w:p>
        </w:tc>
        <w:tc>
          <w:tcPr>
            <w:tcW w:w="4535" w:type="dxa"/>
            <w:vAlign w:val="center"/>
          </w:tcPr>
          <w:p>
            <w:pPr>
              <w:pStyle w:val="14"/>
            </w:pPr>
            <w:r>
              <w:t>国有企业政策性补贴</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2230301</w:t>
            </w:r>
          </w:p>
        </w:tc>
        <w:tc>
          <w:tcPr>
            <w:tcW w:w="4535" w:type="dxa"/>
            <w:vAlign w:val="center"/>
          </w:tcPr>
          <w:p>
            <w:pPr>
              <w:pStyle w:val="14"/>
            </w:pPr>
            <w:r>
              <w:t>国有企业政策性补贴</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423.20</w:t>
            </w:r>
          </w:p>
        </w:tc>
        <w:tc>
          <w:tcPr>
            <w:tcW w:w="3402" w:type="dxa"/>
            <w:vAlign w:val="center"/>
          </w:tcPr>
          <w:p>
            <w:pPr>
              <w:pStyle w:val="14"/>
            </w:pPr>
            <w:r>
              <w:t>一、一般公共服务支出</w:t>
            </w:r>
          </w:p>
        </w:tc>
        <w:tc>
          <w:tcPr>
            <w:tcW w:w="1474" w:type="dxa"/>
            <w:vAlign w:val="center"/>
          </w:tcPr>
          <w:p>
            <w:pPr>
              <w:pStyle w:val="13"/>
            </w:pPr>
            <w:r>
              <w:t>423.20</w:t>
            </w:r>
          </w:p>
        </w:tc>
        <w:tc>
          <w:tcPr>
            <w:tcW w:w="1474" w:type="dxa"/>
            <w:vAlign w:val="center"/>
          </w:tcPr>
          <w:p>
            <w:pPr>
              <w:pStyle w:val="13"/>
            </w:pPr>
            <w:r>
              <w:t>423.20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r>
              <w:t>9.00</w:t>
            </w: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r>
              <w:t>9.00</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432.20</w:t>
            </w:r>
          </w:p>
        </w:tc>
        <w:tc>
          <w:tcPr>
            <w:tcW w:w="3402" w:type="dxa"/>
            <w:vAlign w:val="center"/>
          </w:tcPr>
          <w:p>
            <w:pPr>
              <w:pStyle w:val="16"/>
            </w:pPr>
            <w:r>
              <w:t>本年支出合计</w:t>
            </w:r>
          </w:p>
        </w:tc>
        <w:tc>
          <w:tcPr>
            <w:tcW w:w="1474" w:type="dxa"/>
            <w:vAlign w:val="center"/>
          </w:tcPr>
          <w:p>
            <w:pPr>
              <w:pStyle w:val="17"/>
            </w:pPr>
            <w:r>
              <w:t>432.20</w:t>
            </w:r>
          </w:p>
        </w:tc>
        <w:tc>
          <w:tcPr>
            <w:tcW w:w="1474" w:type="dxa"/>
            <w:vAlign w:val="center"/>
          </w:tcPr>
          <w:p>
            <w:pPr>
              <w:pStyle w:val="17"/>
            </w:pPr>
            <w:r>
              <w:t>423.20</w:t>
            </w:r>
          </w:p>
        </w:tc>
        <w:tc>
          <w:tcPr>
            <w:tcW w:w="1474" w:type="dxa"/>
            <w:vAlign w:val="center"/>
          </w:tcPr>
          <w:p>
            <w:pPr>
              <w:pStyle w:val="17"/>
            </w:pPr>
          </w:p>
        </w:tc>
        <w:tc>
          <w:tcPr>
            <w:tcW w:w="1474"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432.20</w:t>
            </w:r>
          </w:p>
        </w:tc>
        <w:tc>
          <w:tcPr>
            <w:tcW w:w="3402" w:type="dxa"/>
            <w:vAlign w:val="center"/>
          </w:tcPr>
          <w:p>
            <w:pPr>
              <w:pStyle w:val="16"/>
            </w:pPr>
            <w:r>
              <w:t>支出总计</w:t>
            </w:r>
          </w:p>
        </w:tc>
        <w:tc>
          <w:tcPr>
            <w:tcW w:w="1474" w:type="dxa"/>
            <w:vAlign w:val="center"/>
          </w:tcPr>
          <w:p>
            <w:pPr>
              <w:pStyle w:val="17"/>
            </w:pPr>
            <w:r>
              <w:t>432.20</w:t>
            </w:r>
          </w:p>
        </w:tc>
        <w:tc>
          <w:tcPr>
            <w:tcW w:w="1474" w:type="dxa"/>
            <w:vAlign w:val="center"/>
          </w:tcPr>
          <w:p>
            <w:pPr>
              <w:pStyle w:val="17"/>
            </w:pPr>
            <w:r>
              <w:t>423.20</w:t>
            </w:r>
          </w:p>
        </w:tc>
        <w:tc>
          <w:tcPr>
            <w:tcW w:w="1474" w:type="dxa"/>
            <w:vAlign w:val="center"/>
          </w:tcPr>
          <w:p>
            <w:pPr>
              <w:pStyle w:val="17"/>
            </w:pPr>
          </w:p>
        </w:tc>
        <w:tc>
          <w:tcPr>
            <w:tcW w:w="1474" w:type="dxa"/>
            <w:vAlign w:val="center"/>
          </w:tcPr>
          <w:p>
            <w:pPr>
              <w:pStyle w:val="17"/>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423.20</w:t>
            </w:r>
          </w:p>
        </w:tc>
        <w:tc>
          <w:tcPr>
            <w:tcW w:w="2551" w:type="dxa"/>
            <w:vAlign w:val="center"/>
          </w:tcPr>
          <w:p>
            <w:pPr>
              <w:pStyle w:val="17"/>
            </w:pPr>
          </w:p>
        </w:tc>
        <w:tc>
          <w:tcPr>
            <w:tcW w:w="2551" w:type="dxa"/>
            <w:vAlign w:val="center"/>
          </w:tcPr>
          <w:p>
            <w:pPr>
              <w:pStyle w:val="17"/>
            </w:pPr>
            <w:r>
              <w:t>423.20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423.20</w:t>
            </w:r>
          </w:p>
        </w:tc>
        <w:tc>
          <w:tcPr>
            <w:tcW w:w="2551" w:type="dxa"/>
            <w:vAlign w:val="center"/>
          </w:tcPr>
          <w:p>
            <w:pPr>
              <w:pStyle w:val="13"/>
            </w:pPr>
          </w:p>
        </w:tc>
        <w:tc>
          <w:tcPr>
            <w:tcW w:w="2551" w:type="dxa"/>
            <w:vAlign w:val="center"/>
          </w:tcPr>
          <w:p>
            <w:pPr>
              <w:pStyle w:val="13"/>
            </w:pPr>
            <w:r>
              <w:t>423.20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418.20</w:t>
            </w:r>
          </w:p>
        </w:tc>
        <w:tc>
          <w:tcPr>
            <w:tcW w:w="2551" w:type="dxa"/>
            <w:vAlign w:val="center"/>
          </w:tcPr>
          <w:p>
            <w:pPr>
              <w:pStyle w:val="13"/>
            </w:pPr>
          </w:p>
        </w:tc>
        <w:tc>
          <w:tcPr>
            <w:tcW w:w="2551" w:type="dxa"/>
            <w:vAlign w:val="center"/>
          </w:tcPr>
          <w:p>
            <w:pPr>
              <w:pStyle w:val="13"/>
            </w:pPr>
            <w:r>
              <w:t>418.20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2010602</w:t>
            </w:r>
          </w:p>
        </w:tc>
        <w:tc>
          <w:tcPr>
            <w:tcW w:w="4535" w:type="dxa"/>
            <w:vAlign w:val="center"/>
          </w:tcPr>
          <w:p>
            <w:pPr>
              <w:pStyle w:val="14"/>
            </w:pPr>
            <w:r>
              <w:t>一般行政管理事务</w:t>
            </w:r>
          </w:p>
        </w:tc>
        <w:tc>
          <w:tcPr>
            <w:tcW w:w="2551" w:type="dxa"/>
            <w:vAlign w:val="center"/>
          </w:tcPr>
          <w:p>
            <w:pPr>
              <w:pStyle w:val="13"/>
            </w:pPr>
            <w:r>
              <w:t>25.20</w:t>
            </w:r>
          </w:p>
        </w:tc>
        <w:tc>
          <w:tcPr>
            <w:tcW w:w="2551" w:type="dxa"/>
            <w:vAlign w:val="center"/>
          </w:tcPr>
          <w:p>
            <w:pPr>
              <w:pStyle w:val="13"/>
            </w:pPr>
          </w:p>
        </w:tc>
        <w:tc>
          <w:tcPr>
            <w:tcW w:w="2551"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2010699</w:t>
            </w:r>
          </w:p>
        </w:tc>
        <w:tc>
          <w:tcPr>
            <w:tcW w:w="4535" w:type="dxa"/>
            <w:vAlign w:val="center"/>
          </w:tcPr>
          <w:p>
            <w:pPr>
              <w:pStyle w:val="14"/>
            </w:pPr>
            <w:r>
              <w:t>其他财政事务支出</w:t>
            </w:r>
          </w:p>
        </w:tc>
        <w:tc>
          <w:tcPr>
            <w:tcW w:w="2551" w:type="dxa"/>
            <w:vAlign w:val="center"/>
          </w:tcPr>
          <w:p>
            <w:pPr>
              <w:pStyle w:val="13"/>
            </w:pPr>
            <w:r>
              <w:t>390.00</w:t>
            </w:r>
          </w:p>
        </w:tc>
        <w:tc>
          <w:tcPr>
            <w:tcW w:w="2551" w:type="dxa"/>
            <w:vAlign w:val="center"/>
          </w:tcPr>
          <w:p>
            <w:pPr>
              <w:pStyle w:val="13"/>
            </w:pPr>
          </w:p>
        </w:tc>
        <w:tc>
          <w:tcPr>
            <w:tcW w:w="2551" w:type="dxa"/>
            <w:vAlign w:val="center"/>
          </w:tcPr>
          <w:p>
            <w:pPr>
              <w:pStyle w:val="13"/>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2013650</w:t>
            </w:r>
          </w:p>
        </w:tc>
        <w:tc>
          <w:tcPr>
            <w:tcW w:w="4535" w:type="dxa"/>
            <w:vAlign w:val="center"/>
          </w:tcPr>
          <w:p>
            <w:pPr>
              <w:pStyle w:val="14"/>
            </w:pPr>
            <w:r>
              <w:t>事业运行</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9.00</w:t>
            </w:r>
          </w:p>
        </w:tc>
        <w:tc>
          <w:tcPr>
            <w:tcW w:w="2551" w:type="dxa"/>
            <w:vAlign w:val="center"/>
          </w:tcPr>
          <w:p>
            <w:pPr>
              <w:pStyle w:val="17"/>
            </w:pPr>
          </w:p>
        </w:tc>
        <w:tc>
          <w:tcPr>
            <w:tcW w:w="2551"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223</w:t>
            </w:r>
          </w:p>
        </w:tc>
        <w:tc>
          <w:tcPr>
            <w:tcW w:w="4535" w:type="dxa"/>
            <w:vAlign w:val="center"/>
          </w:tcPr>
          <w:p>
            <w:pPr>
              <w:pStyle w:val="14"/>
            </w:pPr>
            <w:r>
              <w:t>国有资本经营预算支出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22303</w:t>
            </w:r>
          </w:p>
        </w:tc>
        <w:tc>
          <w:tcPr>
            <w:tcW w:w="4535" w:type="dxa"/>
            <w:vAlign w:val="center"/>
          </w:tcPr>
          <w:p>
            <w:pPr>
              <w:pStyle w:val="14"/>
            </w:pPr>
            <w:r>
              <w:t>国有企业政策性补贴</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2230301</w:t>
            </w:r>
          </w:p>
        </w:tc>
        <w:tc>
          <w:tcPr>
            <w:tcW w:w="4535" w:type="dxa"/>
            <w:vAlign w:val="center"/>
          </w:tcPr>
          <w:p>
            <w:pPr>
              <w:pStyle w:val="14"/>
            </w:pPr>
            <w:r>
              <w:t>国有企业政策性补贴</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宁晋县国有企业综合服务中心2023年部门预算信息公开情况说明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宁晋县国有企业综合服务中心2023年部门预算信息公开情况说明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、《地方预决算公开操作规程》和《关于进一步推进预算公开工作的实施意见》规定，现将宁晋县国有企业综合服务中心2023年部门预算公开如下：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根据《宁晋县国有企业综合服务中心职能配置、内设机构和人员编制规定》，宁晋县国有企业综合服务中心的主要职责是：</w:t>
      </w:r>
    </w:p>
    <w:p>
      <w:pPr>
        <w:pStyle w:val="19"/>
      </w:pPr>
      <w:r>
        <w:t>宁晋县国有企业综合服务中心主要职责为：</w:t>
      </w:r>
    </w:p>
    <w:p>
      <w:pPr>
        <w:pStyle w:val="19"/>
      </w:pPr>
      <w:r>
        <w:t>1、负责全县国有企业改革发展重大问题、宏观问题以及难点问题的综合研究和对策分析，为国企改革提供政策建议和咨询服务。</w:t>
      </w:r>
    </w:p>
    <w:p>
      <w:pPr>
        <w:pStyle w:val="19"/>
      </w:pPr>
      <w:r>
        <w:t>2、搜集、分析各行业发展信息和重点行业发展趋势，为国有企业布局和结构调整提供技术指导。</w:t>
      </w:r>
    </w:p>
    <w:p>
      <w:pPr>
        <w:pStyle w:val="19"/>
      </w:pPr>
      <w:r>
        <w:t>3、负责国有企业资产的统计分析工作，协助国有企业解决发展中的有关问题。</w:t>
      </w:r>
    </w:p>
    <w:p>
      <w:pPr>
        <w:pStyle w:val="19"/>
      </w:pPr>
      <w:r>
        <w:t>4、承担国有企业资产重大损失调查的服务保障工作，提出有关责任追究的意见建议。</w:t>
      </w:r>
    </w:p>
    <w:p>
      <w:pPr>
        <w:pStyle w:val="19"/>
      </w:pPr>
      <w:r>
        <w:t>5、负责政府投资建设项目代理、代建等事务性工作。</w:t>
      </w:r>
    </w:p>
    <w:p>
      <w:pPr>
        <w:pStyle w:val="19"/>
      </w:pPr>
      <w:r>
        <w:t>6、完成县委、县政府交办的其他任务。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宁晋县国有企业综合服务中心本级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按照预算管理有关规定，目前我省部门预算的编制实行综合预算管理，即全部收入和支出都反映在预算中。宁晋县国有企业综合服务中心机关及所属事业单位的收支包含在部门预算中。</w:t>
      </w:r>
    </w:p>
    <w:p>
      <w:pPr>
        <w:pStyle w:val="20"/>
      </w:pPr>
      <w:r>
        <w:t>2023年国有企业综合服务中心部门预算总收入432.2万元，全部是公共财政预算拨款。2023年国有企业综合服务中心部门预算总支出432.2元，其中，项目支出432.2万元，无人员经费支出和日常公用经费支出。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2023年国有企业综合服务中心部门日常公用经费未作安排。我中心承担服务国有企业管理相关职能，根据三定方案分工安排，财政出资人职能仍由财政局履行，机关运行经费仍由财政局承担。</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一般公共预算财政拨款共计安排我部门2023年度“三公”经费预算额度12.6万元，未安排公务出国经费和公务用车购置及运维费及公务接待费。其中，培训费支出额度12.6万元。“三公”经费同比增长50%。</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围绕做大做强国有企业，实现国有资本保值增值。</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是做好对国有企业的服务和指导，2023年的主要工作目标是对国有企业补短板、强弱项、固底盘，为实现国有企业高质量发展奠定基础。二是解决国有企业自身内生动力不足问题，从思想上实现由“输血”向“造血”的转变，积极打造国有</w:t>
      </w:r>
      <w:r>
        <w:rPr>
          <w:rFonts w:hint="eastAsia"/>
          <w:lang w:eastAsia="zh-CN"/>
        </w:rPr>
        <w:t>企业</w:t>
      </w:r>
      <w:r>
        <w:t>文化。三对标一流企业，向其学习先进的管理经验和企业运营经验，为实现国有企业高质量发展打好理论基础。</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一、加强国有企业培训，增强企业凝聚力和创造力。</w:t>
      </w:r>
    </w:p>
    <w:p>
      <w:pPr>
        <w:pStyle w:val="25"/>
      </w:pPr>
      <w:r>
        <w:t>二、对国有企业员工进行招聘，充实国有企业管理力量，为国有企业高质量发展打好人员基础。</w:t>
      </w:r>
    </w:p>
    <w:p>
      <w:pPr>
        <w:pStyle w:val="25"/>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1、财政厅提前下达2023年国有企业退休人员社会化管理省级财政补助资金冀财资(2022)101号绩效目标表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≥80合格</w:t>
            </w:r>
          </w:p>
        </w:tc>
        <w:tc>
          <w:tcPr>
            <w:tcW w:w="2268" w:type="dxa"/>
            <w:vAlign w:val="center"/>
          </w:tcPr>
          <w:p>
            <w:pPr>
              <w:pStyle w:val="14"/>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≥85合格</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≥95合格</w:t>
            </w:r>
          </w:p>
        </w:tc>
        <w:tc>
          <w:tcPr>
            <w:tcW w:w="2268" w:type="dxa"/>
            <w:vAlign w:val="center"/>
          </w:tcPr>
          <w:p>
            <w:pPr>
              <w:pStyle w:val="14"/>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tc>
        <w:tc>
          <w:tcPr>
            <w:tcW w:w="2551" w:type="dxa"/>
            <w:vAlign w:val="center"/>
          </w:tcPr>
          <w:p>
            <w:pPr>
              <w:pStyle w:val="14"/>
            </w:pPr>
            <w:r>
              <w:t>≥80合格</w:t>
            </w:r>
          </w:p>
        </w:tc>
        <w:tc>
          <w:tcPr>
            <w:tcW w:w="2268"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≥80合格</w:t>
            </w:r>
          </w:p>
        </w:tc>
        <w:tc>
          <w:tcPr>
            <w:tcW w:w="2268"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≥80合格</w:t>
            </w:r>
          </w:p>
        </w:tc>
        <w:tc>
          <w:tcPr>
            <w:tcW w:w="2268" w:type="dxa"/>
            <w:vAlign w:val="center"/>
          </w:tcPr>
          <w:p>
            <w:pPr>
              <w:pStyle w:val="14"/>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老残人员经费保障覆盖率</w:t>
            </w:r>
          </w:p>
        </w:tc>
        <w:tc>
          <w:tcPr>
            <w:tcW w:w="2835" w:type="dxa"/>
            <w:vAlign w:val="center"/>
          </w:tcPr>
          <w:p>
            <w:pPr>
              <w:pStyle w:val="14"/>
            </w:pPr>
            <w:r>
              <w:t>老残人员经费保障覆盖率</w:t>
            </w:r>
          </w:p>
        </w:tc>
        <w:tc>
          <w:tcPr>
            <w:tcW w:w="2551" w:type="dxa"/>
            <w:vAlign w:val="center"/>
          </w:tcPr>
          <w:p>
            <w:pPr>
              <w:pStyle w:val="14"/>
            </w:pPr>
            <w:r>
              <w:t>≥80合格</w:t>
            </w:r>
          </w:p>
        </w:tc>
        <w:tc>
          <w:tcPr>
            <w:tcW w:w="2268" w:type="dxa"/>
            <w:vAlign w:val="center"/>
          </w:tcPr>
          <w:p>
            <w:pPr>
              <w:pStyle w:val="14"/>
            </w:pPr>
            <w:r>
              <w:t>老残人员经费保障覆盖率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≥80合格</w:t>
            </w:r>
          </w:p>
        </w:tc>
        <w:tc>
          <w:tcPr>
            <w:tcW w:w="2268"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≥85合格</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2、代建项目前期管理费绩效目标表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3、党建专项费用绩效目标表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2835" w:type="dxa"/>
            <w:vAlign w:val="center"/>
          </w:tcPr>
          <w:p>
            <w:pPr>
              <w:pStyle w:val="14"/>
            </w:pPr>
            <w:r>
              <w:t>党建及文化建设工作完成率</w:t>
            </w:r>
          </w:p>
        </w:tc>
        <w:tc>
          <w:tcPr>
            <w:tcW w:w="2551" w:type="dxa"/>
            <w:vAlign w:val="center"/>
          </w:tcPr>
          <w:p>
            <w:pPr>
              <w:pStyle w:val="14"/>
            </w:pPr>
            <w:r>
              <w:t>≥95百分比</w:t>
            </w:r>
          </w:p>
        </w:tc>
        <w:tc>
          <w:tcPr>
            <w:tcW w:w="2268" w:type="dxa"/>
            <w:vAlign w:val="center"/>
          </w:tcPr>
          <w:p>
            <w:pPr>
              <w:pStyle w:val="14"/>
            </w:pPr>
            <w:r>
              <w:t>党建及文化建设工作完成率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培训完成率</w:t>
            </w:r>
          </w:p>
        </w:tc>
        <w:tc>
          <w:tcPr>
            <w:tcW w:w="2835" w:type="dxa"/>
            <w:vAlign w:val="center"/>
          </w:tcPr>
          <w:p>
            <w:pPr>
              <w:pStyle w:val="14"/>
            </w:pPr>
            <w:r>
              <w:t>培训完成率</w:t>
            </w:r>
          </w:p>
        </w:tc>
        <w:tc>
          <w:tcPr>
            <w:tcW w:w="2551" w:type="dxa"/>
            <w:vAlign w:val="center"/>
          </w:tcPr>
          <w:p>
            <w:pPr>
              <w:pStyle w:val="14"/>
            </w:pPr>
            <w:r>
              <w:t>≥95 百分比</w:t>
            </w:r>
          </w:p>
        </w:tc>
        <w:tc>
          <w:tcPr>
            <w:tcW w:w="2268" w:type="dxa"/>
            <w:vAlign w:val="center"/>
          </w:tcPr>
          <w:p>
            <w:pPr>
              <w:pStyle w:val="14"/>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2835" w:type="dxa"/>
            <w:vAlign w:val="center"/>
          </w:tcPr>
          <w:p>
            <w:pPr>
              <w:pStyle w:val="14"/>
            </w:pPr>
            <w:r>
              <w:t>开展培训、组织党员活动按年度工作计划比例</w:t>
            </w:r>
          </w:p>
        </w:tc>
        <w:tc>
          <w:tcPr>
            <w:tcW w:w="2551" w:type="dxa"/>
            <w:vAlign w:val="center"/>
          </w:tcPr>
          <w:p>
            <w:pPr>
              <w:pStyle w:val="14"/>
            </w:pPr>
            <w:r>
              <w:t>≥95 百分比</w:t>
            </w:r>
          </w:p>
        </w:tc>
        <w:tc>
          <w:tcPr>
            <w:tcW w:w="2268" w:type="dxa"/>
            <w:vAlign w:val="center"/>
          </w:tcPr>
          <w:p>
            <w:pPr>
              <w:pStyle w:val="14"/>
            </w:pPr>
            <w:r>
              <w:t>开展培训、组织党员活动按年度工作计划比例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 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 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加强党风廉政建设</w:t>
            </w:r>
          </w:p>
        </w:tc>
        <w:tc>
          <w:tcPr>
            <w:tcW w:w="2835" w:type="dxa"/>
            <w:vAlign w:val="center"/>
          </w:tcPr>
          <w:p>
            <w:pPr>
              <w:pStyle w:val="14"/>
            </w:pPr>
            <w:r>
              <w:t>加强党风廉政建设</w:t>
            </w:r>
          </w:p>
        </w:tc>
        <w:tc>
          <w:tcPr>
            <w:tcW w:w="2551" w:type="dxa"/>
            <w:vAlign w:val="center"/>
          </w:tcPr>
          <w:p>
            <w:pPr>
              <w:pStyle w:val="14"/>
            </w:pPr>
            <w:r>
              <w:t>≥95 百分比</w:t>
            </w:r>
          </w:p>
        </w:tc>
        <w:tc>
          <w:tcPr>
            <w:tcW w:w="2268" w:type="dxa"/>
            <w:vAlign w:val="center"/>
          </w:tcPr>
          <w:p>
            <w:pPr>
              <w:pStyle w:val="14"/>
            </w:pPr>
            <w:r>
              <w:t>加强党风廉政建设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 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营造讲党史、感党恩、跟党走的浓</w:t>
            </w:r>
          </w:p>
        </w:tc>
        <w:tc>
          <w:tcPr>
            <w:tcW w:w="2835" w:type="dxa"/>
            <w:vAlign w:val="center"/>
          </w:tcPr>
          <w:p>
            <w:pPr>
              <w:pStyle w:val="14"/>
            </w:pPr>
            <w:r>
              <w:t>营造讲党史、感党恩、跟党走的浓厚氛围</w:t>
            </w:r>
          </w:p>
        </w:tc>
        <w:tc>
          <w:tcPr>
            <w:tcW w:w="2551" w:type="dxa"/>
            <w:vAlign w:val="center"/>
          </w:tcPr>
          <w:p>
            <w:pPr>
              <w:pStyle w:val="14"/>
            </w:pPr>
            <w:r>
              <w:t>≥95 百分比</w:t>
            </w:r>
          </w:p>
        </w:tc>
        <w:tc>
          <w:tcPr>
            <w:tcW w:w="2268" w:type="dxa"/>
            <w:vAlign w:val="center"/>
          </w:tcPr>
          <w:p>
            <w:pPr>
              <w:pStyle w:val="14"/>
            </w:pPr>
            <w:r>
              <w:t>营造讲党史、感党恩、跟党走的浓厚氛围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 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4、国有企业集团资产整合融资评估绩效目标表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5、国有企业及代建中心展板制作、工程项目资料印制、宣传资料等绩效目标表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培训完成率</w:t>
            </w:r>
          </w:p>
        </w:tc>
        <w:tc>
          <w:tcPr>
            <w:tcW w:w="2835" w:type="dxa"/>
            <w:vAlign w:val="center"/>
          </w:tcPr>
          <w:p>
            <w:pPr>
              <w:pStyle w:val="14"/>
            </w:pPr>
            <w:r>
              <w:t>培训完成率</w:t>
            </w:r>
          </w:p>
        </w:tc>
        <w:tc>
          <w:tcPr>
            <w:tcW w:w="2551" w:type="dxa"/>
            <w:vAlign w:val="center"/>
          </w:tcPr>
          <w:p>
            <w:pPr>
              <w:pStyle w:val="14"/>
            </w:pPr>
            <w:r>
              <w:t>≥95 百分比</w:t>
            </w:r>
          </w:p>
        </w:tc>
        <w:tc>
          <w:tcPr>
            <w:tcW w:w="2268" w:type="dxa"/>
            <w:vAlign w:val="center"/>
          </w:tcPr>
          <w:p>
            <w:pPr>
              <w:pStyle w:val="14"/>
            </w:pPr>
            <w:r>
              <w:t xml:space="preserve"> 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 百分比</w:t>
            </w:r>
          </w:p>
        </w:tc>
        <w:tc>
          <w:tcPr>
            <w:tcW w:w="2268" w:type="dxa"/>
            <w:vAlign w:val="center"/>
          </w:tcPr>
          <w:p>
            <w:pPr>
              <w:pStyle w:val="14"/>
            </w:pPr>
            <w:r>
              <w:t xml:space="preserve"> 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 百分比</w:t>
            </w:r>
          </w:p>
        </w:tc>
        <w:tc>
          <w:tcPr>
            <w:tcW w:w="2268" w:type="dxa"/>
            <w:vAlign w:val="center"/>
          </w:tcPr>
          <w:p>
            <w:pPr>
              <w:pStyle w:val="14"/>
            </w:pPr>
            <w:r>
              <w:t xml:space="preserve"> 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 百分比</w:t>
            </w:r>
          </w:p>
        </w:tc>
        <w:tc>
          <w:tcPr>
            <w:tcW w:w="2268" w:type="dxa"/>
            <w:vAlign w:val="center"/>
          </w:tcPr>
          <w:p>
            <w:pPr>
              <w:pStyle w:val="14"/>
            </w:pPr>
            <w:r>
              <w:t xml:space="preserve"> 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 百分比</w:t>
            </w:r>
          </w:p>
        </w:tc>
        <w:tc>
          <w:tcPr>
            <w:tcW w:w="2268" w:type="dxa"/>
            <w:vAlign w:val="center"/>
          </w:tcPr>
          <w:p>
            <w:pPr>
              <w:pStyle w:val="14"/>
            </w:pPr>
            <w:r>
              <w:t xml:space="preserve"> 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 百分比</w:t>
            </w:r>
          </w:p>
        </w:tc>
        <w:tc>
          <w:tcPr>
            <w:tcW w:w="2268" w:type="dxa"/>
            <w:vAlign w:val="center"/>
          </w:tcPr>
          <w:p>
            <w:pPr>
              <w:pStyle w:val="14"/>
            </w:pPr>
            <w:r>
              <w:t xml:space="preserve"> 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 百分比</w:t>
            </w:r>
          </w:p>
        </w:tc>
        <w:tc>
          <w:tcPr>
            <w:tcW w:w="2268" w:type="dxa"/>
            <w:vAlign w:val="center"/>
          </w:tcPr>
          <w:p>
            <w:pPr>
              <w:pStyle w:val="14"/>
            </w:pPr>
            <w:r>
              <w:t xml:space="preserve"> 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 百分比</w:t>
            </w:r>
          </w:p>
        </w:tc>
        <w:tc>
          <w:tcPr>
            <w:tcW w:w="2268" w:type="dxa"/>
            <w:vAlign w:val="center"/>
          </w:tcPr>
          <w:p>
            <w:pPr>
              <w:pStyle w:val="14"/>
            </w:pPr>
            <w:r>
              <w:t xml:space="preserve"> 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6、国有企业年度审计费和合并财务报表绩效目标表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审计计划完成率</w:t>
            </w:r>
          </w:p>
        </w:tc>
        <w:tc>
          <w:tcPr>
            <w:tcW w:w="2835" w:type="dxa"/>
            <w:vAlign w:val="center"/>
          </w:tcPr>
          <w:p>
            <w:pPr>
              <w:pStyle w:val="14"/>
            </w:pPr>
            <w:r>
              <w:t>审计计划完成率</w:t>
            </w:r>
          </w:p>
        </w:tc>
        <w:tc>
          <w:tcPr>
            <w:tcW w:w="2551" w:type="dxa"/>
            <w:vAlign w:val="center"/>
          </w:tcPr>
          <w:p>
            <w:pPr>
              <w:pStyle w:val="14"/>
            </w:pPr>
            <w:r>
              <w:t>≥95百分比</w:t>
            </w:r>
          </w:p>
        </w:tc>
        <w:tc>
          <w:tcPr>
            <w:tcW w:w="2268" w:type="dxa"/>
            <w:vAlign w:val="center"/>
          </w:tcPr>
          <w:p>
            <w:pPr>
              <w:pStyle w:val="14"/>
            </w:pPr>
            <w:r>
              <w:t>审计计划完成率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项目实际成本</w:t>
            </w:r>
          </w:p>
        </w:tc>
        <w:tc>
          <w:tcPr>
            <w:tcW w:w="2551" w:type="dxa"/>
            <w:vAlign w:val="center"/>
          </w:tcPr>
          <w:p>
            <w:pPr>
              <w:pStyle w:val="14"/>
            </w:pPr>
            <w:r>
              <w:t>≥95百分比</w:t>
            </w:r>
          </w:p>
        </w:tc>
        <w:tc>
          <w:tcPr>
            <w:tcW w:w="2268"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强化国有资产管理</w:t>
            </w:r>
          </w:p>
        </w:tc>
        <w:tc>
          <w:tcPr>
            <w:tcW w:w="2835" w:type="dxa"/>
            <w:vAlign w:val="center"/>
          </w:tcPr>
          <w:p>
            <w:pPr>
              <w:pStyle w:val="14"/>
            </w:pPr>
            <w:r>
              <w:t>可持续影响的效果</w:t>
            </w:r>
          </w:p>
        </w:tc>
        <w:tc>
          <w:tcPr>
            <w:tcW w:w="2551" w:type="dxa"/>
            <w:vAlign w:val="center"/>
          </w:tcPr>
          <w:p>
            <w:pPr>
              <w:pStyle w:val="14"/>
            </w:pPr>
            <w:r>
              <w:t>≥95百分比</w:t>
            </w:r>
          </w:p>
        </w:tc>
        <w:tc>
          <w:tcPr>
            <w:tcW w:w="2268" w:type="dxa"/>
            <w:vAlign w:val="center"/>
          </w:tcPr>
          <w:p>
            <w:pPr>
              <w:pStyle w:val="14"/>
            </w:pPr>
            <w:r>
              <w:t>可持续影响的效果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7、国有企业人员培训绩效目标表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培训计划按期完成率（%）</w:t>
            </w:r>
          </w:p>
        </w:tc>
        <w:tc>
          <w:tcPr>
            <w:tcW w:w="2835" w:type="dxa"/>
            <w:vAlign w:val="center"/>
          </w:tcPr>
          <w:p>
            <w:pPr>
              <w:pStyle w:val="14"/>
            </w:pPr>
            <w:r>
              <w:t>培训计划按期完成率（%）</w:t>
            </w:r>
          </w:p>
        </w:tc>
        <w:tc>
          <w:tcPr>
            <w:tcW w:w="2551" w:type="dxa"/>
            <w:vAlign w:val="center"/>
          </w:tcPr>
          <w:p>
            <w:pPr>
              <w:pStyle w:val="14"/>
            </w:pPr>
            <w:r>
              <w:t>≥95百分比</w:t>
            </w:r>
          </w:p>
        </w:tc>
        <w:tc>
          <w:tcPr>
            <w:tcW w:w="2268" w:type="dxa"/>
            <w:vAlign w:val="center"/>
          </w:tcPr>
          <w:p>
            <w:pPr>
              <w:pStyle w:val="14"/>
            </w:pPr>
            <w:r>
              <w:t>培训计划按期完成率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培训完成率</w:t>
            </w:r>
          </w:p>
        </w:tc>
        <w:tc>
          <w:tcPr>
            <w:tcW w:w="2835" w:type="dxa"/>
            <w:vAlign w:val="center"/>
          </w:tcPr>
          <w:p>
            <w:pPr>
              <w:pStyle w:val="14"/>
            </w:pPr>
            <w:r>
              <w:t>培训完成率</w:t>
            </w:r>
          </w:p>
        </w:tc>
        <w:tc>
          <w:tcPr>
            <w:tcW w:w="2551" w:type="dxa"/>
            <w:vAlign w:val="center"/>
          </w:tcPr>
          <w:p>
            <w:pPr>
              <w:pStyle w:val="14"/>
            </w:pPr>
            <w:r>
              <w:t>≥95百分比</w:t>
            </w:r>
          </w:p>
        </w:tc>
        <w:tc>
          <w:tcPr>
            <w:tcW w:w="2268" w:type="dxa"/>
            <w:vAlign w:val="center"/>
          </w:tcPr>
          <w:p>
            <w:pPr>
              <w:pStyle w:val="14"/>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培训及时性</w:t>
            </w:r>
          </w:p>
        </w:tc>
        <w:tc>
          <w:tcPr>
            <w:tcW w:w="2835" w:type="dxa"/>
            <w:vAlign w:val="center"/>
          </w:tcPr>
          <w:p>
            <w:pPr>
              <w:pStyle w:val="14"/>
            </w:pPr>
            <w:r>
              <w:t>培训及时性</w:t>
            </w:r>
          </w:p>
        </w:tc>
        <w:tc>
          <w:tcPr>
            <w:tcW w:w="2551" w:type="dxa"/>
            <w:vAlign w:val="center"/>
          </w:tcPr>
          <w:p>
            <w:pPr>
              <w:pStyle w:val="14"/>
            </w:pPr>
            <w:r>
              <w:t>≥95百分比</w:t>
            </w:r>
          </w:p>
        </w:tc>
        <w:tc>
          <w:tcPr>
            <w:tcW w:w="2268" w:type="dxa"/>
            <w:vAlign w:val="center"/>
          </w:tcPr>
          <w:p>
            <w:pPr>
              <w:pStyle w:val="14"/>
            </w:pPr>
            <w:r>
              <w:t>培训及时性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培训标准</w:t>
            </w:r>
          </w:p>
        </w:tc>
        <w:tc>
          <w:tcPr>
            <w:tcW w:w="2835" w:type="dxa"/>
            <w:vAlign w:val="center"/>
          </w:tcPr>
          <w:p>
            <w:pPr>
              <w:pStyle w:val="14"/>
            </w:pPr>
            <w:r>
              <w:t>培训标准</w:t>
            </w:r>
          </w:p>
        </w:tc>
        <w:tc>
          <w:tcPr>
            <w:tcW w:w="2551" w:type="dxa"/>
            <w:vAlign w:val="center"/>
          </w:tcPr>
          <w:p>
            <w:pPr>
              <w:pStyle w:val="14"/>
            </w:pPr>
            <w:r>
              <w:t>≥95百分比</w:t>
            </w:r>
          </w:p>
        </w:tc>
        <w:tc>
          <w:tcPr>
            <w:tcW w:w="2268" w:type="dxa"/>
            <w:vAlign w:val="center"/>
          </w:tcPr>
          <w:p>
            <w:pPr>
              <w:pStyle w:val="14"/>
            </w:pPr>
            <w:r>
              <w:t>培训标准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培训工作经济效益提升</w:t>
            </w:r>
          </w:p>
        </w:tc>
        <w:tc>
          <w:tcPr>
            <w:tcW w:w="2835" w:type="dxa"/>
            <w:vAlign w:val="center"/>
          </w:tcPr>
          <w:p>
            <w:pPr>
              <w:pStyle w:val="14"/>
            </w:pPr>
            <w:r>
              <w:t>培训工作经济效益提升</w:t>
            </w:r>
          </w:p>
        </w:tc>
        <w:tc>
          <w:tcPr>
            <w:tcW w:w="2551" w:type="dxa"/>
            <w:vAlign w:val="center"/>
          </w:tcPr>
          <w:p>
            <w:pPr>
              <w:pStyle w:val="14"/>
            </w:pPr>
            <w:r>
              <w:t>≥95百分比</w:t>
            </w:r>
          </w:p>
        </w:tc>
        <w:tc>
          <w:tcPr>
            <w:tcW w:w="2268" w:type="dxa"/>
            <w:vAlign w:val="center"/>
          </w:tcPr>
          <w:p>
            <w:pPr>
              <w:pStyle w:val="14"/>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培训合规率</w:t>
            </w:r>
          </w:p>
        </w:tc>
        <w:tc>
          <w:tcPr>
            <w:tcW w:w="2835" w:type="dxa"/>
            <w:vAlign w:val="center"/>
          </w:tcPr>
          <w:p>
            <w:pPr>
              <w:pStyle w:val="14"/>
            </w:pPr>
            <w:r>
              <w:t>培训合规率</w:t>
            </w:r>
          </w:p>
        </w:tc>
        <w:tc>
          <w:tcPr>
            <w:tcW w:w="2551" w:type="dxa"/>
            <w:vAlign w:val="center"/>
          </w:tcPr>
          <w:p>
            <w:pPr>
              <w:pStyle w:val="14"/>
            </w:pPr>
            <w:r>
              <w:t>≥95百分比</w:t>
            </w:r>
          </w:p>
        </w:tc>
        <w:tc>
          <w:tcPr>
            <w:tcW w:w="2268" w:type="dxa"/>
            <w:vAlign w:val="center"/>
          </w:tcPr>
          <w:p>
            <w:pPr>
              <w:pStyle w:val="14"/>
            </w:pPr>
            <w:r>
              <w:t>培训合规率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≥95百分比</w:t>
            </w:r>
          </w:p>
        </w:tc>
        <w:tc>
          <w:tcPr>
            <w:tcW w:w="2268" w:type="dxa"/>
            <w:vAlign w:val="center"/>
          </w:tcPr>
          <w:p>
            <w:pPr>
              <w:pStyle w:val="14"/>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8、国有企业相关法律、会计事务咨询绩效目标表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法律服务质量</w:t>
            </w:r>
          </w:p>
        </w:tc>
        <w:tc>
          <w:tcPr>
            <w:tcW w:w="2835" w:type="dxa"/>
            <w:vAlign w:val="center"/>
          </w:tcPr>
          <w:p>
            <w:pPr>
              <w:pStyle w:val="14"/>
            </w:pPr>
            <w:r>
              <w:t>法律服务质量</w:t>
            </w:r>
          </w:p>
        </w:tc>
        <w:tc>
          <w:tcPr>
            <w:tcW w:w="2551" w:type="dxa"/>
            <w:vAlign w:val="center"/>
          </w:tcPr>
          <w:p>
            <w:pPr>
              <w:pStyle w:val="14"/>
            </w:pPr>
            <w:r>
              <w:t>≥95百分比</w:t>
            </w:r>
          </w:p>
        </w:tc>
        <w:tc>
          <w:tcPr>
            <w:tcW w:w="2268" w:type="dxa"/>
            <w:vAlign w:val="center"/>
          </w:tcPr>
          <w:p>
            <w:pPr>
              <w:pStyle w:val="14"/>
            </w:pPr>
            <w:r>
              <w:t>法律服务质量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9、国资委提前下达2023年国有企业退休人员社会化管理补助资金冀财资（2022）94号绩效目标表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≥80合格</w:t>
            </w:r>
          </w:p>
        </w:tc>
        <w:tc>
          <w:tcPr>
            <w:tcW w:w="2268" w:type="dxa"/>
            <w:vAlign w:val="center"/>
          </w:tcPr>
          <w:p>
            <w:pPr>
              <w:pStyle w:val="14"/>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≥85合格</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≥95合格</w:t>
            </w:r>
          </w:p>
        </w:tc>
        <w:tc>
          <w:tcPr>
            <w:tcW w:w="2268" w:type="dxa"/>
            <w:vAlign w:val="center"/>
          </w:tcPr>
          <w:p>
            <w:pPr>
              <w:pStyle w:val="14"/>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≤20合格</w:t>
            </w:r>
          </w:p>
        </w:tc>
        <w:tc>
          <w:tcPr>
            <w:tcW w:w="2268"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≥75合格</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≥5合格</w:t>
            </w:r>
          </w:p>
        </w:tc>
        <w:tc>
          <w:tcPr>
            <w:tcW w:w="2268" w:type="dxa"/>
            <w:vAlign w:val="center"/>
          </w:tcPr>
          <w:p>
            <w:pPr>
              <w:pStyle w:val="14"/>
            </w:pPr>
            <w:r>
              <w:t>提供服务次数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老残人员经费保障覆盖率</w:t>
            </w:r>
          </w:p>
        </w:tc>
        <w:tc>
          <w:tcPr>
            <w:tcW w:w="2835" w:type="dxa"/>
            <w:vAlign w:val="center"/>
          </w:tcPr>
          <w:p>
            <w:pPr>
              <w:pStyle w:val="14"/>
            </w:pPr>
            <w:r>
              <w:t>老残人员经费保障覆盖率</w:t>
            </w:r>
          </w:p>
        </w:tc>
        <w:tc>
          <w:tcPr>
            <w:tcW w:w="2551" w:type="dxa"/>
            <w:vAlign w:val="center"/>
          </w:tcPr>
          <w:p>
            <w:pPr>
              <w:pStyle w:val="14"/>
            </w:pPr>
            <w:r>
              <w:t>≥80合格</w:t>
            </w:r>
          </w:p>
        </w:tc>
        <w:tc>
          <w:tcPr>
            <w:tcW w:w="2268" w:type="dxa"/>
            <w:vAlign w:val="center"/>
          </w:tcPr>
          <w:p>
            <w:pPr>
              <w:pStyle w:val="14"/>
            </w:pPr>
            <w:r>
              <w:t>老残人员经费保障覆盖率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≥80合格</w:t>
            </w:r>
          </w:p>
        </w:tc>
        <w:tc>
          <w:tcPr>
            <w:tcW w:w="2268"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≥85合格</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10、政府投资建设项目代建事务新增人员进行办公家具及设备购置绩效目标表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办公设备和办公用品购置合格率</w:t>
            </w:r>
            <w:r>
              <w:tab/>
            </w:r>
          </w:p>
        </w:tc>
        <w:tc>
          <w:tcPr>
            <w:tcW w:w="2835" w:type="dxa"/>
            <w:vAlign w:val="center"/>
          </w:tcPr>
          <w:p>
            <w:pPr>
              <w:pStyle w:val="14"/>
            </w:pPr>
            <w:r>
              <w:t>办公设备和办公用品购置合格率</w:t>
            </w:r>
            <w:r>
              <w:tab/>
            </w:r>
          </w:p>
        </w:tc>
        <w:tc>
          <w:tcPr>
            <w:tcW w:w="2551" w:type="dxa"/>
            <w:vAlign w:val="center"/>
          </w:tcPr>
          <w:p>
            <w:pPr>
              <w:pStyle w:val="14"/>
            </w:pPr>
            <w:r>
              <w:t>≥95百分比</w:t>
            </w:r>
          </w:p>
        </w:tc>
        <w:tc>
          <w:tcPr>
            <w:tcW w:w="2268" w:type="dxa"/>
            <w:vAlign w:val="center"/>
          </w:tcPr>
          <w:p>
            <w:pPr>
              <w:pStyle w:val="14"/>
            </w:pPr>
            <w:r>
              <w:t>办公设备和办公用品购置合格率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2835" w:type="dxa"/>
            <w:vAlign w:val="center"/>
          </w:tcPr>
          <w:p>
            <w:pPr>
              <w:pStyle w:val="14"/>
            </w:pPr>
            <w:r>
              <w:t>办公用品采购及时率</w:t>
            </w:r>
          </w:p>
        </w:tc>
        <w:tc>
          <w:tcPr>
            <w:tcW w:w="2551" w:type="dxa"/>
            <w:vAlign w:val="center"/>
          </w:tcPr>
          <w:p>
            <w:pPr>
              <w:pStyle w:val="14"/>
            </w:pPr>
            <w:r>
              <w:t>≥95百分比</w:t>
            </w:r>
          </w:p>
        </w:tc>
        <w:tc>
          <w:tcPr>
            <w:tcW w:w="2268" w:type="dxa"/>
            <w:vAlign w:val="center"/>
          </w:tcPr>
          <w:p>
            <w:pPr>
              <w:pStyle w:val="14"/>
            </w:pPr>
            <w:r>
              <w:t>办公用品采购及时率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办公费</w:t>
            </w:r>
          </w:p>
        </w:tc>
        <w:tc>
          <w:tcPr>
            <w:tcW w:w="2835" w:type="dxa"/>
            <w:vAlign w:val="center"/>
          </w:tcPr>
          <w:p>
            <w:pPr>
              <w:pStyle w:val="14"/>
            </w:pPr>
            <w:r>
              <w:t>办公费</w:t>
            </w:r>
          </w:p>
        </w:tc>
        <w:tc>
          <w:tcPr>
            <w:tcW w:w="2551" w:type="dxa"/>
            <w:vAlign w:val="center"/>
          </w:tcPr>
          <w:p>
            <w:pPr>
              <w:pStyle w:val="14"/>
            </w:pPr>
            <w:r>
              <w:t>≥95百分比</w:t>
            </w:r>
          </w:p>
        </w:tc>
        <w:tc>
          <w:tcPr>
            <w:tcW w:w="2268" w:type="dxa"/>
            <w:vAlign w:val="center"/>
          </w:tcPr>
          <w:p>
            <w:pPr>
              <w:pStyle w:val="14"/>
            </w:pPr>
            <w:r>
              <w:t>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办公经费、专用材料费</w:t>
            </w:r>
          </w:p>
        </w:tc>
        <w:tc>
          <w:tcPr>
            <w:tcW w:w="2835" w:type="dxa"/>
            <w:vAlign w:val="center"/>
          </w:tcPr>
          <w:p>
            <w:pPr>
              <w:pStyle w:val="14"/>
            </w:pPr>
            <w:r>
              <w:t>办公经费、专用材料费</w:t>
            </w:r>
          </w:p>
        </w:tc>
        <w:tc>
          <w:tcPr>
            <w:tcW w:w="2551" w:type="dxa"/>
            <w:vAlign w:val="center"/>
          </w:tcPr>
          <w:p>
            <w:pPr>
              <w:pStyle w:val="14"/>
            </w:pPr>
            <w:r>
              <w:t>≥95百分比</w:t>
            </w:r>
          </w:p>
        </w:tc>
        <w:tc>
          <w:tcPr>
            <w:tcW w:w="2268" w:type="dxa"/>
            <w:vAlign w:val="center"/>
          </w:tcPr>
          <w:p>
            <w:pPr>
              <w:pStyle w:val="14"/>
            </w:pPr>
            <w:r>
              <w:t>办公经费、专用材料费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保障正常办公</w:t>
            </w:r>
          </w:p>
        </w:tc>
        <w:tc>
          <w:tcPr>
            <w:tcW w:w="2835" w:type="dxa"/>
            <w:vAlign w:val="center"/>
          </w:tcPr>
          <w:p>
            <w:pPr>
              <w:pStyle w:val="14"/>
            </w:pPr>
            <w:r>
              <w:t>保障正常办公</w:t>
            </w:r>
          </w:p>
        </w:tc>
        <w:tc>
          <w:tcPr>
            <w:tcW w:w="2551" w:type="dxa"/>
            <w:vAlign w:val="center"/>
          </w:tcPr>
          <w:p>
            <w:pPr>
              <w:pStyle w:val="14"/>
            </w:pPr>
            <w:r>
              <w:t>≥95百分比</w:t>
            </w:r>
          </w:p>
        </w:tc>
        <w:tc>
          <w:tcPr>
            <w:tcW w:w="2268" w:type="dxa"/>
            <w:vAlign w:val="center"/>
          </w:tcPr>
          <w:p>
            <w:pPr>
              <w:pStyle w:val="14"/>
            </w:pPr>
            <w:r>
              <w:t>保障正常办公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w:t>
            </w:r>
          </w:p>
        </w:tc>
        <w:tc>
          <w:tcPr>
            <w:tcW w:w="2835" w:type="dxa"/>
            <w:vAlign w:val="center"/>
          </w:tcPr>
          <w:p>
            <w:pPr>
              <w:pStyle w:val="14"/>
            </w:pPr>
            <w:r>
              <w:t>保障日常办公</w:t>
            </w:r>
          </w:p>
        </w:tc>
        <w:tc>
          <w:tcPr>
            <w:tcW w:w="2551" w:type="dxa"/>
            <w:vAlign w:val="center"/>
          </w:tcPr>
          <w:p>
            <w:pPr>
              <w:pStyle w:val="14"/>
            </w:pPr>
            <w:r>
              <w:t>≥95百分比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2023年，宁晋县国有企业综合服务中心安排政府采购预算260.00万元。具体内容见下表。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260.00</w:t>
            </w:r>
          </w:p>
        </w:tc>
        <w:tc>
          <w:tcPr>
            <w:tcW w:w="964" w:type="dxa"/>
            <w:vAlign w:val="center"/>
          </w:tcPr>
          <w:p>
            <w:pPr>
              <w:pStyle w:val="17"/>
            </w:pPr>
            <w:r>
              <w:t>260.00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宁晋县国有企业综合服务中心本级小计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260.00</w:t>
            </w:r>
          </w:p>
        </w:tc>
        <w:tc>
          <w:tcPr>
            <w:tcW w:w="964" w:type="dxa"/>
            <w:vAlign w:val="center"/>
          </w:tcPr>
          <w:p>
            <w:pPr>
              <w:pStyle w:val="17"/>
            </w:pPr>
            <w:r>
              <w:t>260.00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国有企业集团资产整合融资评估</w:t>
            </w:r>
          </w:p>
        </w:tc>
        <w:tc>
          <w:tcPr>
            <w:tcW w:w="964" w:type="dxa"/>
            <w:vAlign w:val="center"/>
          </w:tcPr>
          <w:p>
            <w:pPr>
              <w:pStyle w:val="13"/>
            </w:pPr>
            <w:r>
              <w:t>260.00</w:t>
            </w:r>
          </w:p>
        </w:tc>
        <w:tc>
          <w:tcPr>
            <w:tcW w:w="1134" w:type="dxa"/>
            <w:vAlign w:val="center"/>
          </w:tcPr>
          <w:p>
            <w:pPr>
              <w:pStyle w:val="14"/>
            </w:pPr>
            <w:r>
              <w:t>其他咨询服务</w:t>
            </w:r>
          </w:p>
        </w:tc>
        <w:tc>
          <w:tcPr>
            <w:tcW w:w="1134" w:type="dxa"/>
            <w:vAlign w:val="center"/>
          </w:tcPr>
          <w:p>
            <w:pPr>
              <w:pStyle w:val="14"/>
            </w:pPr>
            <w:r>
              <w:t>C20039900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260.00</w:t>
            </w:r>
          </w:p>
        </w:tc>
        <w:tc>
          <w:tcPr>
            <w:tcW w:w="964" w:type="dxa"/>
            <w:vAlign w:val="center"/>
          </w:tcPr>
          <w:p>
            <w:pPr>
              <w:pStyle w:val="13"/>
            </w:pPr>
            <w:r>
              <w:t>260.00</w:t>
            </w:r>
          </w:p>
        </w:tc>
        <w:tc>
          <w:tcPr>
            <w:tcW w:w="964" w:type="dxa"/>
            <w:vAlign w:val="center"/>
          </w:tcPr>
          <w:p>
            <w:pPr>
              <w:pStyle w:val="13"/>
            </w:pPr>
            <w:r>
              <w:t>260.00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宁晋县国有企业综合服务中心（含所属单位）上年末固定资产金额为0.00万元（详见下表）。本年度拟购置固定资产总额为0.00万元，已按要求列入政府采购预算，详见政府采购预算表。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986宁晋县国有企业综合服务中心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一、宁晋县国有企业综合服务中心本级收支预算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423.20</w:t>
            </w:r>
          </w:p>
        </w:tc>
        <w:tc>
          <w:tcPr>
            <w:tcW w:w="4535" w:type="dxa"/>
            <w:vAlign w:val="center"/>
          </w:tcPr>
          <w:p>
            <w:pPr>
              <w:pStyle w:val="14"/>
            </w:pPr>
            <w:r>
              <w:t>一、一般公共服务支出</w:t>
            </w:r>
          </w:p>
        </w:tc>
        <w:tc>
          <w:tcPr>
            <w:tcW w:w="2126" w:type="dxa"/>
            <w:vAlign w:val="center"/>
          </w:tcPr>
          <w:p>
            <w:pPr>
              <w:pStyle w:val="13"/>
            </w:pPr>
            <w:r>
              <w:t>423.20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r>
              <w:t>9.00</w:t>
            </w: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432.20</w:t>
            </w:r>
          </w:p>
        </w:tc>
        <w:tc>
          <w:tcPr>
            <w:tcW w:w="4535" w:type="dxa"/>
            <w:vAlign w:val="center"/>
          </w:tcPr>
          <w:p>
            <w:pPr>
              <w:pStyle w:val="16"/>
            </w:pPr>
            <w:r>
              <w:t>本年支出合计</w:t>
            </w:r>
          </w:p>
        </w:tc>
        <w:tc>
          <w:tcPr>
            <w:tcW w:w="2126" w:type="dxa"/>
            <w:vAlign w:val="center"/>
          </w:tcPr>
          <w:p>
            <w:pPr>
              <w:pStyle w:val="17"/>
            </w:pPr>
            <w:r>
              <w:t>432.20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432.20</w:t>
            </w:r>
          </w:p>
        </w:tc>
        <w:tc>
          <w:tcPr>
            <w:tcW w:w="4535" w:type="dxa"/>
            <w:vAlign w:val="center"/>
          </w:tcPr>
          <w:p>
            <w:pPr>
              <w:pStyle w:val="16"/>
            </w:pPr>
            <w:r>
              <w:t>支出总计</w:t>
            </w:r>
          </w:p>
        </w:tc>
        <w:tc>
          <w:tcPr>
            <w:tcW w:w="2126" w:type="dxa"/>
            <w:vAlign w:val="center"/>
          </w:tcPr>
          <w:p>
            <w:pPr>
              <w:pStyle w:val="17"/>
            </w:pPr>
            <w:r>
              <w:t>432.20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432.20</w:t>
            </w:r>
          </w:p>
        </w:tc>
        <w:tc>
          <w:tcPr>
            <w:tcW w:w="1134" w:type="dxa"/>
            <w:vAlign w:val="center"/>
          </w:tcPr>
          <w:p>
            <w:pPr>
              <w:pStyle w:val="17"/>
            </w:pPr>
            <w:r>
              <w:t>432.20</w:t>
            </w:r>
          </w:p>
        </w:tc>
        <w:tc>
          <w:tcPr>
            <w:tcW w:w="1134" w:type="dxa"/>
            <w:vAlign w:val="center"/>
          </w:tcPr>
          <w:p>
            <w:pPr>
              <w:pStyle w:val="17"/>
            </w:pPr>
            <w:r>
              <w:t>432.20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423.20</w:t>
            </w:r>
          </w:p>
        </w:tc>
        <w:tc>
          <w:tcPr>
            <w:tcW w:w="1134" w:type="dxa"/>
            <w:vAlign w:val="center"/>
          </w:tcPr>
          <w:p>
            <w:pPr>
              <w:pStyle w:val="13"/>
            </w:pPr>
            <w:r>
              <w:t>423.20</w:t>
            </w:r>
          </w:p>
        </w:tc>
        <w:tc>
          <w:tcPr>
            <w:tcW w:w="1134" w:type="dxa"/>
            <w:vAlign w:val="center"/>
          </w:tcPr>
          <w:p>
            <w:pPr>
              <w:pStyle w:val="13"/>
            </w:pPr>
            <w:r>
              <w:t>423.20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418.20</w:t>
            </w:r>
          </w:p>
        </w:tc>
        <w:tc>
          <w:tcPr>
            <w:tcW w:w="1134" w:type="dxa"/>
            <w:vAlign w:val="center"/>
          </w:tcPr>
          <w:p>
            <w:pPr>
              <w:pStyle w:val="13"/>
            </w:pPr>
            <w:r>
              <w:t>418.20</w:t>
            </w:r>
          </w:p>
        </w:tc>
        <w:tc>
          <w:tcPr>
            <w:tcW w:w="1134" w:type="dxa"/>
            <w:vAlign w:val="center"/>
          </w:tcPr>
          <w:p>
            <w:pPr>
              <w:pStyle w:val="13"/>
            </w:pPr>
            <w:r>
              <w:t>418.20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2010602</w:t>
            </w:r>
          </w:p>
        </w:tc>
        <w:tc>
          <w:tcPr>
            <w:tcW w:w="1559" w:type="dxa"/>
            <w:vAlign w:val="center"/>
          </w:tcPr>
          <w:p>
            <w:pPr>
              <w:pStyle w:val="14"/>
            </w:pPr>
            <w:r>
              <w:t>一般行政管理事务</w:t>
            </w:r>
          </w:p>
        </w:tc>
        <w:tc>
          <w:tcPr>
            <w:tcW w:w="1134" w:type="dxa"/>
            <w:vAlign w:val="center"/>
          </w:tcPr>
          <w:p>
            <w:pPr>
              <w:pStyle w:val="13"/>
            </w:pPr>
            <w:r>
              <w:t>25.20</w:t>
            </w:r>
          </w:p>
        </w:tc>
        <w:tc>
          <w:tcPr>
            <w:tcW w:w="1134" w:type="dxa"/>
            <w:vAlign w:val="center"/>
          </w:tcPr>
          <w:p>
            <w:pPr>
              <w:pStyle w:val="13"/>
            </w:pPr>
            <w:r>
              <w:t>25.20</w:t>
            </w:r>
          </w:p>
        </w:tc>
        <w:tc>
          <w:tcPr>
            <w:tcW w:w="1134" w:type="dxa"/>
            <w:vAlign w:val="center"/>
          </w:tcPr>
          <w:p>
            <w:pPr>
              <w:pStyle w:val="13"/>
            </w:pPr>
            <w:r>
              <w:t>25.20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2010650</w:t>
            </w:r>
          </w:p>
        </w:tc>
        <w:tc>
          <w:tcPr>
            <w:tcW w:w="1559" w:type="dxa"/>
            <w:vAlign w:val="center"/>
          </w:tcPr>
          <w:p>
            <w:pPr>
              <w:pStyle w:val="14"/>
            </w:pPr>
            <w:r>
              <w:t>事业运行</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2010699</w:t>
            </w:r>
          </w:p>
        </w:tc>
        <w:tc>
          <w:tcPr>
            <w:tcW w:w="1559" w:type="dxa"/>
            <w:vAlign w:val="center"/>
          </w:tcPr>
          <w:p>
            <w:pPr>
              <w:pStyle w:val="14"/>
            </w:pPr>
            <w:r>
              <w:t>其他财政事务支出</w:t>
            </w:r>
          </w:p>
        </w:tc>
        <w:tc>
          <w:tcPr>
            <w:tcW w:w="1134" w:type="dxa"/>
            <w:vAlign w:val="center"/>
          </w:tcPr>
          <w:p>
            <w:pPr>
              <w:pStyle w:val="13"/>
            </w:pPr>
            <w:r>
              <w:t>390.00</w:t>
            </w:r>
          </w:p>
        </w:tc>
        <w:tc>
          <w:tcPr>
            <w:tcW w:w="1134" w:type="dxa"/>
            <w:vAlign w:val="center"/>
          </w:tcPr>
          <w:p>
            <w:pPr>
              <w:pStyle w:val="13"/>
            </w:pPr>
            <w:r>
              <w:t>390.00</w:t>
            </w:r>
          </w:p>
        </w:tc>
        <w:tc>
          <w:tcPr>
            <w:tcW w:w="1134" w:type="dxa"/>
            <w:vAlign w:val="center"/>
          </w:tcPr>
          <w:p>
            <w:pPr>
              <w:pStyle w:val="13"/>
            </w:pPr>
            <w:r>
              <w:t>390.00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20136</w:t>
            </w:r>
          </w:p>
        </w:tc>
        <w:tc>
          <w:tcPr>
            <w:tcW w:w="1559" w:type="dxa"/>
            <w:vAlign w:val="center"/>
          </w:tcPr>
          <w:p>
            <w:pPr>
              <w:pStyle w:val="14"/>
            </w:pPr>
            <w:r>
              <w:t>其他共产党事务支出</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2013650</w:t>
            </w:r>
          </w:p>
        </w:tc>
        <w:tc>
          <w:tcPr>
            <w:tcW w:w="1559" w:type="dxa"/>
            <w:vAlign w:val="center"/>
          </w:tcPr>
          <w:p>
            <w:pPr>
              <w:pStyle w:val="14"/>
            </w:pPr>
            <w:r>
              <w:t>事业运行</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223</w:t>
            </w:r>
          </w:p>
        </w:tc>
        <w:tc>
          <w:tcPr>
            <w:tcW w:w="1559" w:type="dxa"/>
            <w:vAlign w:val="center"/>
          </w:tcPr>
          <w:p>
            <w:pPr>
              <w:pStyle w:val="14"/>
            </w:pPr>
            <w:r>
              <w:t>国有资本经营预算支出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22303</w:t>
            </w:r>
          </w:p>
        </w:tc>
        <w:tc>
          <w:tcPr>
            <w:tcW w:w="1559" w:type="dxa"/>
            <w:vAlign w:val="center"/>
          </w:tcPr>
          <w:p>
            <w:pPr>
              <w:pStyle w:val="14"/>
            </w:pPr>
            <w:r>
              <w:t>国有企业政策性补贴</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2230301</w:t>
            </w:r>
          </w:p>
        </w:tc>
        <w:tc>
          <w:tcPr>
            <w:tcW w:w="1559" w:type="dxa"/>
            <w:vAlign w:val="center"/>
          </w:tcPr>
          <w:p>
            <w:pPr>
              <w:pStyle w:val="14"/>
            </w:pPr>
            <w:r>
              <w:t>国有企业政策性补贴</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432.20</w:t>
            </w:r>
          </w:p>
        </w:tc>
        <w:tc>
          <w:tcPr>
            <w:tcW w:w="1361" w:type="dxa"/>
            <w:vAlign w:val="center"/>
          </w:tcPr>
          <w:p>
            <w:pPr>
              <w:pStyle w:val="17"/>
            </w:pPr>
          </w:p>
        </w:tc>
        <w:tc>
          <w:tcPr>
            <w:tcW w:w="1361" w:type="dxa"/>
            <w:vAlign w:val="center"/>
          </w:tcPr>
          <w:p>
            <w:pPr>
              <w:pStyle w:val="17"/>
            </w:pPr>
            <w:r>
              <w:t>432.20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423.20</w:t>
            </w:r>
          </w:p>
        </w:tc>
        <w:tc>
          <w:tcPr>
            <w:tcW w:w="1361" w:type="dxa"/>
            <w:vAlign w:val="center"/>
          </w:tcPr>
          <w:p>
            <w:pPr>
              <w:pStyle w:val="13"/>
            </w:pPr>
          </w:p>
        </w:tc>
        <w:tc>
          <w:tcPr>
            <w:tcW w:w="1361" w:type="dxa"/>
            <w:vAlign w:val="center"/>
          </w:tcPr>
          <w:p>
            <w:pPr>
              <w:pStyle w:val="13"/>
            </w:pPr>
            <w:r>
              <w:t>423.20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418.20</w:t>
            </w:r>
          </w:p>
        </w:tc>
        <w:tc>
          <w:tcPr>
            <w:tcW w:w="1361" w:type="dxa"/>
            <w:vAlign w:val="center"/>
          </w:tcPr>
          <w:p>
            <w:pPr>
              <w:pStyle w:val="13"/>
            </w:pPr>
          </w:p>
        </w:tc>
        <w:tc>
          <w:tcPr>
            <w:tcW w:w="1361" w:type="dxa"/>
            <w:vAlign w:val="center"/>
          </w:tcPr>
          <w:p>
            <w:pPr>
              <w:pStyle w:val="13"/>
            </w:pPr>
            <w:r>
              <w:t>418.20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2010602</w:t>
            </w:r>
          </w:p>
        </w:tc>
        <w:tc>
          <w:tcPr>
            <w:tcW w:w="4535" w:type="dxa"/>
            <w:vAlign w:val="center"/>
          </w:tcPr>
          <w:p>
            <w:pPr>
              <w:pStyle w:val="14"/>
            </w:pPr>
            <w:r>
              <w:t>一般行政管理事务</w:t>
            </w:r>
          </w:p>
        </w:tc>
        <w:tc>
          <w:tcPr>
            <w:tcW w:w="1361" w:type="dxa"/>
            <w:vAlign w:val="center"/>
          </w:tcPr>
          <w:p>
            <w:pPr>
              <w:pStyle w:val="13"/>
            </w:pPr>
            <w:r>
              <w:t>25.20</w:t>
            </w:r>
          </w:p>
        </w:tc>
        <w:tc>
          <w:tcPr>
            <w:tcW w:w="1361" w:type="dxa"/>
            <w:vAlign w:val="center"/>
          </w:tcPr>
          <w:p>
            <w:pPr>
              <w:pStyle w:val="13"/>
            </w:pPr>
          </w:p>
        </w:tc>
        <w:tc>
          <w:tcPr>
            <w:tcW w:w="1361" w:type="dxa"/>
            <w:vAlign w:val="center"/>
          </w:tcPr>
          <w:p>
            <w:pPr>
              <w:pStyle w:val="13"/>
            </w:pPr>
            <w:r>
              <w:t>25.20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2010650</w:t>
            </w:r>
          </w:p>
        </w:tc>
        <w:tc>
          <w:tcPr>
            <w:tcW w:w="4535" w:type="dxa"/>
            <w:vAlign w:val="center"/>
          </w:tcPr>
          <w:p>
            <w:pPr>
              <w:pStyle w:val="14"/>
            </w:pPr>
            <w:r>
              <w:t>事业运行</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2010699</w:t>
            </w:r>
          </w:p>
        </w:tc>
        <w:tc>
          <w:tcPr>
            <w:tcW w:w="4535" w:type="dxa"/>
            <w:vAlign w:val="center"/>
          </w:tcPr>
          <w:p>
            <w:pPr>
              <w:pStyle w:val="14"/>
            </w:pPr>
            <w:r>
              <w:t>其他财政事务支出</w:t>
            </w:r>
          </w:p>
        </w:tc>
        <w:tc>
          <w:tcPr>
            <w:tcW w:w="1361" w:type="dxa"/>
            <w:vAlign w:val="center"/>
          </w:tcPr>
          <w:p>
            <w:pPr>
              <w:pStyle w:val="13"/>
            </w:pPr>
            <w:r>
              <w:t>390.00</w:t>
            </w:r>
          </w:p>
        </w:tc>
        <w:tc>
          <w:tcPr>
            <w:tcW w:w="1361" w:type="dxa"/>
            <w:vAlign w:val="center"/>
          </w:tcPr>
          <w:p>
            <w:pPr>
              <w:pStyle w:val="13"/>
            </w:pPr>
          </w:p>
        </w:tc>
        <w:tc>
          <w:tcPr>
            <w:tcW w:w="1361" w:type="dxa"/>
            <w:vAlign w:val="center"/>
          </w:tcPr>
          <w:p>
            <w:pPr>
              <w:pStyle w:val="13"/>
            </w:pPr>
            <w:r>
              <w:t>390.00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20136</w:t>
            </w:r>
          </w:p>
        </w:tc>
        <w:tc>
          <w:tcPr>
            <w:tcW w:w="4535" w:type="dxa"/>
            <w:vAlign w:val="center"/>
          </w:tcPr>
          <w:p>
            <w:pPr>
              <w:pStyle w:val="14"/>
            </w:pPr>
            <w:r>
              <w:t>其他共产党事务支出</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2013650</w:t>
            </w:r>
          </w:p>
        </w:tc>
        <w:tc>
          <w:tcPr>
            <w:tcW w:w="4535" w:type="dxa"/>
            <w:vAlign w:val="center"/>
          </w:tcPr>
          <w:p>
            <w:pPr>
              <w:pStyle w:val="14"/>
            </w:pPr>
            <w:r>
              <w:t>事业运行</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223</w:t>
            </w:r>
          </w:p>
        </w:tc>
        <w:tc>
          <w:tcPr>
            <w:tcW w:w="4535" w:type="dxa"/>
            <w:vAlign w:val="center"/>
          </w:tcPr>
          <w:p>
            <w:pPr>
              <w:pStyle w:val="14"/>
            </w:pPr>
            <w:r>
              <w:t>国有资本经营预算支出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22303</w:t>
            </w:r>
          </w:p>
        </w:tc>
        <w:tc>
          <w:tcPr>
            <w:tcW w:w="4535" w:type="dxa"/>
            <w:vAlign w:val="center"/>
          </w:tcPr>
          <w:p>
            <w:pPr>
              <w:pStyle w:val="14"/>
            </w:pPr>
            <w:r>
              <w:t>国有企业政策性补贴</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2230301</w:t>
            </w:r>
          </w:p>
        </w:tc>
        <w:tc>
          <w:tcPr>
            <w:tcW w:w="4535" w:type="dxa"/>
            <w:vAlign w:val="center"/>
          </w:tcPr>
          <w:p>
            <w:pPr>
              <w:pStyle w:val="14"/>
            </w:pPr>
            <w:r>
              <w:t>国有企业政策性补贴</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423.20</w:t>
            </w:r>
          </w:p>
        </w:tc>
        <w:tc>
          <w:tcPr>
            <w:tcW w:w="3402" w:type="dxa"/>
            <w:vAlign w:val="center"/>
          </w:tcPr>
          <w:p>
            <w:pPr>
              <w:pStyle w:val="14"/>
            </w:pPr>
            <w:r>
              <w:t>一、一般公共服务支出</w:t>
            </w:r>
          </w:p>
        </w:tc>
        <w:tc>
          <w:tcPr>
            <w:tcW w:w="1474" w:type="dxa"/>
            <w:vAlign w:val="center"/>
          </w:tcPr>
          <w:p>
            <w:pPr>
              <w:pStyle w:val="13"/>
            </w:pPr>
            <w:r>
              <w:t>423.20</w:t>
            </w:r>
          </w:p>
        </w:tc>
        <w:tc>
          <w:tcPr>
            <w:tcW w:w="1474" w:type="dxa"/>
            <w:vAlign w:val="center"/>
          </w:tcPr>
          <w:p>
            <w:pPr>
              <w:pStyle w:val="13"/>
            </w:pPr>
            <w:r>
              <w:t>423.20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r>
              <w:t>9.00</w:t>
            </w: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r>
              <w:t>9.00</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432.20</w:t>
            </w:r>
          </w:p>
        </w:tc>
        <w:tc>
          <w:tcPr>
            <w:tcW w:w="3402" w:type="dxa"/>
            <w:vAlign w:val="center"/>
          </w:tcPr>
          <w:p>
            <w:pPr>
              <w:pStyle w:val="16"/>
            </w:pPr>
            <w:r>
              <w:t>本年支出合计</w:t>
            </w:r>
          </w:p>
        </w:tc>
        <w:tc>
          <w:tcPr>
            <w:tcW w:w="1474" w:type="dxa"/>
            <w:vAlign w:val="center"/>
          </w:tcPr>
          <w:p>
            <w:pPr>
              <w:pStyle w:val="17"/>
            </w:pPr>
            <w:r>
              <w:t>432.20</w:t>
            </w:r>
          </w:p>
        </w:tc>
        <w:tc>
          <w:tcPr>
            <w:tcW w:w="1474" w:type="dxa"/>
            <w:vAlign w:val="center"/>
          </w:tcPr>
          <w:p>
            <w:pPr>
              <w:pStyle w:val="17"/>
            </w:pPr>
            <w:r>
              <w:t>423.20</w:t>
            </w:r>
          </w:p>
        </w:tc>
        <w:tc>
          <w:tcPr>
            <w:tcW w:w="1474" w:type="dxa"/>
            <w:vAlign w:val="center"/>
          </w:tcPr>
          <w:p>
            <w:pPr>
              <w:pStyle w:val="17"/>
            </w:pPr>
          </w:p>
        </w:tc>
        <w:tc>
          <w:tcPr>
            <w:tcW w:w="1474"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432.20</w:t>
            </w:r>
          </w:p>
        </w:tc>
        <w:tc>
          <w:tcPr>
            <w:tcW w:w="3402" w:type="dxa"/>
            <w:vAlign w:val="center"/>
          </w:tcPr>
          <w:p>
            <w:pPr>
              <w:pStyle w:val="16"/>
            </w:pPr>
            <w:r>
              <w:t>支出总计</w:t>
            </w:r>
          </w:p>
        </w:tc>
        <w:tc>
          <w:tcPr>
            <w:tcW w:w="1474" w:type="dxa"/>
            <w:vAlign w:val="center"/>
          </w:tcPr>
          <w:p>
            <w:pPr>
              <w:pStyle w:val="17"/>
            </w:pPr>
            <w:r>
              <w:t>432.20</w:t>
            </w:r>
          </w:p>
        </w:tc>
        <w:tc>
          <w:tcPr>
            <w:tcW w:w="1474" w:type="dxa"/>
            <w:vAlign w:val="center"/>
          </w:tcPr>
          <w:p>
            <w:pPr>
              <w:pStyle w:val="17"/>
            </w:pPr>
            <w:r>
              <w:t>423.20</w:t>
            </w:r>
          </w:p>
        </w:tc>
        <w:tc>
          <w:tcPr>
            <w:tcW w:w="1474" w:type="dxa"/>
            <w:vAlign w:val="center"/>
          </w:tcPr>
          <w:p>
            <w:pPr>
              <w:pStyle w:val="17"/>
            </w:pPr>
          </w:p>
        </w:tc>
        <w:tc>
          <w:tcPr>
            <w:tcW w:w="1474" w:type="dxa"/>
            <w:vAlign w:val="center"/>
          </w:tcPr>
          <w:p>
            <w:pPr>
              <w:pStyle w:val="17"/>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423.20</w:t>
            </w:r>
          </w:p>
        </w:tc>
        <w:tc>
          <w:tcPr>
            <w:tcW w:w="2551" w:type="dxa"/>
            <w:vAlign w:val="center"/>
          </w:tcPr>
          <w:p>
            <w:pPr>
              <w:pStyle w:val="17"/>
            </w:pPr>
          </w:p>
        </w:tc>
        <w:tc>
          <w:tcPr>
            <w:tcW w:w="2551" w:type="dxa"/>
            <w:vAlign w:val="center"/>
          </w:tcPr>
          <w:p>
            <w:pPr>
              <w:pStyle w:val="17"/>
            </w:pPr>
            <w:r>
              <w:t>423.20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423.20</w:t>
            </w:r>
          </w:p>
        </w:tc>
        <w:tc>
          <w:tcPr>
            <w:tcW w:w="2551" w:type="dxa"/>
            <w:vAlign w:val="center"/>
          </w:tcPr>
          <w:p>
            <w:pPr>
              <w:pStyle w:val="13"/>
            </w:pPr>
          </w:p>
        </w:tc>
        <w:tc>
          <w:tcPr>
            <w:tcW w:w="2551" w:type="dxa"/>
            <w:vAlign w:val="center"/>
          </w:tcPr>
          <w:p>
            <w:pPr>
              <w:pStyle w:val="13"/>
            </w:pPr>
            <w:r>
              <w:t>423.20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418.20</w:t>
            </w:r>
          </w:p>
        </w:tc>
        <w:tc>
          <w:tcPr>
            <w:tcW w:w="2551" w:type="dxa"/>
            <w:vAlign w:val="center"/>
          </w:tcPr>
          <w:p>
            <w:pPr>
              <w:pStyle w:val="13"/>
            </w:pPr>
          </w:p>
        </w:tc>
        <w:tc>
          <w:tcPr>
            <w:tcW w:w="2551" w:type="dxa"/>
            <w:vAlign w:val="center"/>
          </w:tcPr>
          <w:p>
            <w:pPr>
              <w:pStyle w:val="13"/>
            </w:pPr>
            <w:r>
              <w:t>418.20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2010602</w:t>
            </w:r>
          </w:p>
        </w:tc>
        <w:tc>
          <w:tcPr>
            <w:tcW w:w="4535" w:type="dxa"/>
            <w:vAlign w:val="center"/>
          </w:tcPr>
          <w:p>
            <w:pPr>
              <w:pStyle w:val="14"/>
            </w:pPr>
            <w:r>
              <w:t>一般行政管理事务</w:t>
            </w:r>
          </w:p>
        </w:tc>
        <w:tc>
          <w:tcPr>
            <w:tcW w:w="2551" w:type="dxa"/>
            <w:vAlign w:val="center"/>
          </w:tcPr>
          <w:p>
            <w:pPr>
              <w:pStyle w:val="13"/>
            </w:pPr>
            <w:r>
              <w:t>25.20</w:t>
            </w:r>
          </w:p>
        </w:tc>
        <w:tc>
          <w:tcPr>
            <w:tcW w:w="2551" w:type="dxa"/>
            <w:vAlign w:val="center"/>
          </w:tcPr>
          <w:p>
            <w:pPr>
              <w:pStyle w:val="13"/>
            </w:pPr>
          </w:p>
        </w:tc>
        <w:tc>
          <w:tcPr>
            <w:tcW w:w="2551"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2010650</w:t>
            </w:r>
          </w:p>
        </w:tc>
        <w:tc>
          <w:tcPr>
            <w:tcW w:w="4535" w:type="dxa"/>
            <w:vAlign w:val="center"/>
          </w:tcPr>
          <w:p>
            <w:pPr>
              <w:pStyle w:val="14"/>
            </w:pPr>
            <w:r>
              <w:t>事业运行</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2010699</w:t>
            </w:r>
          </w:p>
        </w:tc>
        <w:tc>
          <w:tcPr>
            <w:tcW w:w="4535" w:type="dxa"/>
            <w:vAlign w:val="center"/>
          </w:tcPr>
          <w:p>
            <w:pPr>
              <w:pStyle w:val="14"/>
            </w:pPr>
            <w:r>
              <w:t>其他财政事务支出</w:t>
            </w:r>
          </w:p>
        </w:tc>
        <w:tc>
          <w:tcPr>
            <w:tcW w:w="2551" w:type="dxa"/>
            <w:vAlign w:val="center"/>
          </w:tcPr>
          <w:p>
            <w:pPr>
              <w:pStyle w:val="13"/>
            </w:pPr>
            <w:r>
              <w:t>390.00</w:t>
            </w:r>
          </w:p>
        </w:tc>
        <w:tc>
          <w:tcPr>
            <w:tcW w:w="2551" w:type="dxa"/>
            <w:vAlign w:val="center"/>
          </w:tcPr>
          <w:p>
            <w:pPr>
              <w:pStyle w:val="13"/>
            </w:pPr>
          </w:p>
        </w:tc>
        <w:tc>
          <w:tcPr>
            <w:tcW w:w="2551" w:type="dxa"/>
            <w:vAlign w:val="center"/>
          </w:tcPr>
          <w:p>
            <w:pPr>
              <w:pStyle w:val="13"/>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20136</w:t>
            </w:r>
          </w:p>
        </w:tc>
        <w:tc>
          <w:tcPr>
            <w:tcW w:w="4535" w:type="dxa"/>
            <w:vAlign w:val="center"/>
          </w:tcPr>
          <w:p>
            <w:pPr>
              <w:pStyle w:val="14"/>
            </w:pPr>
            <w:r>
              <w:t>其他共产党事务支出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2013650</w:t>
            </w:r>
          </w:p>
        </w:tc>
        <w:tc>
          <w:tcPr>
            <w:tcW w:w="4535" w:type="dxa"/>
            <w:vAlign w:val="center"/>
          </w:tcPr>
          <w:p>
            <w:pPr>
              <w:pStyle w:val="14"/>
            </w:pPr>
            <w:r>
              <w:t>事业运行</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9.00</w:t>
            </w:r>
          </w:p>
        </w:tc>
        <w:tc>
          <w:tcPr>
            <w:tcW w:w="2551" w:type="dxa"/>
            <w:vAlign w:val="center"/>
          </w:tcPr>
          <w:p>
            <w:pPr>
              <w:pStyle w:val="17"/>
            </w:pPr>
          </w:p>
        </w:tc>
        <w:tc>
          <w:tcPr>
            <w:tcW w:w="2551" w:type="dxa"/>
            <w:vAlign w:val="center"/>
          </w:tcPr>
          <w:p>
            <w:pPr>
              <w:pStyle w:val="17"/>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223</w:t>
            </w:r>
          </w:p>
        </w:tc>
        <w:tc>
          <w:tcPr>
            <w:tcW w:w="4535" w:type="dxa"/>
            <w:vAlign w:val="center"/>
          </w:tcPr>
          <w:p>
            <w:pPr>
              <w:pStyle w:val="14"/>
            </w:pPr>
            <w:r>
              <w:t>国有资本经营预算支出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22303</w:t>
            </w:r>
          </w:p>
        </w:tc>
        <w:tc>
          <w:tcPr>
            <w:tcW w:w="4535" w:type="dxa"/>
            <w:vAlign w:val="center"/>
          </w:tcPr>
          <w:p>
            <w:pPr>
              <w:pStyle w:val="14"/>
            </w:pPr>
            <w:r>
              <w:t>国有企业政策性补贴</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2230301</w:t>
            </w:r>
          </w:p>
        </w:tc>
        <w:tc>
          <w:tcPr>
            <w:tcW w:w="4535" w:type="dxa"/>
            <w:vAlign w:val="center"/>
          </w:tcPr>
          <w:p>
            <w:pPr>
              <w:pStyle w:val="14"/>
            </w:pPr>
            <w:r>
              <w:t>国有企业政策性补贴</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宁晋县国有企业综合服务中心本级2023年单位预算信息公开情况说明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、《地方预决算公开操作规程》和《关于进一步推进预算公开工作的实施意见》规定，现将宁晋县国有企业综合服务中心本级2023年单位预算公开如下：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根据《宁晋县国有企业综合服务中心职能配置、内设机构和人员编制规定》，宁晋县国有企业综合服务中心本级的主要职责是：</w:t>
      </w:r>
    </w:p>
    <w:p>
      <w:pPr>
        <w:pStyle w:val="27"/>
      </w:pPr>
      <w:r>
        <w:t>宁晋县国有企业综合服务中心本级单位主要职责为：</w:t>
      </w:r>
    </w:p>
    <w:p>
      <w:pPr>
        <w:pStyle w:val="27"/>
      </w:pPr>
      <w:r>
        <w:t>1、负责全县国有企业改革发展重大问题、宏观问题以及难点问题的综合研究和对策分析，为国企改革提供政策建议和咨询服务。</w:t>
      </w:r>
    </w:p>
    <w:p>
      <w:pPr>
        <w:pStyle w:val="27"/>
      </w:pPr>
      <w:r>
        <w:t>2、搜集、分析各行业发展信息和重点行业发展趋势，为国有企业布局和结构调整提供技术指导；</w:t>
      </w:r>
    </w:p>
    <w:p>
      <w:pPr>
        <w:pStyle w:val="27"/>
      </w:pPr>
      <w:r>
        <w:t>3、负责国有企业资产的统计分析工作，协助国有企业解决发展中的有关问题；</w:t>
      </w:r>
    </w:p>
    <w:p>
      <w:pPr>
        <w:pStyle w:val="27"/>
      </w:pPr>
      <w:r>
        <w:t>4、承担国有企业资产重大损失调查的服务保障工作，提出有关责任追究的意见建议。</w:t>
      </w:r>
    </w:p>
    <w:p>
      <w:pPr>
        <w:pStyle w:val="27"/>
      </w:pPr>
      <w:r>
        <w:t>5、负责政府投资建设项目可行性研究报告（概算）的研究工作，负责政府投资建设项目代理、代建等事务性工作。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宁晋县国有企业综合服务中心本级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2023年国有企业综合服务中心本级单位预算总收入432.2万元，全部是公共财政预算拨款。2023年国有企业综合服务中心本级单位预算总支出432.2万元，其中，项目支出432.2万元，无人员经费支出和日常公用经费支出。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2023年国有企业综合服务中心本级单位日常公用经费未作安排。我中心承担服务国有企业管理相关职能，根据三定方案分工安排，财政出资人职能仍由财政局履行，机关运行经费仍由财政局承担。</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一般公共预算财政拨款共计安排我单位2023年度“三公”经费预算额度12.6万元，未安排公务出国经费和公务用车购置及运维费及公务接待费。其中，培训费支出额度12.6万元。“三公”经费同比增长50%。</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1、财政厅提前下达2023年国有企业退休人员社会化管理省级财政补助资金冀财资(2022)101号绩效目标表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≥80合格</w:t>
            </w:r>
          </w:p>
        </w:tc>
        <w:tc>
          <w:tcPr>
            <w:tcW w:w="2268" w:type="dxa"/>
            <w:vAlign w:val="center"/>
          </w:tcPr>
          <w:p>
            <w:pPr>
              <w:pStyle w:val="14"/>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≥85合格</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≥95合格</w:t>
            </w:r>
          </w:p>
        </w:tc>
        <w:tc>
          <w:tcPr>
            <w:tcW w:w="2268" w:type="dxa"/>
            <w:vAlign w:val="center"/>
          </w:tcPr>
          <w:p>
            <w:pPr>
              <w:pStyle w:val="14"/>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tc>
        <w:tc>
          <w:tcPr>
            <w:tcW w:w="2551" w:type="dxa"/>
            <w:vAlign w:val="center"/>
          </w:tcPr>
          <w:p>
            <w:pPr>
              <w:pStyle w:val="14"/>
            </w:pPr>
            <w:r>
              <w:t>≥80合格</w:t>
            </w:r>
          </w:p>
        </w:tc>
        <w:tc>
          <w:tcPr>
            <w:tcW w:w="2268" w:type="dxa"/>
            <w:vAlign w:val="center"/>
          </w:tcPr>
          <w:p>
            <w:pPr>
              <w:pStyle w:val="14"/>
            </w:pPr>
            <w:r>
              <w:t>成本控制率(%)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2835" w:type="dxa"/>
            <w:vAlign w:val="center"/>
          </w:tcPr>
          <w:p>
            <w:pPr>
              <w:pStyle w:val="14"/>
            </w:pPr>
            <w:r>
              <w:t>社会效益指标</w:t>
            </w:r>
          </w:p>
        </w:tc>
        <w:tc>
          <w:tcPr>
            <w:tcW w:w="2551" w:type="dxa"/>
            <w:vAlign w:val="center"/>
          </w:tcPr>
          <w:p>
            <w:pPr>
              <w:pStyle w:val="14"/>
            </w:pPr>
            <w:r>
              <w:t>≥80合格</w:t>
            </w:r>
          </w:p>
        </w:tc>
        <w:tc>
          <w:tcPr>
            <w:tcW w:w="2268" w:type="dxa"/>
            <w:vAlign w:val="center"/>
          </w:tcPr>
          <w:p>
            <w:pPr>
              <w:pStyle w:val="14"/>
            </w:pPr>
            <w:r>
              <w:t>社会效益指标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≥80合格</w:t>
            </w:r>
          </w:p>
        </w:tc>
        <w:tc>
          <w:tcPr>
            <w:tcW w:w="2268" w:type="dxa"/>
            <w:vAlign w:val="center"/>
          </w:tcPr>
          <w:p>
            <w:pPr>
              <w:pStyle w:val="14"/>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老残人员经费保障覆盖率</w:t>
            </w:r>
          </w:p>
        </w:tc>
        <w:tc>
          <w:tcPr>
            <w:tcW w:w="2835" w:type="dxa"/>
            <w:vAlign w:val="center"/>
          </w:tcPr>
          <w:p>
            <w:pPr>
              <w:pStyle w:val="14"/>
            </w:pPr>
            <w:r>
              <w:t>老残人员经费保障覆盖率</w:t>
            </w:r>
          </w:p>
        </w:tc>
        <w:tc>
          <w:tcPr>
            <w:tcW w:w="2551" w:type="dxa"/>
            <w:vAlign w:val="center"/>
          </w:tcPr>
          <w:p>
            <w:pPr>
              <w:pStyle w:val="14"/>
            </w:pPr>
            <w:r>
              <w:t>≥80合格</w:t>
            </w:r>
          </w:p>
        </w:tc>
        <w:tc>
          <w:tcPr>
            <w:tcW w:w="2268" w:type="dxa"/>
            <w:vAlign w:val="center"/>
          </w:tcPr>
          <w:p>
            <w:pPr>
              <w:pStyle w:val="14"/>
            </w:pPr>
            <w:r>
              <w:t>老残人员经费保障覆盖率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≥80合格</w:t>
            </w:r>
          </w:p>
        </w:tc>
        <w:tc>
          <w:tcPr>
            <w:tcW w:w="2268"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≥85合格</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2、代建项目前期管理费绩效目标表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3、党建专项费用绩效目标表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党建及文化建设工作完成率</w:t>
            </w:r>
          </w:p>
        </w:tc>
        <w:tc>
          <w:tcPr>
            <w:tcW w:w="2835" w:type="dxa"/>
            <w:vAlign w:val="center"/>
          </w:tcPr>
          <w:p>
            <w:pPr>
              <w:pStyle w:val="14"/>
            </w:pPr>
            <w:r>
              <w:t>党建及文化建设工作完成率</w:t>
            </w:r>
          </w:p>
        </w:tc>
        <w:tc>
          <w:tcPr>
            <w:tcW w:w="2551" w:type="dxa"/>
            <w:vAlign w:val="center"/>
          </w:tcPr>
          <w:p>
            <w:pPr>
              <w:pStyle w:val="14"/>
            </w:pPr>
            <w:r>
              <w:t>≥95百分比</w:t>
            </w:r>
          </w:p>
        </w:tc>
        <w:tc>
          <w:tcPr>
            <w:tcW w:w="2268" w:type="dxa"/>
            <w:vAlign w:val="center"/>
          </w:tcPr>
          <w:p>
            <w:pPr>
              <w:pStyle w:val="14"/>
            </w:pPr>
            <w:r>
              <w:t>党建及文化建设工作完成率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培训完成率</w:t>
            </w:r>
          </w:p>
        </w:tc>
        <w:tc>
          <w:tcPr>
            <w:tcW w:w="2835" w:type="dxa"/>
            <w:vAlign w:val="center"/>
          </w:tcPr>
          <w:p>
            <w:pPr>
              <w:pStyle w:val="14"/>
            </w:pPr>
            <w:r>
              <w:t>培训完成率</w:t>
            </w:r>
          </w:p>
        </w:tc>
        <w:tc>
          <w:tcPr>
            <w:tcW w:w="2551" w:type="dxa"/>
            <w:vAlign w:val="center"/>
          </w:tcPr>
          <w:p>
            <w:pPr>
              <w:pStyle w:val="14"/>
            </w:pPr>
            <w:r>
              <w:t>≥95 百分比</w:t>
            </w:r>
          </w:p>
        </w:tc>
        <w:tc>
          <w:tcPr>
            <w:tcW w:w="2268" w:type="dxa"/>
            <w:vAlign w:val="center"/>
          </w:tcPr>
          <w:p>
            <w:pPr>
              <w:pStyle w:val="14"/>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开展培训、组织党员活动按年度工</w:t>
            </w:r>
          </w:p>
        </w:tc>
        <w:tc>
          <w:tcPr>
            <w:tcW w:w="2835" w:type="dxa"/>
            <w:vAlign w:val="center"/>
          </w:tcPr>
          <w:p>
            <w:pPr>
              <w:pStyle w:val="14"/>
            </w:pPr>
            <w:r>
              <w:t>开展培训、组织党员活动按年度工作计划比例</w:t>
            </w:r>
          </w:p>
        </w:tc>
        <w:tc>
          <w:tcPr>
            <w:tcW w:w="2551" w:type="dxa"/>
            <w:vAlign w:val="center"/>
          </w:tcPr>
          <w:p>
            <w:pPr>
              <w:pStyle w:val="14"/>
            </w:pPr>
            <w:r>
              <w:t>≥95 百分比</w:t>
            </w:r>
          </w:p>
        </w:tc>
        <w:tc>
          <w:tcPr>
            <w:tcW w:w="2268" w:type="dxa"/>
            <w:vAlign w:val="center"/>
          </w:tcPr>
          <w:p>
            <w:pPr>
              <w:pStyle w:val="14"/>
            </w:pPr>
            <w:r>
              <w:t>开展培训、组织党员活动按年度工作计划比例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 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 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加强党风廉政建设</w:t>
            </w:r>
          </w:p>
        </w:tc>
        <w:tc>
          <w:tcPr>
            <w:tcW w:w="2835" w:type="dxa"/>
            <w:vAlign w:val="center"/>
          </w:tcPr>
          <w:p>
            <w:pPr>
              <w:pStyle w:val="14"/>
            </w:pPr>
            <w:r>
              <w:t>加强党风廉政建设</w:t>
            </w:r>
          </w:p>
        </w:tc>
        <w:tc>
          <w:tcPr>
            <w:tcW w:w="2551" w:type="dxa"/>
            <w:vAlign w:val="center"/>
          </w:tcPr>
          <w:p>
            <w:pPr>
              <w:pStyle w:val="14"/>
            </w:pPr>
            <w:r>
              <w:t>≥95 百分比</w:t>
            </w:r>
          </w:p>
        </w:tc>
        <w:tc>
          <w:tcPr>
            <w:tcW w:w="2268" w:type="dxa"/>
            <w:vAlign w:val="center"/>
          </w:tcPr>
          <w:p>
            <w:pPr>
              <w:pStyle w:val="14"/>
            </w:pPr>
            <w:r>
              <w:t>加强党风廉政建设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 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营造讲党史、感党恩、跟党走的浓</w:t>
            </w:r>
          </w:p>
        </w:tc>
        <w:tc>
          <w:tcPr>
            <w:tcW w:w="2835" w:type="dxa"/>
            <w:vAlign w:val="center"/>
          </w:tcPr>
          <w:p>
            <w:pPr>
              <w:pStyle w:val="14"/>
            </w:pPr>
            <w:r>
              <w:t>营造讲党史、感党恩、跟党走的浓厚氛围</w:t>
            </w:r>
          </w:p>
        </w:tc>
        <w:tc>
          <w:tcPr>
            <w:tcW w:w="2551" w:type="dxa"/>
            <w:vAlign w:val="center"/>
          </w:tcPr>
          <w:p>
            <w:pPr>
              <w:pStyle w:val="14"/>
            </w:pPr>
            <w:r>
              <w:t>≥95 百分比</w:t>
            </w:r>
          </w:p>
        </w:tc>
        <w:tc>
          <w:tcPr>
            <w:tcW w:w="2268" w:type="dxa"/>
            <w:vAlign w:val="center"/>
          </w:tcPr>
          <w:p>
            <w:pPr>
              <w:pStyle w:val="14"/>
            </w:pPr>
            <w:r>
              <w:t>营造讲党史、感党恩、跟党走的浓厚氛围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 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4、国有企业集团资产整合融资评估绩效目标表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≥95百分比</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5、国有企业及代建中心展板制作、工程项目资料印制、宣传资料等绩效目标表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培训完成率</w:t>
            </w:r>
          </w:p>
        </w:tc>
        <w:tc>
          <w:tcPr>
            <w:tcW w:w="2835" w:type="dxa"/>
            <w:vAlign w:val="center"/>
          </w:tcPr>
          <w:p>
            <w:pPr>
              <w:pStyle w:val="14"/>
            </w:pPr>
            <w:r>
              <w:t>培训完成率</w:t>
            </w:r>
          </w:p>
        </w:tc>
        <w:tc>
          <w:tcPr>
            <w:tcW w:w="2551" w:type="dxa"/>
            <w:vAlign w:val="center"/>
          </w:tcPr>
          <w:p>
            <w:pPr>
              <w:pStyle w:val="14"/>
            </w:pPr>
            <w:r>
              <w:t>≥95 百分比</w:t>
            </w:r>
          </w:p>
        </w:tc>
        <w:tc>
          <w:tcPr>
            <w:tcW w:w="2268" w:type="dxa"/>
            <w:vAlign w:val="center"/>
          </w:tcPr>
          <w:p>
            <w:pPr>
              <w:pStyle w:val="14"/>
            </w:pPr>
            <w:r>
              <w:t xml:space="preserve"> 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 百分比</w:t>
            </w:r>
          </w:p>
        </w:tc>
        <w:tc>
          <w:tcPr>
            <w:tcW w:w="2268" w:type="dxa"/>
            <w:vAlign w:val="center"/>
          </w:tcPr>
          <w:p>
            <w:pPr>
              <w:pStyle w:val="14"/>
            </w:pPr>
            <w:r>
              <w:t xml:space="preserve"> 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 百分比</w:t>
            </w:r>
          </w:p>
        </w:tc>
        <w:tc>
          <w:tcPr>
            <w:tcW w:w="2268" w:type="dxa"/>
            <w:vAlign w:val="center"/>
          </w:tcPr>
          <w:p>
            <w:pPr>
              <w:pStyle w:val="14"/>
            </w:pPr>
            <w:r>
              <w:t xml:space="preserve"> 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 百分比</w:t>
            </w:r>
          </w:p>
        </w:tc>
        <w:tc>
          <w:tcPr>
            <w:tcW w:w="2268" w:type="dxa"/>
            <w:vAlign w:val="center"/>
          </w:tcPr>
          <w:p>
            <w:pPr>
              <w:pStyle w:val="14"/>
            </w:pPr>
            <w:r>
              <w:t xml:space="preserve"> 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 百分比</w:t>
            </w:r>
          </w:p>
        </w:tc>
        <w:tc>
          <w:tcPr>
            <w:tcW w:w="2268" w:type="dxa"/>
            <w:vAlign w:val="center"/>
          </w:tcPr>
          <w:p>
            <w:pPr>
              <w:pStyle w:val="14"/>
            </w:pPr>
            <w:r>
              <w:t xml:space="preserve"> 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 百分比</w:t>
            </w:r>
          </w:p>
        </w:tc>
        <w:tc>
          <w:tcPr>
            <w:tcW w:w="2268" w:type="dxa"/>
            <w:vAlign w:val="center"/>
          </w:tcPr>
          <w:p>
            <w:pPr>
              <w:pStyle w:val="14"/>
            </w:pPr>
            <w:r>
              <w:t xml:space="preserve"> 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 百分比</w:t>
            </w:r>
          </w:p>
        </w:tc>
        <w:tc>
          <w:tcPr>
            <w:tcW w:w="2268" w:type="dxa"/>
            <w:vAlign w:val="center"/>
          </w:tcPr>
          <w:p>
            <w:pPr>
              <w:pStyle w:val="14"/>
            </w:pPr>
            <w:r>
              <w:t xml:space="preserve"> 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 百分比</w:t>
            </w:r>
          </w:p>
        </w:tc>
        <w:tc>
          <w:tcPr>
            <w:tcW w:w="2268" w:type="dxa"/>
            <w:vAlign w:val="center"/>
          </w:tcPr>
          <w:p>
            <w:pPr>
              <w:pStyle w:val="14"/>
            </w:pPr>
            <w:r>
              <w:t xml:space="preserve"> 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6、国有企业年度审计费和合并财务报表绩效目标表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审计计划完成率</w:t>
            </w:r>
          </w:p>
        </w:tc>
        <w:tc>
          <w:tcPr>
            <w:tcW w:w="2835" w:type="dxa"/>
            <w:vAlign w:val="center"/>
          </w:tcPr>
          <w:p>
            <w:pPr>
              <w:pStyle w:val="14"/>
            </w:pPr>
            <w:r>
              <w:t>审计计划完成率</w:t>
            </w:r>
          </w:p>
        </w:tc>
        <w:tc>
          <w:tcPr>
            <w:tcW w:w="2551" w:type="dxa"/>
            <w:vAlign w:val="center"/>
          </w:tcPr>
          <w:p>
            <w:pPr>
              <w:pStyle w:val="14"/>
            </w:pPr>
            <w:r>
              <w:t>≥95百分比</w:t>
            </w:r>
          </w:p>
        </w:tc>
        <w:tc>
          <w:tcPr>
            <w:tcW w:w="2268" w:type="dxa"/>
            <w:vAlign w:val="center"/>
          </w:tcPr>
          <w:p>
            <w:pPr>
              <w:pStyle w:val="14"/>
            </w:pPr>
            <w:r>
              <w:t>审计计划完成率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项目实际成本</w:t>
            </w:r>
          </w:p>
        </w:tc>
        <w:tc>
          <w:tcPr>
            <w:tcW w:w="2551" w:type="dxa"/>
            <w:vAlign w:val="center"/>
          </w:tcPr>
          <w:p>
            <w:pPr>
              <w:pStyle w:val="14"/>
            </w:pPr>
            <w:r>
              <w:t>≥95百分比</w:t>
            </w:r>
          </w:p>
        </w:tc>
        <w:tc>
          <w:tcPr>
            <w:tcW w:w="2268" w:type="dxa"/>
            <w:vAlign w:val="center"/>
          </w:tcPr>
          <w:p>
            <w:pPr>
              <w:pStyle w:val="14"/>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强化国有资产管理</w:t>
            </w:r>
          </w:p>
        </w:tc>
        <w:tc>
          <w:tcPr>
            <w:tcW w:w="2835" w:type="dxa"/>
            <w:vAlign w:val="center"/>
          </w:tcPr>
          <w:p>
            <w:pPr>
              <w:pStyle w:val="14"/>
            </w:pPr>
            <w:r>
              <w:t>可持续影响的效果</w:t>
            </w:r>
          </w:p>
        </w:tc>
        <w:tc>
          <w:tcPr>
            <w:tcW w:w="2551" w:type="dxa"/>
            <w:vAlign w:val="center"/>
          </w:tcPr>
          <w:p>
            <w:pPr>
              <w:pStyle w:val="14"/>
            </w:pPr>
            <w:r>
              <w:t>≥95百分比</w:t>
            </w:r>
          </w:p>
        </w:tc>
        <w:tc>
          <w:tcPr>
            <w:tcW w:w="2268" w:type="dxa"/>
            <w:vAlign w:val="center"/>
          </w:tcPr>
          <w:p>
            <w:pPr>
              <w:pStyle w:val="14"/>
            </w:pPr>
            <w:r>
              <w:t>可持续影响的效果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7、国有企业人员培训绩效目标表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培训计划按期完成率（%）</w:t>
            </w:r>
          </w:p>
        </w:tc>
        <w:tc>
          <w:tcPr>
            <w:tcW w:w="2835" w:type="dxa"/>
            <w:vAlign w:val="center"/>
          </w:tcPr>
          <w:p>
            <w:pPr>
              <w:pStyle w:val="14"/>
            </w:pPr>
            <w:r>
              <w:t>培训计划按期完成率（%）</w:t>
            </w:r>
          </w:p>
        </w:tc>
        <w:tc>
          <w:tcPr>
            <w:tcW w:w="2551" w:type="dxa"/>
            <w:vAlign w:val="center"/>
          </w:tcPr>
          <w:p>
            <w:pPr>
              <w:pStyle w:val="14"/>
            </w:pPr>
            <w:r>
              <w:t>≥95百分比</w:t>
            </w:r>
          </w:p>
        </w:tc>
        <w:tc>
          <w:tcPr>
            <w:tcW w:w="2268" w:type="dxa"/>
            <w:vAlign w:val="center"/>
          </w:tcPr>
          <w:p>
            <w:pPr>
              <w:pStyle w:val="14"/>
            </w:pPr>
            <w:r>
              <w:t>培训计划按期完成率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培训完成率</w:t>
            </w:r>
          </w:p>
        </w:tc>
        <w:tc>
          <w:tcPr>
            <w:tcW w:w="2835" w:type="dxa"/>
            <w:vAlign w:val="center"/>
          </w:tcPr>
          <w:p>
            <w:pPr>
              <w:pStyle w:val="14"/>
            </w:pPr>
            <w:r>
              <w:t>培训完成率</w:t>
            </w:r>
          </w:p>
        </w:tc>
        <w:tc>
          <w:tcPr>
            <w:tcW w:w="2551" w:type="dxa"/>
            <w:vAlign w:val="center"/>
          </w:tcPr>
          <w:p>
            <w:pPr>
              <w:pStyle w:val="14"/>
            </w:pPr>
            <w:r>
              <w:t>≥95百分比</w:t>
            </w:r>
          </w:p>
        </w:tc>
        <w:tc>
          <w:tcPr>
            <w:tcW w:w="2268" w:type="dxa"/>
            <w:vAlign w:val="center"/>
          </w:tcPr>
          <w:p>
            <w:pPr>
              <w:pStyle w:val="14"/>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培训及时性</w:t>
            </w:r>
          </w:p>
        </w:tc>
        <w:tc>
          <w:tcPr>
            <w:tcW w:w="2835" w:type="dxa"/>
            <w:vAlign w:val="center"/>
          </w:tcPr>
          <w:p>
            <w:pPr>
              <w:pStyle w:val="14"/>
            </w:pPr>
            <w:r>
              <w:t>培训及时性</w:t>
            </w:r>
          </w:p>
        </w:tc>
        <w:tc>
          <w:tcPr>
            <w:tcW w:w="2551" w:type="dxa"/>
            <w:vAlign w:val="center"/>
          </w:tcPr>
          <w:p>
            <w:pPr>
              <w:pStyle w:val="14"/>
            </w:pPr>
            <w:r>
              <w:t>≥95百分比</w:t>
            </w:r>
          </w:p>
        </w:tc>
        <w:tc>
          <w:tcPr>
            <w:tcW w:w="2268" w:type="dxa"/>
            <w:vAlign w:val="center"/>
          </w:tcPr>
          <w:p>
            <w:pPr>
              <w:pStyle w:val="14"/>
            </w:pPr>
            <w:r>
              <w:t>培训及时性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培训标准</w:t>
            </w:r>
          </w:p>
        </w:tc>
        <w:tc>
          <w:tcPr>
            <w:tcW w:w="2835" w:type="dxa"/>
            <w:vAlign w:val="center"/>
          </w:tcPr>
          <w:p>
            <w:pPr>
              <w:pStyle w:val="14"/>
            </w:pPr>
            <w:r>
              <w:t>培训标准</w:t>
            </w:r>
          </w:p>
        </w:tc>
        <w:tc>
          <w:tcPr>
            <w:tcW w:w="2551" w:type="dxa"/>
            <w:vAlign w:val="center"/>
          </w:tcPr>
          <w:p>
            <w:pPr>
              <w:pStyle w:val="14"/>
            </w:pPr>
            <w:r>
              <w:t>≥95百分比</w:t>
            </w:r>
          </w:p>
        </w:tc>
        <w:tc>
          <w:tcPr>
            <w:tcW w:w="2268" w:type="dxa"/>
            <w:vAlign w:val="center"/>
          </w:tcPr>
          <w:p>
            <w:pPr>
              <w:pStyle w:val="14"/>
            </w:pPr>
            <w:r>
              <w:t>培训标准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培训工作经济效益提升</w:t>
            </w:r>
          </w:p>
        </w:tc>
        <w:tc>
          <w:tcPr>
            <w:tcW w:w="2835" w:type="dxa"/>
            <w:vAlign w:val="center"/>
          </w:tcPr>
          <w:p>
            <w:pPr>
              <w:pStyle w:val="14"/>
            </w:pPr>
            <w:r>
              <w:t>培训工作经济效益提升</w:t>
            </w:r>
          </w:p>
        </w:tc>
        <w:tc>
          <w:tcPr>
            <w:tcW w:w="2551" w:type="dxa"/>
            <w:vAlign w:val="center"/>
          </w:tcPr>
          <w:p>
            <w:pPr>
              <w:pStyle w:val="14"/>
            </w:pPr>
            <w:r>
              <w:t>≥95百分比</w:t>
            </w:r>
          </w:p>
        </w:tc>
        <w:tc>
          <w:tcPr>
            <w:tcW w:w="2268" w:type="dxa"/>
            <w:vAlign w:val="center"/>
          </w:tcPr>
          <w:p>
            <w:pPr>
              <w:pStyle w:val="14"/>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培训合规率</w:t>
            </w:r>
          </w:p>
        </w:tc>
        <w:tc>
          <w:tcPr>
            <w:tcW w:w="2835" w:type="dxa"/>
            <w:vAlign w:val="center"/>
          </w:tcPr>
          <w:p>
            <w:pPr>
              <w:pStyle w:val="14"/>
            </w:pPr>
            <w:r>
              <w:t>培训合规率</w:t>
            </w:r>
          </w:p>
        </w:tc>
        <w:tc>
          <w:tcPr>
            <w:tcW w:w="2551" w:type="dxa"/>
            <w:vAlign w:val="center"/>
          </w:tcPr>
          <w:p>
            <w:pPr>
              <w:pStyle w:val="14"/>
            </w:pPr>
            <w:r>
              <w:t>≥95百分比</w:t>
            </w:r>
          </w:p>
        </w:tc>
        <w:tc>
          <w:tcPr>
            <w:tcW w:w="2268" w:type="dxa"/>
            <w:vAlign w:val="center"/>
          </w:tcPr>
          <w:p>
            <w:pPr>
              <w:pStyle w:val="14"/>
            </w:pPr>
            <w:r>
              <w:t>培训合规率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≥95百分比</w:t>
            </w:r>
          </w:p>
        </w:tc>
        <w:tc>
          <w:tcPr>
            <w:tcW w:w="2268" w:type="dxa"/>
            <w:vAlign w:val="center"/>
          </w:tcPr>
          <w:p>
            <w:pPr>
              <w:pStyle w:val="14"/>
            </w:pPr>
            <w:r>
              <w:t>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8、国有企业相关法律、会计事务咨询绩效目标表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法律服务质量</w:t>
            </w:r>
          </w:p>
        </w:tc>
        <w:tc>
          <w:tcPr>
            <w:tcW w:w="2835" w:type="dxa"/>
            <w:vAlign w:val="center"/>
          </w:tcPr>
          <w:p>
            <w:pPr>
              <w:pStyle w:val="14"/>
            </w:pPr>
            <w:r>
              <w:t>法律服务质量</w:t>
            </w:r>
          </w:p>
        </w:tc>
        <w:tc>
          <w:tcPr>
            <w:tcW w:w="2551" w:type="dxa"/>
            <w:vAlign w:val="center"/>
          </w:tcPr>
          <w:p>
            <w:pPr>
              <w:pStyle w:val="14"/>
            </w:pPr>
            <w:r>
              <w:t>≥95百分比</w:t>
            </w:r>
          </w:p>
        </w:tc>
        <w:tc>
          <w:tcPr>
            <w:tcW w:w="2268" w:type="dxa"/>
            <w:vAlign w:val="center"/>
          </w:tcPr>
          <w:p>
            <w:pPr>
              <w:pStyle w:val="14"/>
            </w:pPr>
            <w:r>
              <w:t>法律服务质量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2835" w:type="dxa"/>
            <w:vAlign w:val="center"/>
          </w:tcPr>
          <w:p>
            <w:pPr>
              <w:pStyle w:val="14"/>
            </w:pPr>
            <w:r>
              <w:t>及时性</w:t>
            </w:r>
          </w:p>
        </w:tc>
        <w:tc>
          <w:tcPr>
            <w:tcW w:w="2551" w:type="dxa"/>
            <w:vAlign w:val="center"/>
          </w:tcPr>
          <w:p>
            <w:pPr>
              <w:pStyle w:val="14"/>
            </w:pPr>
            <w:r>
              <w:t>≥95百分比</w:t>
            </w:r>
          </w:p>
        </w:tc>
        <w:tc>
          <w:tcPr>
            <w:tcW w:w="2268" w:type="dxa"/>
            <w:vAlign w:val="center"/>
          </w:tcPr>
          <w:p>
            <w:pPr>
              <w:pStyle w:val="14"/>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≥95百分比</w:t>
            </w:r>
          </w:p>
        </w:tc>
        <w:tc>
          <w:tcPr>
            <w:tcW w:w="2268" w:type="dxa"/>
            <w:vAlign w:val="center"/>
          </w:tcPr>
          <w:p>
            <w:pPr>
              <w:pStyle w:val="14"/>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≥95百分比</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≥95百分比</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业务能力增强</w:t>
            </w:r>
          </w:p>
        </w:tc>
        <w:tc>
          <w:tcPr>
            <w:tcW w:w="2835" w:type="dxa"/>
            <w:vAlign w:val="center"/>
          </w:tcPr>
          <w:p>
            <w:pPr>
              <w:pStyle w:val="14"/>
            </w:pPr>
            <w:r>
              <w:t>业务能力增强</w:t>
            </w:r>
          </w:p>
        </w:tc>
        <w:tc>
          <w:tcPr>
            <w:tcW w:w="2551" w:type="dxa"/>
            <w:vAlign w:val="center"/>
          </w:tcPr>
          <w:p>
            <w:pPr>
              <w:pStyle w:val="14"/>
            </w:pPr>
            <w:r>
              <w:t>≥95百分比</w:t>
            </w:r>
          </w:p>
        </w:tc>
        <w:tc>
          <w:tcPr>
            <w:tcW w:w="2268" w:type="dxa"/>
            <w:vAlign w:val="center"/>
          </w:tcPr>
          <w:p>
            <w:pPr>
              <w:pStyle w:val="14"/>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9、国资委提前下达2023年国有企业退休人员社会化管理补助资金冀财资（2022）94号绩效目标表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2835" w:type="dxa"/>
            <w:vAlign w:val="center"/>
          </w:tcPr>
          <w:p>
            <w:pPr>
              <w:pStyle w:val="14"/>
            </w:pPr>
            <w:r>
              <w:t>服务人数</w:t>
            </w:r>
          </w:p>
        </w:tc>
        <w:tc>
          <w:tcPr>
            <w:tcW w:w="2551" w:type="dxa"/>
            <w:vAlign w:val="center"/>
          </w:tcPr>
          <w:p>
            <w:pPr>
              <w:pStyle w:val="14"/>
            </w:pPr>
            <w:r>
              <w:t>≥80合格</w:t>
            </w:r>
          </w:p>
        </w:tc>
        <w:tc>
          <w:tcPr>
            <w:tcW w:w="2268" w:type="dxa"/>
            <w:vAlign w:val="center"/>
          </w:tcPr>
          <w:p>
            <w:pPr>
              <w:pStyle w:val="14"/>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≥85合格</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2835" w:type="dxa"/>
            <w:vAlign w:val="center"/>
          </w:tcPr>
          <w:p>
            <w:pPr>
              <w:pStyle w:val="14"/>
            </w:pPr>
            <w:r>
              <w:t>资金发放准时率</w:t>
            </w:r>
          </w:p>
        </w:tc>
        <w:tc>
          <w:tcPr>
            <w:tcW w:w="2551" w:type="dxa"/>
            <w:vAlign w:val="center"/>
          </w:tcPr>
          <w:p>
            <w:pPr>
              <w:pStyle w:val="14"/>
            </w:pPr>
            <w:r>
              <w:t>≥95合格</w:t>
            </w:r>
          </w:p>
        </w:tc>
        <w:tc>
          <w:tcPr>
            <w:tcW w:w="2268" w:type="dxa"/>
            <w:vAlign w:val="center"/>
          </w:tcPr>
          <w:p>
            <w:pPr>
              <w:pStyle w:val="14"/>
            </w:pPr>
            <w:r>
              <w:t>资金发放准时率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≤20合格</w:t>
            </w:r>
          </w:p>
        </w:tc>
        <w:tc>
          <w:tcPr>
            <w:tcW w:w="2268" w:type="dxa"/>
            <w:vAlign w:val="center"/>
          </w:tcPr>
          <w:p>
            <w:pPr>
              <w:pStyle w:val="14"/>
            </w:pPr>
            <w:r>
              <w:t>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≥75合格</w:t>
            </w:r>
          </w:p>
        </w:tc>
        <w:tc>
          <w:tcPr>
            <w:tcW w:w="2268" w:type="dxa"/>
            <w:vAlign w:val="center"/>
          </w:tcPr>
          <w:p>
            <w:pPr>
              <w:pStyle w:val="14"/>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提供服务次数</w:t>
            </w:r>
          </w:p>
        </w:tc>
        <w:tc>
          <w:tcPr>
            <w:tcW w:w="2835" w:type="dxa"/>
            <w:vAlign w:val="center"/>
          </w:tcPr>
          <w:p>
            <w:pPr>
              <w:pStyle w:val="14"/>
            </w:pPr>
            <w:r>
              <w:t>提供服务次数</w:t>
            </w:r>
          </w:p>
        </w:tc>
        <w:tc>
          <w:tcPr>
            <w:tcW w:w="2551" w:type="dxa"/>
            <w:vAlign w:val="center"/>
          </w:tcPr>
          <w:p>
            <w:pPr>
              <w:pStyle w:val="14"/>
            </w:pPr>
            <w:r>
              <w:t>≥5合格</w:t>
            </w:r>
          </w:p>
        </w:tc>
        <w:tc>
          <w:tcPr>
            <w:tcW w:w="2268" w:type="dxa"/>
            <w:vAlign w:val="center"/>
          </w:tcPr>
          <w:p>
            <w:pPr>
              <w:pStyle w:val="14"/>
            </w:pPr>
            <w:r>
              <w:t>提供服务次数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老残人员经费保障覆盖率</w:t>
            </w:r>
          </w:p>
        </w:tc>
        <w:tc>
          <w:tcPr>
            <w:tcW w:w="2835" w:type="dxa"/>
            <w:vAlign w:val="center"/>
          </w:tcPr>
          <w:p>
            <w:pPr>
              <w:pStyle w:val="14"/>
            </w:pPr>
            <w:r>
              <w:t>老残人员经费保障覆盖率</w:t>
            </w:r>
          </w:p>
        </w:tc>
        <w:tc>
          <w:tcPr>
            <w:tcW w:w="2551" w:type="dxa"/>
            <w:vAlign w:val="center"/>
          </w:tcPr>
          <w:p>
            <w:pPr>
              <w:pStyle w:val="14"/>
            </w:pPr>
            <w:r>
              <w:t>≥80合格</w:t>
            </w:r>
          </w:p>
        </w:tc>
        <w:tc>
          <w:tcPr>
            <w:tcW w:w="2268" w:type="dxa"/>
            <w:vAlign w:val="center"/>
          </w:tcPr>
          <w:p>
            <w:pPr>
              <w:pStyle w:val="14"/>
            </w:pPr>
            <w:r>
              <w:t>老残人员经费保障覆盖率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≥80合格</w:t>
            </w:r>
          </w:p>
        </w:tc>
        <w:tc>
          <w:tcPr>
            <w:tcW w:w="2268" w:type="dxa"/>
            <w:vAlign w:val="center"/>
          </w:tcPr>
          <w:p>
            <w:pPr>
              <w:pStyle w:val="14"/>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≥85合格</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10、政府投资建设项目代建事务新增人员进行办公家具及设备购置绩效目标表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项目完成情况</w:t>
            </w:r>
          </w:p>
          <w:p>
            <w:pPr>
              <w:pStyle w:val="14"/>
            </w:pPr>
          </w:p>
          <w:p>
            <w:pPr>
              <w:pStyle w:val="14"/>
            </w:pPr>
          </w:p>
        </w:tc>
        <w:tc>
          <w:tcPr>
            <w:tcW w:w="2835" w:type="dxa"/>
            <w:vAlign w:val="center"/>
          </w:tcPr>
          <w:p>
            <w:pPr>
              <w:pStyle w:val="14"/>
            </w:pPr>
            <w:r>
              <w:t>项目完成情况</w:t>
            </w:r>
          </w:p>
          <w:p>
            <w:pPr>
              <w:pStyle w:val="14"/>
            </w:pPr>
          </w:p>
          <w:p>
            <w:pPr>
              <w:pStyle w:val="14"/>
            </w:pPr>
          </w:p>
        </w:tc>
        <w:tc>
          <w:tcPr>
            <w:tcW w:w="2551" w:type="dxa"/>
            <w:vAlign w:val="center"/>
          </w:tcPr>
          <w:p>
            <w:pPr>
              <w:pStyle w:val="14"/>
            </w:pPr>
            <w:r>
              <w:t>≥95百分比</w:t>
            </w:r>
          </w:p>
        </w:tc>
        <w:tc>
          <w:tcPr>
            <w:tcW w:w="2268" w:type="dxa"/>
            <w:vAlign w:val="center"/>
          </w:tcPr>
          <w:p>
            <w:pPr>
              <w:pStyle w:val="14"/>
            </w:pPr>
            <w:r>
              <w:t>项目完成情况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办公设备和办公用品购置合格率</w:t>
            </w:r>
            <w:r>
              <w:tab/>
            </w:r>
          </w:p>
        </w:tc>
        <w:tc>
          <w:tcPr>
            <w:tcW w:w="2835" w:type="dxa"/>
            <w:vAlign w:val="center"/>
          </w:tcPr>
          <w:p>
            <w:pPr>
              <w:pStyle w:val="14"/>
            </w:pPr>
            <w:r>
              <w:t>办公设备和办公用品购置合格率</w:t>
            </w:r>
            <w:r>
              <w:tab/>
            </w:r>
          </w:p>
        </w:tc>
        <w:tc>
          <w:tcPr>
            <w:tcW w:w="2551" w:type="dxa"/>
            <w:vAlign w:val="center"/>
          </w:tcPr>
          <w:p>
            <w:pPr>
              <w:pStyle w:val="14"/>
            </w:pPr>
            <w:r>
              <w:t>≥95百分比</w:t>
            </w:r>
          </w:p>
        </w:tc>
        <w:tc>
          <w:tcPr>
            <w:tcW w:w="2268" w:type="dxa"/>
            <w:vAlign w:val="center"/>
          </w:tcPr>
          <w:p>
            <w:pPr>
              <w:pStyle w:val="14"/>
            </w:pPr>
            <w:r>
              <w:t>办公设备和办公用品购置合格率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2835" w:type="dxa"/>
            <w:vAlign w:val="center"/>
          </w:tcPr>
          <w:p>
            <w:pPr>
              <w:pStyle w:val="14"/>
            </w:pPr>
            <w:r>
              <w:t>办公用品采购及时率</w:t>
            </w:r>
          </w:p>
        </w:tc>
        <w:tc>
          <w:tcPr>
            <w:tcW w:w="2551" w:type="dxa"/>
            <w:vAlign w:val="center"/>
          </w:tcPr>
          <w:p>
            <w:pPr>
              <w:pStyle w:val="14"/>
            </w:pPr>
            <w:r>
              <w:t>≥95百分比</w:t>
            </w:r>
          </w:p>
        </w:tc>
        <w:tc>
          <w:tcPr>
            <w:tcW w:w="2268" w:type="dxa"/>
            <w:vAlign w:val="center"/>
          </w:tcPr>
          <w:p>
            <w:pPr>
              <w:pStyle w:val="14"/>
            </w:pPr>
            <w:r>
              <w:t>办公用品采购及时率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办公费</w:t>
            </w:r>
          </w:p>
        </w:tc>
        <w:tc>
          <w:tcPr>
            <w:tcW w:w="2835" w:type="dxa"/>
            <w:vAlign w:val="center"/>
          </w:tcPr>
          <w:p>
            <w:pPr>
              <w:pStyle w:val="14"/>
            </w:pPr>
            <w:r>
              <w:t>办公费</w:t>
            </w:r>
          </w:p>
        </w:tc>
        <w:tc>
          <w:tcPr>
            <w:tcW w:w="2551" w:type="dxa"/>
            <w:vAlign w:val="center"/>
          </w:tcPr>
          <w:p>
            <w:pPr>
              <w:pStyle w:val="14"/>
            </w:pPr>
            <w:r>
              <w:t>≥95百分比</w:t>
            </w:r>
          </w:p>
        </w:tc>
        <w:tc>
          <w:tcPr>
            <w:tcW w:w="2268" w:type="dxa"/>
            <w:vAlign w:val="center"/>
          </w:tcPr>
          <w:p>
            <w:pPr>
              <w:pStyle w:val="14"/>
            </w:pPr>
            <w:r>
              <w:t>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办公经费、专用材料费</w:t>
            </w:r>
          </w:p>
        </w:tc>
        <w:tc>
          <w:tcPr>
            <w:tcW w:w="2835" w:type="dxa"/>
            <w:vAlign w:val="center"/>
          </w:tcPr>
          <w:p>
            <w:pPr>
              <w:pStyle w:val="14"/>
            </w:pPr>
            <w:r>
              <w:t>办公经费、专用材料费</w:t>
            </w:r>
          </w:p>
        </w:tc>
        <w:tc>
          <w:tcPr>
            <w:tcW w:w="2551" w:type="dxa"/>
            <w:vAlign w:val="center"/>
          </w:tcPr>
          <w:p>
            <w:pPr>
              <w:pStyle w:val="14"/>
            </w:pPr>
            <w:r>
              <w:t>≥95百分比</w:t>
            </w:r>
          </w:p>
        </w:tc>
        <w:tc>
          <w:tcPr>
            <w:tcW w:w="2268" w:type="dxa"/>
            <w:vAlign w:val="center"/>
          </w:tcPr>
          <w:p>
            <w:pPr>
              <w:pStyle w:val="14"/>
            </w:pPr>
            <w:r>
              <w:t>办公经费、专用材料费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保障正常办公</w:t>
            </w:r>
          </w:p>
        </w:tc>
        <w:tc>
          <w:tcPr>
            <w:tcW w:w="2835" w:type="dxa"/>
            <w:vAlign w:val="center"/>
          </w:tcPr>
          <w:p>
            <w:pPr>
              <w:pStyle w:val="14"/>
            </w:pPr>
            <w:r>
              <w:t>保障正常办公</w:t>
            </w:r>
          </w:p>
        </w:tc>
        <w:tc>
          <w:tcPr>
            <w:tcW w:w="2551" w:type="dxa"/>
            <w:vAlign w:val="center"/>
          </w:tcPr>
          <w:p>
            <w:pPr>
              <w:pStyle w:val="14"/>
            </w:pPr>
            <w:r>
              <w:t>≥95百分比</w:t>
            </w:r>
          </w:p>
        </w:tc>
        <w:tc>
          <w:tcPr>
            <w:tcW w:w="2268" w:type="dxa"/>
            <w:vAlign w:val="center"/>
          </w:tcPr>
          <w:p>
            <w:pPr>
              <w:pStyle w:val="14"/>
            </w:pPr>
            <w:r>
              <w:t>保障正常办公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2835" w:type="dxa"/>
            <w:vAlign w:val="center"/>
          </w:tcPr>
          <w:p>
            <w:pPr>
              <w:pStyle w:val="14"/>
            </w:pPr>
            <w:r>
              <w:t>生态影响</w:t>
            </w:r>
          </w:p>
        </w:tc>
        <w:tc>
          <w:tcPr>
            <w:tcW w:w="2551" w:type="dxa"/>
            <w:vAlign w:val="center"/>
          </w:tcPr>
          <w:p>
            <w:pPr>
              <w:pStyle w:val="14"/>
            </w:pPr>
            <w:r>
              <w:t>≥95百分比</w:t>
            </w:r>
          </w:p>
        </w:tc>
        <w:tc>
          <w:tcPr>
            <w:tcW w:w="2268" w:type="dxa"/>
            <w:vAlign w:val="center"/>
          </w:tcPr>
          <w:p>
            <w:pPr>
              <w:pStyle w:val="14"/>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w:t>
            </w:r>
          </w:p>
        </w:tc>
        <w:tc>
          <w:tcPr>
            <w:tcW w:w="2835" w:type="dxa"/>
            <w:vAlign w:val="center"/>
          </w:tcPr>
          <w:p>
            <w:pPr>
              <w:pStyle w:val="14"/>
            </w:pPr>
            <w:r>
              <w:t>保障日常办公</w:t>
            </w:r>
          </w:p>
        </w:tc>
        <w:tc>
          <w:tcPr>
            <w:tcW w:w="2551" w:type="dxa"/>
            <w:vAlign w:val="center"/>
          </w:tcPr>
          <w:p>
            <w:pPr>
              <w:pStyle w:val="14"/>
            </w:pPr>
            <w:r>
              <w:t>≥95百分比</w:t>
            </w:r>
          </w:p>
        </w:tc>
        <w:tc>
          <w:tcPr>
            <w:tcW w:w="2268" w:type="dxa"/>
            <w:vAlign w:val="center"/>
          </w:tcPr>
          <w:p>
            <w:pPr>
              <w:pStyle w:val="14"/>
            </w:pPr>
            <w:r>
              <w:t>保障日常办公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≥95百分比</w:t>
            </w:r>
          </w:p>
        </w:tc>
        <w:tc>
          <w:tcPr>
            <w:tcW w:w="2268" w:type="dxa"/>
            <w:vAlign w:val="center"/>
          </w:tcPr>
          <w:p>
            <w:pPr>
              <w:pStyle w:val="14"/>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2023年，宁晋县国有企业综合服务中心本级安排政府采购预算260.00万元。具体内容见下表。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260.00</w:t>
            </w:r>
          </w:p>
        </w:tc>
        <w:tc>
          <w:tcPr>
            <w:tcW w:w="964" w:type="dxa"/>
            <w:vAlign w:val="center"/>
          </w:tcPr>
          <w:p>
            <w:pPr>
              <w:pStyle w:val="17"/>
            </w:pPr>
            <w:r>
              <w:t>260.00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宁晋县国有企业综合服务中心本级小计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260.00</w:t>
            </w:r>
          </w:p>
        </w:tc>
        <w:tc>
          <w:tcPr>
            <w:tcW w:w="964" w:type="dxa"/>
            <w:vAlign w:val="center"/>
          </w:tcPr>
          <w:p>
            <w:pPr>
              <w:pStyle w:val="17"/>
            </w:pPr>
            <w:r>
              <w:t>260.00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国有企业集团资产整合融资评估</w:t>
            </w:r>
          </w:p>
        </w:tc>
        <w:tc>
          <w:tcPr>
            <w:tcW w:w="964" w:type="dxa"/>
            <w:vAlign w:val="center"/>
          </w:tcPr>
          <w:p>
            <w:pPr>
              <w:pStyle w:val="13"/>
            </w:pPr>
            <w:r>
              <w:t>260.00</w:t>
            </w:r>
          </w:p>
        </w:tc>
        <w:tc>
          <w:tcPr>
            <w:tcW w:w="1134" w:type="dxa"/>
            <w:vAlign w:val="center"/>
          </w:tcPr>
          <w:p>
            <w:pPr>
              <w:pStyle w:val="14"/>
            </w:pPr>
            <w:r>
              <w:t>其他咨询服务</w:t>
            </w:r>
          </w:p>
        </w:tc>
        <w:tc>
          <w:tcPr>
            <w:tcW w:w="1134" w:type="dxa"/>
            <w:vAlign w:val="center"/>
          </w:tcPr>
          <w:p>
            <w:pPr>
              <w:pStyle w:val="14"/>
            </w:pPr>
            <w:r>
              <w:t>C20039900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260.00</w:t>
            </w:r>
          </w:p>
        </w:tc>
        <w:tc>
          <w:tcPr>
            <w:tcW w:w="964" w:type="dxa"/>
            <w:vAlign w:val="center"/>
          </w:tcPr>
          <w:p>
            <w:pPr>
              <w:pStyle w:val="13"/>
            </w:pPr>
            <w:r>
              <w:t>260.00</w:t>
            </w:r>
          </w:p>
        </w:tc>
        <w:tc>
          <w:tcPr>
            <w:tcW w:w="964" w:type="dxa"/>
            <w:vAlign w:val="center"/>
          </w:tcPr>
          <w:p>
            <w:pPr>
              <w:pStyle w:val="13"/>
            </w:pPr>
            <w:r>
              <w:t>260.00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宁晋县国有企业综合服务中心本级上年末固定资产金额为0.00万元（详见下表）。本年度拟购置固定资产总额为0.00万元，已按要求列入政府采购预算，详见政府采购预算表。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986001宁晋县国有企业综合服务中心本级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4NWUwZWQ0ZWY4NGY5MjZkYzU3ZGI3ODMyNmNiNmIifQ=="/>
  </w:docVars>
  <w:rsids>
    <w:rsidRoot w:val="00000000"/>
    <w:rsid w:val="1C557286"/>
    <w:rsid w:val="40FC2AB5"/>
    <w:rsid w:val="4F8A31E2"/>
    <w:rsid w:val="61C0006E"/>
    <w:rsid w:val="72357E24"/>
    <w:rsid w:val="7992108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2023-07-17T16:23:53Z</dcterms:created>
  <dcterms:modified xsi:type="dcterms:W3CDTF">2023-07-17T08:23:53Z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2023-07-17T16:24:01Z</dcterms:created>
  <dcterms:modified xsi:type="dcterms:W3CDTF">2023-07-17T08:24:01Z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2023-07-17T16:24:01Z</dcterms:created>
  <dcterms:modified xsi:type="dcterms:W3CDTF">2023-07-17T08:24:01Z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2023-07-17T16:24:01Z</dcterms:created>
  <dcterms:modified xsi:type="dcterms:W3CDTF">2023-07-17T08:24:01Z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2023-07-17T16:24:01Z</dcterms:created>
  <dcterms:modified xsi:type="dcterms:W3CDTF">2023-07-17T08:24:01Z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2023-07-17T16:24:00Z</dcterms:created>
  <dcterms:modified xsi:type="dcterms:W3CDTF">2023-07-17T08:24:00Z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2023-07-17T16:24:00Z</dcterms:created>
  <dcterms:modified xsi:type="dcterms:W3CDTF">2023-07-17T08:24:00Z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2023-07-17T16:24:00Z</dcterms:created>
  <dcterms:modified xsi:type="dcterms:W3CDTF">2023-07-17T08:24:00Z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2023-07-17T16:24:00Z</dcterms:created>
  <dcterms:modified xsi:type="dcterms:W3CDTF">2023-07-17T08:24:00Z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2023-07-17T16:23:53Z</dcterms:created>
  <dcterms:modified xsi:type="dcterms:W3CDTF">2023-07-17T08:23:53Z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2023-07-17T16:24:00Z</dcterms:created>
  <dcterms:modified xsi:type="dcterms:W3CDTF">2023-07-17T08:24:00Z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2023-07-17T16:23:53Z</dcterms:created>
  <dcterms:modified xsi:type="dcterms:W3CDTF">2023-07-17T08:23:53Z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2023-07-17T16:23:58Z</dcterms:created>
  <dcterms:modified xsi:type="dcterms:W3CDTF">2023-07-17T08:23:58Z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2023-07-17T16:23:55Z</dcterms:created>
  <dcterms:modified xsi:type="dcterms:W3CDTF">2023-07-17T08:23:55Z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2023-07-17T16:23:54Z</dcterms:created>
  <dcterms:modified xsi:type="dcterms:W3CDTF">2023-07-17T08:23:54Z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2023-07-17T16:23:54Z</dcterms:created>
  <dcterms:modified xsi:type="dcterms:W3CDTF">2023-07-17T08:23:54Z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2023-07-17T16:23:54Z</dcterms:created>
  <dcterms:modified xsi:type="dcterms:W3CDTF">2023-07-17T08:23:54Z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2023-07-17T16:23:54Z</dcterms:created>
  <dcterms:modified xsi:type="dcterms:W3CDTF">2023-07-17T08:23:54Z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2023-07-17T16:23:54Z</dcterms:created>
  <dcterms:modified xsi:type="dcterms:W3CDTF">2023-07-17T08:23:54Z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2023-07-17T16:23:54Z</dcterms:created>
  <dcterms:modified xsi:type="dcterms:W3CDTF">2023-07-17T08:23:54Z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2023-07-17T16:23:53Z</dcterms:created>
  <dcterms:modified xsi:type="dcterms:W3CDTF">2023-07-17T08:23:53Z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2023-07-17T16:23:51Z</dcterms:created>
  <dcterms:modified xsi:type="dcterms:W3CDTF">2023-07-17T08:23:51Z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2023-07-17T16:23:53Z</dcterms:created>
  <dcterms:modified xsi:type="dcterms:W3CDTF">2023-07-17T08:23:53Z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2023-07-17T16:24:02Z</dcterms:created>
  <dcterms:modified xsi:type="dcterms:W3CDTF">2023-07-17T08:24:02Z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2023-07-17T16:24:01Z</dcterms:created>
  <dcterms:modified xsi:type="dcterms:W3CDTF">2023-07-17T08:24:01Z</dcterms:modified>
</cp:coreProperties>
</file>

<file path=customXml/itemProps1.xml><?xml version="1.0" encoding="utf-8"?>
<ds:datastoreItem xmlns:ds="http://schemas.openxmlformats.org/officeDocument/2006/customXml" ds:itemID="{96cec623-22be-4cd7-9820-9efc6d4236d9}">
  <ds:schemaRefs/>
</ds:datastoreItem>
</file>

<file path=customXml/itemProps10.xml><?xml version="1.0" encoding="utf-8"?>
<ds:datastoreItem xmlns:ds="http://schemas.openxmlformats.org/officeDocument/2006/customXml" ds:itemID="{0b0f2433-05b2-4acb-b110-1466383f3752}">
  <ds:schemaRefs/>
</ds:datastoreItem>
</file>

<file path=customXml/itemProps11.xml><?xml version="1.0" encoding="utf-8"?>
<ds:datastoreItem xmlns:ds="http://schemas.openxmlformats.org/officeDocument/2006/customXml" ds:itemID="{3403e4de-3520-4a02-b682-78b3b9cc5777}">
  <ds:schemaRefs/>
</ds:datastoreItem>
</file>

<file path=customXml/itemProps12.xml><?xml version="1.0" encoding="utf-8"?>
<ds:datastoreItem xmlns:ds="http://schemas.openxmlformats.org/officeDocument/2006/customXml" ds:itemID="{210b54f8-4e23-452b-8ef6-94062dfa8069}">
  <ds:schemaRefs/>
</ds:datastoreItem>
</file>

<file path=customXml/itemProps13.xml><?xml version="1.0" encoding="utf-8"?>
<ds:datastoreItem xmlns:ds="http://schemas.openxmlformats.org/officeDocument/2006/customXml" ds:itemID="{ac01be51-31f1-4864-b9cc-84ce3e6499d0}">
  <ds:schemaRefs/>
</ds:datastoreItem>
</file>

<file path=customXml/itemProps14.xml><?xml version="1.0" encoding="utf-8"?>
<ds:datastoreItem xmlns:ds="http://schemas.openxmlformats.org/officeDocument/2006/customXml" ds:itemID="{d853910e-7616-46b1-a1e7-87a7d9e8c1ae}">
  <ds:schemaRefs/>
</ds:datastoreItem>
</file>

<file path=customXml/itemProps15.xml><?xml version="1.0" encoding="utf-8"?>
<ds:datastoreItem xmlns:ds="http://schemas.openxmlformats.org/officeDocument/2006/customXml" ds:itemID="{6901d3ce-519e-4077-8f1a-71b31847de49}">
  <ds:schemaRefs/>
</ds:datastoreItem>
</file>

<file path=customXml/itemProps16.xml><?xml version="1.0" encoding="utf-8"?>
<ds:datastoreItem xmlns:ds="http://schemas.openxmlformats.org/officeDocument/2006/customXml" ds:itemID="{c34140a9-d649-44d8-b5dd-1c6f3051fda2}">
  <ds:schemaRefs/>
</ds:datastoreItem>
</file>

<file path=customXml/itemProps17.xml><?xml version="1.0" encoding="utf-8"?>
<ds:datastoreItem xmlns:ds="http://schemas.openxmlformats.org/officeDocument/2006/customXml" ds:itemID="{0923c774-47d5-4cd2-b07a-29d974a2c778}">
  <ds:schemaRefs/>
</ds:datastoreItem>
</file>

<file path=customXml/itemProps18.xml><?xml version="1.0" encoding="utf-8"?>
<ds:datastoreItem xmlns:ds="http://schemas.openxmlformats.org/officeDocument/2006/customXml" ds:itemID="{9dd30c17-c372-4235-8901-56ade20ce3c3}">
  <ds:schemaRefs/>
</ds:datastoreItem>
</file>

<file path=customXml/itemProps19.xml><?xml version="1.0" encoding="utf-8"?>
<ds:datastoreItem xmlns:ds="http://schemas.openxmlformats.org/officeDocument/2006/customXml" ds:itemID="{2c234c90-d1c9-4978-ac11-8753db1b7c8b}">
  <ds:schemaRefs/>
</ds:datastoreItem>
</file>

<file path=customXml/itemProps2.xml><?xml version="1.0" encoding="utf-8"?>
<ds:datastoreItem xmlns:ds="http://schemas.openxmlformats.org/officeDocument/2006/customXml" ds:itemID="{ae49c32f-6b90-43bb-81c6-0e482bac3a89}">
  <ds:schemaRefs/>
</ds:datastoreItem>
</file>

<file path=customXml/itemProps20.xml><?xml version="1.0" encoding="utf-8"?>
<ds:datastoreItem xmlns:ds="http://schemas.openxmlformats.org/officeDocument/2006/customXml" ds:itemID="{7364a68b-a28f-4797-851c-b5f6423d2460}">
  <ds:schemaRefs/>
</ds:datastoreItem>
</file>

<file path=customXml/itemProps21.xml><?xml version="1.0" encoding="utf-8"?>
<ds:datastoreItem xmlns:ds="http://schemas.openxmlformats.org/officeDocument/2006/customXml" ds:itemID="{675fdd20-8218-4845-b0fa-7cdd9075d622}">
  <ds:schemaRefs/>
</ds:datastoreItem>
</file>

<file path=customXml/itemProps22.xml><?xml version="1.0" encoding="utf-8"?>
<ds:datastoreItem xmlns:ds="http://schemas.openxmlformats.org/officeDocument/2006/customXml" ds:itemID="{fbfd8959-460a-4258-9e61-ac5554c4bfc1}">
  <ds:schemaRefs/>
</ds:datastoreItem>
</file>

<file path=customXml/itemProps23.xml><?xml version="1.0" encoding="utf-8"?>
<ds:datastoreItem xmlns:ds="http://schemas.openxmlformats.org/officeDocument/2006/customXml" ds:itemID="{bfd6983d-7fa2-4e26-a2b5-f7e078fcf6a5}">
  <ds:schemaRefs/>
</ds:datastoreItem>
</file>

<file path=customXml/itemProps24.xml><?xml version="1.0" encoding="utf-8"?>
<ds:datastoreItem xmlns:ds="http://schemas.openxmlformats.org/officeDocument/2006/customXml" ds:itemID="{4f09787f-1b91-4e8c-bcfc-1845f9199291}">
  <ds:schemaRefs/>
</ds:datastoreItem>
</file>

<file path=customXml/itemProps25.xml><?xml version="1.0" encoding="utf-8"?>
<ds:datastoreItem xmlns:ds="http://schemas.openxmlformats.org/officeDocument/2006/customXml" ds:itemID="{78ebfcf5-c2c1-46bc-a185-7b07d69e4314}">
  <ds:schemaRefs/>
</ds:datastoreItem>
</file>

<file path=customXml/itemProps26.xml><?xml version="1.0" encoding="utf-8"?>
<ds:datastoreItem xmlns:ds="http://schemas.openxmlformats.org/officeDocument/2006/customXml" ds:itemID="{373cb0ff-cc2c-497a-9c53-11f32b98a525}">
  <ds:schemaRefs/>
</ds:datastoreItem>
</file>

<file path=customXml/itemProps27.xml><?xml version="1.0" encoding="utf-8"?>
<ds:datastoreItem xmlns:ds="http://schemas.openxmlformats.org/officeDocument/2006/customXml" ds:itemID="{749bf563-db52-49af-96d8-225bcfa43fb1}">
  <ds:schemaRefs/>
</ds:datastoreItem>
</file>

<file path=customXml/itemProps28.xml><?xml version="1.0" encoding="utf-8"?>
<ds:datastoreItem xmlns:ds="http://schemas.openxmlformats.org/officeDocument/2006/customXml" ds:itemID="{6e5786d4-e601-4743-a913-f0228c43ba42}">
  <ds:schemaRefs/>
</ds:datastoreItem>
</file>

<file path=customXml/itemProps29.xml><?xml version="1.0" encoding="utf-8"?>
<ds:datastoreItem xmlns:ds="http://schemas.openxmlformats.org/officeDocument/2006/customXml" ds:itemID="{56a2eb24-d01d-4be9-9614-24c43f5c7432}">
  <ds:schemaRefs/>
</ds:datastoreItem>
</file>

<file path=customXml/itemProps3.xml><?xml version="1.0" encoding="utf-8"?>
<ds:datastoreItem xmlns:ds="http://schemas.openxmlformats.org/officeDocument/2006/customXml" ds:itemID="{fbed26a9-f204-4de6-9d76-a8b4c7d34bdd}">
  <ds:schemaRefs/>
</ds:datastoreItem>
</file>

<file path=customXml/itemProps30.xml><?xml version="1.0" encoding="utf-8"?>
<ds:datastoreItem xmlns:ds="http://schemas.openxmlformats.org/officeDocument/2006/customXml" ds:itemID="{02f37216-526d-4047-8b8e-a54e4c54589d}">
  <ds:schemaRefs/>
</ds:datastoreItem>
</file>

<file path=customXml/itemProps31.xml><?xml version="1.0" encoding="utf-8"?>
<ds:datastoreItem xmlns:ds="http://schemas.openxmlformats.org/officeDocument/2006/customXml" ds:itemID="{f2f59644-e0fb-449f-85e9-660d204c9df9}">
  <ds:schemaRefs/>
</ds:datastoreItem>
</file>

<file path=customXml/itemProps32.xml><?xml version="1.0" encoding="utf-8"?>
<ds:datastoreItem xmlns:ds="http://schemas.openxmlformats.org/officeDocument/2006/customXml" ds:itemID="{e61dd532-84ae-44b4-b84f-a13d322fd69c}">
  <ds:schemaRefs/>
</ds:datastoreItem>
</file>

<file path=customXml/itemProps33.xml><?xml version="1.0" encoding="utf-8"?>
<ds:datastoreItem xmlns:ds="http://schemas.openxmlformats.org/officeDocument/2006/customXml" ds:itemID="{e6f43fb6-6425-42e4-8025-7ec812a823d2}">
  <ds:schemaRefs/>
</ds:datastoreItem>
</file>

<file path=customXml/itemProps34.xml><?xml version="1.0" encoding="utf-8"?>
<ds:datastoreItem xmlns:ds="http://schemas.openxmlformats.org/officeDocument/2006/customXml" ds:itemID="{0c18f281-961d-4480-a135-ee2610cf41cf}">
  <ds:schemaRefs/>
</ds:datastoreItem>
</file>

<file path=customXml/itemProps35.xml><?xml version="1.0" encoding="utf-8"?>
<ds:datastoreItem xmlns:ds="http://schemas.openxmlformats.org/officeDocument/2006/customXml" ds:itemID="{296cee94-97ed-432d-8788-0ab0d893a661}">
  <ds:schemaRefs/>
</ds:datastoreItem>
</file>

<file path=customXml/itemProps36.xml><?xml version="1.0" encoding="utf-8"?>
<ds:datastoreItem xmlns:ds="http://schemas.openxmlformats.org/officeDocument/2006/customXml" ds:itemID="{5a08692c-2a8e-4753-9ba8-512614e05b23}">
  <ds:schemaRefs/>
</ds:datastoreItem>
</file>

<file path=customXml/itemProps37.xml><?xml version="1.0" encoding="utf-8"?>
<ds:datastoreItem xmlns:ds="http://schemas.openxmlformats.org/officeDocument/2006/customXml" ds:itemID="{70a4b51f-447e-4986-90f7-3f1d89c69314}">
  <ds:schemaRefs/>
</ds:datastoreItem>
</file>

<file path=customXml/itemProps38.xml><?xml version="1.0" encoding="utf-8"?>
<ds:datastoreItem xmlns:ds="http://schemas.openxmlformats.org/officeDocument/2006/customXml" ds:itemID="{1a5479b0-8665-4663-b4b6-b1ce62be757f}">
  <ds:schemaRefs/>
</ds:datastoreItem>
</file>

<file path=customXml/itemProps39.xml><?xml version="1.0" encoding="utf-8"?>
<ds:datastoreItem xmlns:ds="http://schemas.openxmlformats.org/officeDocument/2006/customXml" ds:itemID="{c9f4288a-d413-4fc3-a7bf-3786fd2737b5}">
  <ds:schemaRefs/>
</ds:datastoreItem>
</file>

<file path=customXml/itemProps4.xml><?xml version="1.0" encoding="utf-8"?>
<ds:datastoreItem xmlns:ds="http://schemas.openxmlformats.org/officeDocument/2006/customXml" ds:itemID="{277dd1b7-792a-4962-b6cb-38f7ee97aaf7}">
  <ds:schemaRefs/>
</ds:datastoreItem>
</file>

<file path=customXml/itemProps40.xml><?xml version="1.0" encoding="utf-8"?>
<ds:datastoreItem xmlns:ds="http://schemas.openxmlformats.org/officeDocument/2006/customXml" ds:itemID="{c01ce872-786c-4b8a-8792-ef3ee0d03ecb}">
  <ds:schemaRefs/>
</ds:datastoreItem>
</file>

<file path=customXml/itemProps41.xml><?xml version="1.0" encoding="utf-8"?>
<ds:datastoreItem xmlns:ds="http://schemas.openxmlformats.org/officeDocument/2006/customXml" ds:itemID="{1d90ae2f-5d8a-47d5-b41f-772395199b3a}">
  <ds:schemaRefs/>
</ds:datastoreItem>
</file>

<file path=customXml/itemProps42.xml><?xml version="1.0" encoding="utf-8"?>
<ds:datastoreItem xmlns:ds="http://schemas.openxmlformats.org/officeDocument/2006/customXml" ds:itemID="{29202630-1821-4e1d-bbcf-160f65ee85f4}">
  <ds:schemaRefs/>
</ds:datastoreItem>
</file>

<file path=customXml/itemProps43.xml><?xml version="1.0" encoding="utf-8"?>
<ds:datastoreItem xmlns:ds="http://schemas.openxmlformats.org/officeDocument/2006/customXml" ds:itemID="{b6350ee3-9567-4159-8337-c128b5b8eb1b}">
  <ds:schemaRefs/>
</ds:datastoreItem>
</file>

<file path=customXml/itemProps44.xml><?xml version="1.0" encoding="utf-8"?>
<ds:datastoreItem xmlns:ds="http://schemas.openxmlformats.org/officeDocument/2006/customXml" ds:itemID="{4d317b1e-747a-411a-a985-31df0725972c}">
  <ds:schemaRefs/>
</ds:datastoreItem>
</file>

<file path=customXml/itemProps45.xml><?xml version="1.0" encoding="utf-8"?>
<ds:datastoreItem xmlns:ds="http://schemas.openxmlformats.org/officeDocument/2006/customXml" ds:itemID="{92f0dcce-8b6d-40f9-9310-06b04664f3d9}">
  <ds:schemaRefs/>
</ds:datastoreItem>
</file>

<file path=customXml/itemProps46.xml><?xml version="1.0" encoding="utf-8"?>
<ds:datastoreItem xmlns:ds="http://schemas.openxmlformats.org/officeDocument/2006/customXml" ds:itemID="{df9d9643-d71d-473b-96c8-40e010fca144}">
  <ds:schemaRefs/>
</ds:datastoreItem>
</file>

<file path=customXml/itemProps47.xml><?xml version="1.0" encoding="utf-8"?>
<ds:datastoreItem xmlns:ds="http://schemas.openxmlformats.org/officeDocument/2006/customXml" ds:itemID="{256aa413-6b05-403d-8e8f-5cefdfe8633d}">
  <ds:schemaRefs/>
</ds:datastoreItem>
</file>

<file path=customXml/itemProps48.xml><?xml version="1.0" encoding="utf-8"?>
<ds:datastoreItem xmlns:ds="http://schemas.openxmlformats.org/officeDocument/2006/customXml" ds:itemID="{9416b88a-2b5c-43d9-b713-80f78b21f18b}">
  <ds:schemaRefs/>
</ds:datastoreItem>
</file>

<file path=customXml/itemProps49.xml><?xml version="1.0" encoding="utf-8"?>
<ds:datastoreItem xmlns:ds="http://schemas.openxmlformats.org/officeDocument/2006/customXml" ds:itemID="{5282a6e5-c20f-46ee-aff5-70b9f9ceb928}">
  <ds:schemaRefs/>
</ds:datastoreItem>
</file>

<file path=customXml/itemProps5.xml><?xml version="1.0" encoding="utf-8"?>
<ds:datastoreItem xmlns:ds="http://schemas.openxmlformats.org/officeDocument/2006/customXml" ds:itemID="{a559b5b7-6add-4925-bb5b-568bb61e3f64}">
  <ds:schemaRefs/>
</ds:datastoreItem>
</file>

<file path=customXml/itemProps50.xml><?xml version="1.0" encoding="utf-8"?>
<ds:datastoreItem xmlns:ds="http://schemas.openxmlformats.org/officeDocument/2006/customXml" ds:itemID="{58e1e92e-8f76-487f-ad6a-df0684b92309}">
  <ds:schemaRefs/>
</ds:datastoreItem>
</file>

<file path=customXml/itemProps6.xml><?xml version="1.0" encoding="utf-8"?>
<ds:datastoreItem xmlns:ds="http://schemas.openxmlformats.org/officeDocument/2006/customXml" ds:itemID="{529a8c3f-9da0-4668-b058-68b581790335}">
  <ds:schemaRefs/>
</ds:datastoreItem>
</file>

<file path=customXml/itemProps7.xml><?xml version="1.0" encoding="utf-8"?>
<ds:datastoreItem xmlns:ds="http://schemas.openxmlformats.org/officeDocument/2006/customXml" ds:itemID="{e95d689a-925c-4179-a172-4e9d3aebb4ce}">
  <ds:schemaRefs/>
</ds:datastoreItem>
</file>

<file path=customXml/itemProps8.xml><?xml version="1.0" encoding="utf-8"?>
<ds:datastoreItem xmlns:ds="http://schemas.openxmlformats.org/officeDocument/2006/customXml" ds:itemID="{7819f368-fad5-4228-a186-adcd0f002134}">
  <ds:schemaRefs/>
</ds:datastoreItem>
</file>

<file path=customXml/itemProps9.xml><?xml version="1.0" encoding="utf-8"?>
<ds:datastoreItem xmlns:ds="http://schemas.openxmlformats.org/officeDocument/2006/customXml" ds:itemID="{4705a573-e968-4d3e-a79e-b50dd0f22e36}">
  <ds:schemaRefs/>
</ds:datastoreItem>
</file>

<file path=docProps/app.xml><?xml version="1.0" encoding="utf-8"?>
<Properties xmlns="http://schemas.openxmlformats.org/officeDocument/2006/extended-properties" xmlns:vt="http://schemas.openxmlformats.org/officeDocument/2006/docPropsVTypes">
  <Pages>72</Pages>
  <TotalTime>1</TotalTime>
  <ScaleCrop>false</ScaleCrop>
  <LinksUpToDate>false</LinksUpToDate>
  <Application>WPS Office_12.1.0.16729_F1E327BC-269C-435d-A152-05C5408002CA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2023-07-17T16:24:00Z</dcterms:created>
  <dc:creator>Lenovo</dc:creator>
  <cp:lastModifiedBy>你渴望力量吗？</cp:lastModifiedBy>
  <dcterms:modified xsi:type="dcterms:W3CDTF">2024-04-29T06:46:38Z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87308AC41C224751868E51D59ACD9767</vt:lpwstr>
  </property>
</Properties>
</file>