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1</w:t>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4</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4</w:t>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5</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2</w:t>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4</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w:t>
      </w:r>
      <w:r>
        <w:rPr>
          <w:rFonts w:hint="eastAsia"/>
          <w:b w:val="0"/>
          <w:lang w:eastAsia="zh-CN"/>
        </w:rPr>
        <w:t>文学艺术界联合会</w:t>
      </w:r>
      <w:r>
        <w:rPr>
          <w:b w:val="0"/>
        </w:rPr>
        <w:t>本级收支预算</w:t>
      </w:r>
      <w:r>
        <w:tab/>
      </w:r>
      <w:r>
        <w:fldChar w:fldCharType="begin"/>
      </w:r>
      <w:r>
        <w:instrText xml:space="preserve">PAGEREF _Toc_4_4_0000000019 \h</w:instrText>
      </w:r>
      <w:r>
        <w:fldChar w:fldCharType="separate"/>
      </w:r>
      <w:r>
        <w:t>2</w:t>
      </w:r>
      <w:r>
        <w:rPr>
          <w:rFonts w:hint="eastAsia"/>
          <w:lang w:val="en-US" w:eastAsia="zh-CN"/>
        </w:rPr>
        <w:t>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tbl>
      <w:tblPr>
        <w:tblStyle w:val="5"/>
        <w:tblW w:w="1369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13"/>
        <w:gridCol w:w="3581"/>
        <w:gridCol w:w="1779"/>
        <w:gridCol w:w="5387"/>
        <w:gridCol w:w="22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3693" w:type="dxa"/>
            <w:gridSpan w:val="5"/>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073" w:type="dxa"/>
            <w:gridSpan w:val="3"/>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Style w:val="8"/>
                <w:lang w:val="en-US" w:eastAsia="zh-CN" w:bidi="ar"/>
              </w:rPr>
              <w:t>[721]宁晋县文学艺术界联合会</w:t>
            </w:r>
          </w:p>
        </w:tc>
        <w:tc>
          <w:tcPr>
            <w:tcW w:w="5387" w:type="dxa"/>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233" w:type="dxa"/>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1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53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76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1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一、一般公共预算拨款收入</w:t>
            </w: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一、一般公共服务支出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二、政府性基金预算拨款收入</w:t>
            </w: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二、外交支出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三、国有资本经营预算拨款收入</w:t>
            </w: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三、国防支出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四、财政专户管理资金收入</w:t>
            </w: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四、公共安全支出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五、事业收入</w:t>
            </w: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五、教育支出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六、事业单位经营收入</w:t>
            </w: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六、科学技术支出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七、上级补助收入</w:t>
            </w: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七、文化旅游体育与传媒支出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八、附属单位上缴收入</w:t>
            </w: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八、社会保障和就业支出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九、其他收入</w:t>
            </w: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九、社会保险基金支出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十、卫生健康支出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十一、节能环保支出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十二、城乡社区支出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十三、农林水支出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十四、交通运输支出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十五、资源勘探工业信息等支出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十六、商业服务业等支出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十七、金融支出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十八、援助其他地区支出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十九、自然资源海洋气象等支出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二十、住房保障支出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二十一、粮油物资储备支出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二十二、国有资本经营预算支出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二十三、灾害防治及应急管理支出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二十四、预备费</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二十五、其他支出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二十六、转移性支出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二十七、灾害防治及应急管理共同财政事权转移支付支出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二十八、债务还本支出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二十九、债务付息支出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三十、债务发行费用支出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三十一、抗疫特别国债安排的支出</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本年收入合计</w:t>
            </w: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本年支出合计</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33</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上年结转结余</w:t>
            </w: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年终结转结余</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w:t>
            </w:r>
          </w:p>
        </w:tc>
        <w:tc>
          <w:tcPr>
            <w:tcW w:w="358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收入总计</w:t>
            </w: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53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支出总计</w:t>
            </w:r>
          </w:p>
        </w:tc>
        <w:tc>
          <w:tcPr>
            <w:tcW w:w="223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r>
    </w:tbl>
    <w:p/>
    <w:p/>
    <w:p/>
    <w:p/>
    <w:p/>
    <w:p/>
    <w:p/>
    <w:p/>
    <w:p/>
    <w:p/>
    <w:p/>
    <w:p/>
    <w:p/>
    <w:p/>
    <w:p/>
    <w:p/>
    <w:p/>
    <w:tbl>
      <w:tblPr>
        <w:tblStyle w:val="5"/>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35"/>
        <w:gridCol w:w="856"/>
        <w:gridCol w:w="2775"/>
        <w:gridCol w:w="662"/>
        <w:gridCol w:w="662"/>
        <w:gridCol w:w="1176"/>
        <w:gridCol w:w="1176"/>
        <w:gridCol w:w="856"/>
        <w:gridCol w:w="856"/>
        <w:gridCol w:w="1176"/>
        <w:gridCol w:w="1496"/>
        <w:gridCol w:w="856"/>
        <w:gridCol w:w="8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0" w:type="auto"/>
            <w:gridSpan w:val="13"/>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部门预算收入总表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9"/>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single"/>
                <w:lang w:val="en-US" w:eastAsia="zh-CN" w:bidi="ar"/>
              </w:rPr>
              <w:t>[721]宁晋县文学艺术界联合会</w:t>
            </w:r>
          </w:p>
        </w:tc>
        <w:tc>
          <w:tcPr>
            <w:tcW w:w="0" w:type="auto"/>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0" w:type="auto"/>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上年结转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财政专户收入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上级补助收入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附属单位上缴收入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其他收入</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文化和旅游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2070101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bl>
    <w:p/>
    <w:p/>
    <w:p/>
    <w:p/>
    <w:p/>
    <w:p/>
    <w:p/>
    <w:p/>
    <w:p/>
    <w:p/>
    <w:p/>
    <w:p/>
    <w:p/>
    <w:p/>
    <w:p/>
    <w:p/>
    <w:p/>
    <w:p/>
    <w:p/>
    <w:p/>
    <w:p/>
    <w:p/>
    <w:p/>
    <w:p/>
    <w:p/>
    <w:p/>
    <w:p/>
    <w:p/>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43"/>
        <w:gridCol w:w="1073"/>
        <w:gridCol w:w="3643"/>
        <w:gridCol w:w="1501"/>
        <w:gridCol w:w="1073"/>
        <w:gridCol w:w="1073"/>
        <w:gridCol w:w="1073"/>
        <w:gridCol w:w="1715"/>
        <w:gridCol w:w="21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5000" w:type="pct"/>
            <w:gridSpan w:val="9"/>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部门预算支出总表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614" w:type="pct"/>
            <w:gridSpan w:val="7"/>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single"/>
                <w:lang w:val="en-US" w:eastAsia="zh-CN" w:bidi="ar"/>
              </w:rPr>
              <w:t>[721]宁晋县文学艺术界联合会</w:t>
            </w:r>
          </w:p>
        </w:tc>
        <w:tc>
          <w:tcPr>
            <w:tcW w:w="615" w:type="pct"/>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770" w:type="pct"/>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2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69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538"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38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38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38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经营支出</w:t>
            </w:r>
          </w:p>
        </w:tc>
        <w:tc>
          <w:tcPr>
            <w:tcW w:w="61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上缴上级支出</w:t>
            </w:r>
          </w:p>
        </w:tc>
        <w:tc>
          <w:tcPr>
            <w:tcW w:w="77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53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61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77.63</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文化旅游体育与传媒支出</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60.94</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20701</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文化和旅游</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60.94</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2070101</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60.94</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60.94</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2070102</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一般行政管理事务</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10.08</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10.08</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9.91</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9.91</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行政单位离退休</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5.51</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5.51</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38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bl>
    <w:p/>
    <w:p/>
    <w:p/>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18"/>
        <w:gridCol w:w="2107"/>
        <w:gridCol w:w="864"/>
        <w:gridCol w:w="3953"/>
        <w:gridCol w:w="898"/>
        <w:gridCol w:w="1538"/>
        <w:gridCol w:w="1948"/>
        <w:gridCol w:w="211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543" w:type="pct"/>
            <w:gridSpan w:val="6"/>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single"/>
                <w:lang w:val="en-US" w:eastAsia="zh-CN" w:bidi="ar"/>
              </w:rPr>
              <w:t>[721]宁晋县文学艺术界联合会</w:t>
            </w:r>
          </w:p>
        </w:tc>
        <w:tc>
          <w:tcPr>
            <w:tcW w:w="698" w:type="pct"/>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757" w:type="pct"/>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8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06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3748"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8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政府性基金预算财政拨款</w:t>
            </w: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w:t>
            </w: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一、一般公共服务支出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w:t>
            </w: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二、外交支出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w:t>
            </w: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三、国防支出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四、公共安全支出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五、教育支出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六、科学技术支出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七、文化旅游体育与传媒支出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八、社会保障和就业支出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10.08</w:t>
            </w: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10.08</w:t>
            </w: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九、社会保险基金支出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十、卫生健康支出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十一、节能环保支出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十二、城乡社区支出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十三、农林水支出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十四、交通运输支出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十五、资源勘探工业信息等支出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十六、商业服务业等支出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十七、金融支出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十八、援助其他地区支出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十九、自然资源海洋气象等支出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二十、住房保障支出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二十一、粮油物资储备支出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二十二、国有资本经营预算支出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二十三、灾害防治及应急管理支出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二十四、预备费</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二十五、其他支出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二十六、转移性支出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二十七、灾害防治及应急管理共同财政事权转移支付支出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二十八、债务还本支出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二十九、债务付息支出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三十、债务发行费用支出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三十一、抗疫特别国债安排的支出</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本年收入合计</w:t>
            </w: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本年支出合计</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33</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年初财政拨款结转和结余</w:t>
            </w: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年末财政拨款结转和结余</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5"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w:t>
            </w: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w:t>
            </w: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w:t>
            </w: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37</w:t>
            </w:r>
          </w:p>
        </w:tc>
        <w:tc>
          <w:tcPr>
            <w:tcW w:w="756"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收入总计</w:t>
            </w:r>
          </w:p>
        </w:tc>
        <w:tc>
          <w:tcPr>
            <w:tcW w:w="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14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支出总计</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5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69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bl>
    <w:p/>
    <w:p/>
    <w:p/>
    <w:p/>
    <w:tbl>
      <w:tblPr>
        <w:tblStyle w:val="5"/>
        <w:tblW w:w="1219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87"/>
        <w:gridCol w:w="1148"/>
        <w:gridCol w:w="3913"/>
        <w:gridCol w:w="869"/>
        <w:gridCol w:w="752"/>
        <w:gridCol w:w="1148"/>
        <w:gridCol w:w="1839"/>
        <w:gridCol w:w="184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2197"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部门预算一般公共预算财政拨款支出表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6"/>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single"/>
                <w:lang w:val="en-US" w:eastAsia="zh-CN" w:bidi="ar"/>
              </w:rPr>
              <w:t>[721]宁晋县文学艺术界联合会</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77.63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69.36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52.67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文化和旅游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52.67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2070101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52.67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nil"/>
              <w:left w:val="nil"/>
              <w:bottom w:val="nil"/>
              <w:right w:val="nil"/>
            </w:tcBorders>
            <w:shd w:val="clear" w:color="auto" w:fill="auto"/>
            <w:noWrap/>
            <w:vAlign w:val="top"/>
          </w:tcPr>
          <w:p>
            <w:pPr>
              <w:jc w:val="center"/>
              <w:rPr>
                <w:rFonts w:hint="default" w:ascii="Calibri" w:hAnsi="Calibri" w:eastAsia="宋体" w:cs="Calibri"/>
                <w:i w:val="0"/>
                <w:iCs w:val="0"/>
                <w:color w:val="000000"/>
                <w:sz w:val="22"/>
                <w:szCs w:val="22"/>
                <w:u w:val="none"/>
              </w:rPr>
            </w:pPr>
          </w:p>
        </w:tc>
        <w:tc>
          <w:tcPr>
            <w:tcW w:w="0" w:type="auto"/>
            <w:tcBorders>
              <w:top w:val="nil"/>
              <w:left w:val="nil"/>
              <w:bottom w:val="nil"/>
              <w:right w:val="nil"/>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0" w:type="auto"/>
            <w:tcBorders>
              <w:top w:val="nil"/>
              <w:left w:val="nil"/>
              <w:bottom w:val="nil"/>
              <w:right w:val="nil"/>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0" w:type="auto"/>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r>
    </w:tbl>
    <w:p/>
    <w:p/>
    <w:p/>
    <w:p/>
    <w:tbl>
      <w:tblPr>
        <w:tblStyle w:val="5"/>
        <w:tblW w:w="1020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21"/>
        <w:gridCol w:w="1205"/>
        <w:gridCol w:w="3624"/>
        <w:gridCol w:w="790"/>
        <w:gridCol w:w="1931"/>
        <w:gridCol w:w="193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0202" w:type="dxa"/>
            <w:gridSpan w:val="6"/>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部门预算一般公共预算财政拨款基本支出表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4"/>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single"/>
                <w:lang w:val="en-US" w:eastAsia="zh-CN" w:bidi="ar"/>
              </w:rPr>
              <w:t>[721]宁晋县文学艺术界联合会</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支出部门经济分类科目</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77.63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69.36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工资福利支出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64.96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64.96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基本工资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津贴补贴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14.63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14.63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奖金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绩效奖金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城镇职工基本医疗保险缴费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其他社会保障缴费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办公费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邮电费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工会经费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福利费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其他交通费用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对个人和家庭的补助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退休费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bl>
    <w:p/>
    <w:p/>
    <w:p/>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02"/>
        <w:gridCol w:w="2174"/>
        <w:gridCol w:w="2177"/>
        <w:gridCol w:w="1307"/>
        <w:gridCol w:w="3487"/>
        <w:gridCol w:w="349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5000" w:type="pct"/>
            <w:gridSpan w:val="6"/>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部门预算政府基金预算财政拨款支出表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496"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Style w:val="11"/>
                <w:lang w:val="en-US" w:eastAsia="zh-CN" w:bidi="ar"/>
              </w:rPr>
              <w:t>[721]宁晋县文学艺术界联合会</w:t>
            </w: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56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46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25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25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7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7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46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5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5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7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7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Calibri" w:hAnsi="Calibri" w:eastAsia="宋体" w:cs="Calibri"/>
                <w:i w:val="0"/>
                <w:iCs w:val="0"/>
                <w:color w:val="000000"/>
                <w:sz w:val="22"/>
                <w:szCs w:val="22"/>
                <w:u w:val="none"/>
              </w:rPr>
            </w:pPr>
          </w:p>
        </w:tc>
        <w:tc>
          <w:tcPr>
            <w:tcW w:w="7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7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000" w:type="pct"/>
            <w:gridSpan w:val="6"/>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无政府基金预算财政拨款预算，空表列示。</w:t>
            </w:r>
          </w:p>
        </w:tc>
      </w:tr>
    </w:tbl>
    <w:p/>
    <w:p/>
    <w:p/>
    <w:p/>
    <w:p/>
    <w:p/>
    <w:p/>
    <w:p/>
    <w:p/>
    <w:p/>
    <w:p/>
    <w:p/>
    <w:p/>
    <w:p/>
    <w:p/>
    <w:p/>
    <w:p/>
    <w:p/>
    <w:p/>
    <w:p/>
    <w:p/>
    <w:p/>
    <w:p/>
    <w:p/>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02"/>
        <w:gridCol w:w="2174"/>
        <w:gridCol w:w="2180"/>
        <w:gridCol w:w="1307"/>
        <w:gridCol w:w="3487"/>
        <w:gridCol w:w="34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5000" w:type="pct"/>
            <w:gridSpan w:val="6"/>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部门预算国有资本经营预算财政拨款支出表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497"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single"/>
                <w:lang w:val="en-US" w:eastAsia="zh-CN" w:bidi="ar"/>
              </w:rPr>
              <w:t>[721]宁晋县文学艺术界联合会</w:t>
            </w: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56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46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25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25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7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46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5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5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7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Calibri" w:hAnsi="Calibri" w:eastAsia="宋体" w:cs="Calibri"/>
                <w:i w:val="0"/>
                <w:iCs w:val="0"/>
                <w:color w:val="000000"/>
                <w:sz w:val="22"/>
                <w:szCs w:val="22"/>
                <w:u w:val="none"/>
              </w:rPr>
            </w:pPr>
          </w:p>
        </w:tc>
        <w:tc>
          <w:tcPr>
            <w:tcW w:w="7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000" w:type="pct"/>
            <w:gridSpan w:val="6"/>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无国有资本经营预算财政拨款预算，空表列示。</w:t>
            </w:r>
          </w:p>
        </w:tc>
      </w:tr>
    </w:tbl>
    <w:p/>
    <w:p/>
    <w:p/>
    <w:p/>
    <w:p/>
    <w:p/>
    <w:p/>
    <w:p/>
    <w:p/>
    <w:p/>
    <w:p/>
    <w:p/>
    <w:p/>
    <w:p/>
    <w:p/>
    <w:p/>
    <w:p/>
    <w:p/>
    <w:p/>
    <w:p/>
    <w:p/>
    <w:p/>
    <w:p/>
    <w:p/>
    <w:p/>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67"/>
        <w:gridCol w:w="967"/>
        <w:gridCol w:w="967"/>
        <w:gridCol w:w="3574"/>
        <w:gridCol w:w="3242"/>
        <w:gridCol w:w="422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部门预算财政拨款“三公”经费支出表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323"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single"/>
                <w:lang w:val="en-US" w:eastAsia="zh-CN" w:bidi="ar"/>
              </w:rPr>
              <w:t>[721]宁晋县文学艺术界联合会</w:t>
            </w:r>
          </w:p>
        </w:tc>
        <w:tc>
          <w:tcPr>
            <w:tcW w:w="11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1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4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34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4305"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资金性质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4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4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2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11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政府性基金财政拨款</w:t>
            </w:r>
          </w:p>
        </w:tc>
        <w:tc>
          <w:tcPr>
            <w:tcW w:w="1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1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47" w:type="pct"/>
            <w:tcBorders>
              <w:top w:val="nil"/>
              <w:left w:val="nil"/>
              <w:bottom w:val="nil"/>
              <w:right w:val="nil"/>
            </w:tcBorders>
            <w:shd w:val="clear" w:color="auto" w:fill="auto"/>
            <w:noWrap/>
            <w:vAlign w:val="top"/>
          </w:tcPr>
          <w:p>
            <w:pPr>
              <w:jc w:val="center"/>
              <w:rPr>
                <w:rFonts w:hint="eastAsia" w:ascii="Calibri" w:hAnsi="Calibri" w:eastAsia="宋体" w:cs="Calibri"/>
                <w:i w:val="0"/>
                <w:iCs w:val="0"/>
                <w:color w:val="000000"/>
                <w:sz w:val="22"/>
                <w:szCs w:val="22"/>
                <w:u w:val="none"/>
              </w:rPr>
            </w:pPr>
          </w:p>
        </w:tc>
        <w:tc>
          <w:tcPr>
            <w:tcW w:w="347" w:type="pct"/>
            <w:tcBorders>
              <w:top w:val="nil"/>
              <w:left w:val="nil"/>
              <w:bottom w:val="nil"/>
              <w:right w:val="nil"/>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47" w:type="pct"/>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0" w:type="pct"/>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163" w:type="pct"/>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13" w:type="pct"/>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000" w:type="pct"/>
            <w:gridSpan w:val="6"/>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无“三公”经费预算财政财政拨款预算，空表列示。</w:t>
            </w:r>
          </w:p>
        </w:tc>
      </w:tr>
    </w:tbl>
    <w:p/>
    <w:p/>
    <w:p/>
    <w:p/>
    <w:p/>
    <w:p/>
    <w:p/>
    <w:p/>
    <w:p/>
    <w:p/>
    <w:p/>
    <w:p/>
    <w:p/>
    <w:p/>
    <w:p/>
    <w:p/>
    <w:p/>
    <w:p/>
    <w:p/>
    <w:p/>
    <w:p>
      <w:pPr>
        <w:spacing w:line="560" w:lineRule="exact"/>
        <w:jc w:val="center"/>
        <w:rPr>
          <w:rFonts w:hint="eastAsia" w:asciiTheme="minorEastAsia" w:hAnsiTheme="minorEastAsia" w:eastAsiaTheme="minorEastAsia" w:cstheme="minorEastAsia"/>
          <w:b w:val="0"/>
          <w:bCs/>
          <w:sz w:val="44"/>
          <w:szCs w:val="44"/>
          <w:lang w:eastAsia="zh-CN"/>
        </w:rPr>
      </w:pPr>
    </w:p>
    <w:p>
      <w:pPr>
        <w:spacing w:line="560" w:lineRule="exact"/>
        <w:jc w:val="center"/>
        <w:rPr>
          <w:rFonts w:hint="eastAsia" w:asciiTheme="minorEastAsia" w:hAnsiTheme="minorEastAsia" w:eastAsiaTheme="minorEastAsia" w:cstheme="minorEastAsia"/>
          <w:b w:val="0"/>
          <w:bCs/>
          <w:sz w:val="44"/>
          <w:szCs w:val="44"/>
          <w:lang w:eastAsia="zh-CN"/>
        </w:rPr>
      </w:pPr>
    </w:p>
    <w:p>
      <w:pPr>
        <w:spacing w:line="560" w:lineRule="exact"/>
        <w:jc w:val="center"/>
        <w:rPr>
          <w:rFonts w:hint="eastAsia" w:asciiTheme="minorEastAsia" w:hAnsiTheme="minorEastAsia" w:eastAsiaTheme="minorEastAsia" w:cstheme="minorEastAsia"/>
          <w:b w:val="0"/>
          <w:bCs/>
          <w:sz w:val="44"/>
          <w:szCs w:val="44"/>
          <w:lang w:eastAsia="zh-CN"/>
        </w:rPr>
      </w:pPr>
      <w:r>
        <w:rPr>
          <w:rFonts w:hint="eastAsia" w:asciiTheme="minorEastAsia" w:hAnsiTheme="minorEastAsia" w:eastAsiaTheme="minorEastAsia" w:cstheme="minorEastAsia"/>
          <w:b w:val="0"/>
          <w:bCs/>
          <w:sz w:val="44"/>
          <w:szCs w:val="44"/>
          <w:lang w:eastAsia="zh-CN"/>
        </w:rPr>
        <w:t>河北省宁晋县文学艺术界联合会</w:t>
      </w:r>
    </w:p>
    <w:p>
      <w:pPr>
        <w:spacing w:line="560" w:lineRule="exact"/>
        <w:jc w:val="center"/>
        <w:rPr>
          <w:rFonts w:hint="eastAsia" w:asciiTheme="minorEastAsia" w:hAnsiTheme="minorEastAsia" w:eastAsiaTheme="minorEastAsia" w:cstheme="minorEastAsia"/>
          <w:b w:val="0"/>
          <w:bCs/>
          <w:sz w:val="44"/>
          <w:szCs w:val="44"/>
        </w:rPr>
      </w:pPr>
      <w:r>
        <w:rPr>
          <w:rFonts w:hint="eastAsia" w:asciiTheme="minorEastAsia" w:hAnsiTheme="minorEastAsia" w:eastAsiaTheme="minorEastAsia" w:cstheme="minorEastAsia"/>
          <w:b w:val="0"/>
          <w:bCs/>
          <w:sz w:val="44"/>
          <w:szCs w:val="44"/>
        </w:rPr>
        <w:t>20</w:t>
      </w:r>
      <w:r>
        <w:rPr>
          <w:rFonts w:hint="eastAsia" w:asciiTheme="minorEastAsia" w:hAnsiTheme="minorEastAsia" w:eastAsiaTheme="minorEastAsia" w:cstheme="minorEastAsia"/>
          <w:b w:val="0"/>
          <w:bCs/>
          <w:sz w:val="44"/>
          <w:szCs w:val="44"/>
          <w:lang w:val="en-US" w:eastAsia="zh-CN"/>
        </w:rPr>
        <w:t>22</w:t>
      </w:r>
      <w:r>
        <w:rPr>
          <w:rFonts w:hint="eastAsia" w:asciiTheme="minorEastAsia" w:hAnsiTheme="minorEastAsia" w:eastAsiaTheme="minorEastAsia" w:cstheme="minorEastAsia"/>
          <w:b w:val="0"/>
          <w:bCs/>
          <w:sz w:val="44"/>
          <w:szCs w:val="44"/>
        </w:rPr>
        <w:t>年部门预算</w:t>
      </w:r>
      <w:r>
        <w:rPr>
          <w:rFonts w:hint="eastAsia" w:asciiTheme="minorEastAsia" w:hAnsiTheme="minorEastAsia" w:eastAsiaTheme="minorEastAsia" w:cstheme="minorEastAsia"/>
          <w:b w:val="0"/>
          <w:bCs/>
          <w:sz w:val="44"/>
          <w:szCs w:val="44"/>
          <w:lang w:eastAsia="zh-CN"/>
        </w:rPr>
        <w:t>信息公开</w:t>
      </w:r>
      <w:r>
        <w:rPr>
          <w:rFonts w:hint="eastAsia" w:asciiTheme="minorEastAsia" w:hAnsiTheme="minorEastAsia" w:eastAsiaTheme="minorEastAsia" w:cstheme="minorEastAsia"/>
          <w:b w:val="0"/>
          <w:bCs/>
          <w:sz w:val="44"/>
          <w:szCs w:val="44"/>
        </w:rPr>
        <w:t>情况说明</w:t>
      </w:r>
    </w:p>
    <w:p>
      <w:pPr>
        <w:widowControl/>
        <w:spacing w:line="600" w:lineRule="atLeast"/>
        <w:ind w:firstLine="640"/>
        <w:jc w:val="left"/>
        <w:rPr>
          <w:rFonts w:hint="eastAsia" w:ascii="宋体" w:eastAsia="宋体" w:cs="宋体"/>
          <w:color w:val="000000"/>
          <w:kern w:val="0"/>
          <w:sz w:val="32"/>
          <w:szCs w:val="32"/>
          <w:lang w:val="en-US" w:eastAsia="zh-CN"/>
        </w:rPr>
      </w:pPr>
    </w:p>
    <w:p>
      <w:pPr>
        <w:widowControl/>
        <w:spacing w:line="600" w:lineRule="exact"/>
        <w:ind w:firstLine="640"/>
        <w:jc w:val="left"/>
        <w:rPr>
          <w:rFonts w:hint="eastAsia" w:ascii="仿宋" w:hAnsi="仿宋" w:eastAsia="仿宋" w:cs="仿宋"/>
          <w:sz w:val="32"/>
          <w:szCs w:val="32"/>
        </w:rPr>
      </w:pPr>
      <w:r>
        <w:rPr>
          <w:rFonts w:ascii="仿宋" w:hAnsi="仿宋" w:eastAsia="仿宋" w:cs="宋体"/>
          <w:color w:val="000000"/>
          <w:kern w:val="0"/>
          <w:sz w:val="32"/>
          <w:szCs w:val="32"/>
        </w:rPr>
        <w:t xml:space="preserve"> </w:t>
      </w:r>
      <w:r>
        <w:rPr>
          <w:rFonts w:hint="eastAsia" w:ascii="仿宋" w:hAnsi="仿宋" w:eastAsia="仿宋" w:cs="仿宋"/>
          <w:color w:val="000000"/>
          <w:kern w:val="0"/>
          <w:sz w:val="32"/>
          <w:szCs w:val="32"/>
        </w:rPr>
        <w:t>按照</w:t>
      </w:r>
      <w:r>
        <w:rPr>
          <w:rFonts w:hint="eastAsia" w:ascii="仿宋" w:hAnsi="仿宋" w:eastAsia="仿宋" w:cs="仿宋"/>
          <w:color w:val="000000"/>
          <w:kern w:val="0"/>
          <w:sz w:val="32"/>
          <w:szCs w:val="32"/>
          <w:lang w:eastAsia="zh-CN"/>
        </w:rPr>
        <w:t>《中华人民共和国预算法》</w:t>
      </w:r>
      <w:r>
        <w:rPr>
          <w:rFonts w:hint="eastAsia" w:ascii="仿宋" w:hAnsi="仿宋" w:eastAsia="仿宋" w:cs="仿宋"/>
          <w:color w:val="000000"/>
          <w:kern w:val="0"/>
          <w:sz w:val="32"/>
          <w:szCs w:val="32"/>
        </w:rPr>
        <w:t>、《地方预决算公开操作规程》和《河北省省级预算公开办法》规定，现</w:t>
      </w:r>
      <w:r>
        <w:rPr>
          <w:rFonts w:hint="eastAsia" w:ascii="仿宋" w:hAnsi="仿宋" w:eastAsia="仿宋" w:cs="仿宋"/>
          <w:color w:val="000000"/>
          <w:kern w:val="0"/>
          <w:sz w:val="32"/>
          <w:szCs w:val="32"/>
          <w:lang w:eastAsia="zh-CN"/>
        </w:rPr>
        <w:t>将</w:t>
      </w:r>
      <w:r>
        <w:rPr>
          <w:rFonts w:hint="eastAsia" w:ascii="仿宋" w:hAnsi="仿宋" w:eastAsia="仿宋" w:cs="仿宋"/>
          <w:kern w:val="0"/>
          <w:sz w:val="32"/>
          <w:szCs w:val="32"/>
          <w:lang w:eastAsia="zh-CN"/>
        </w:rPr>
        <w:t>河北省宁晋县文学艺术界联合会</w:t>
      </w:r>
      <w:r>
        <w:rPr>
          <w:rFonts w:hint="eastAsia" w:ascii="仿宋" w:hAnsi="仿宋" w:eastAsia="仿宋" w:cs="仿宋"/>
          <w:kern w:val="0"/>
          <w:sz w:val="32"/>
          <w:szCs w:val="32"/>
        </w:rPr>
        <w:t>20</w:t>
      </w:r>
      <w:r>
        <w:rPr>
          <w:rFonts w:hint="eastAsia" w:ascii="仿宋" w:hAnsi="仿宋" w:eastAsia="仿宋" w:cs="仿宋"/>
          <w:kern w:val="0"/>
          <w:sz w:val="32"/>
          <w:szCs w:val="32"/>
          <w:lang w:val="en-US" w:eastAsia="zh-CN"/>
        </w:rPr>
        <w:t>22</w:t>
      </w:r>
      <w:r>
        <w:rPr>
          <w:rFonts w:hint="eastAsia" w:ascii="仿宋" w:hAnsi="仿宋" w:eastAsia="仿宋" w:cs="仿宋"/>
          <w:color w:val="000000"/>
          <w:kern w:val="0"/>
          <w:sz w:val="32"/>
          <w:szCs w:val="32"/>
        </w:rPr>
        <w:t>年部门预算公开如下：</w:t>
      </w:r>
    </w:p>
    <w:p>
      <w:pPr>
        <w:widowControl/>
        <w:spacing w:line="600" w:lineRule="exact"/>
        <w:ind w:firstLine="640"/>
        <w:jc w:val="left"/>
        <w:rPr>
          <w:rFonts w:hint="eastAsia" w:ascii="宋体" w:hAnsi="宋体" w:eastAsia="宋体" w:cs="宋体"/>
          <w:b/>
          <w:bCs w:val="0"/>
          <w:sz w:val="32"/>
          <w:szCs w:val="32"/>
        </w:rPr>
      </w:pPr>
      <w:r>
        <w:rPr>
          <w:rFonts w:hint="eastAsia" w:ascii="宋体" w:hAnsi="宋体" w:eastAsia="宋体" w:cs="宋体"/>
          <w:b/>
          <w:bCs w:val="0"/>
          <w:kern w:val="0"/>
          <w:sz w:val="32"/>
          <w:szCs w:val="32"/>
        </w:rPr>
        <w:t>一、部门职责、机构设置等基本情况</w:t>
      </w:r>
    </w:p>
    <w:p>
      <w:pPr>
        <w:widowControl/>
        <w:spacing w:line="600" w:lineRule="exact"/>
        <w:ind w:firstLine="640"/>
        <w:jc w:val="left"/>
        <w:rPr>
          <w:rFonts w:hint="eastAsia" w:ascii="宋体" w:hAnsi="宋体" w:eastAsia="宋体" w:cs="宋体"/>
          <w:b/>
          <w:bCs w:val="0"/>
          <w:kern w:val="0"/>
          <w:sz w:val="32"/>
          <w:szCs w:val="32"/>
        </w:rPr>
      </w:pPr>
      <w:r>
        <w:rPr>
          <w:rFonts w:hint="eastAsia" w:ascii="宋体" w:hAnsi="宋体" w:eastAsia="宋体" w:cs="宋体"/>
          <w:b/>
          <w:bCs w:val="0"/>
          <w:sz w:val="32"/>
          <w:szCs w:val="32"/>
        </w:rPr>
        <w:t xml:space="preserve"> </w:t>
      </w:r>
      <w:r>
        <w:rPr>
          <w:rFonts w:hint="eastAsia" w:ascii="宋体" w:hAnsi="宋体" w:eastAsia="宋体" w:cs="宋体"/>
          <w:b/>
          <w:bCs w:val="0"/>
          <w:kern w:val="0"/>
          <w:sz w:val="32"/>
          <w:szCs w:val="32"/>
        </w:rPr>
        <w:t>部门职责</w:t>
      </w:r>
    </w:p>
    <w:p>
      <w:pPr>
        <w:widowControl/>
        <w:spacing w:line="600" w:lineRule="exact"/>
        <w:ind w:firstLine="640"/>
        <w:jc w:val="left"/>
        <w:rPr>
          <w:rFonts w:hint="eastAsia" w:ascii="仿宋" w:hAnsi="仿宋" w:eastAsia="仿宋" w:cs="仿宋"/>
          <w:kern w:val="0"/>
          <w:sz w:val="32"/>
          <w:szCs w:val="32"/>
        </w:rPr>
      </w:pPr>
      <w:r>
        <w:rPr>
          <w:rFonts w:hint="eastAsia" w:ascii="仿宋" w:hAnsi="仿宋" w:eastAsia="仿宋" w:cs="仿宋"/>
          <w:kern w:val="0"/>
          <w:sz w:val="32"/>
          <w:szCs w:val="32"/>
        </w:rPr>
        <w:t>根据《</w:t>
      </w:r>
      <w:r>
        <w:rPr>
          <w:rFonts w:hint="eastAsia" w:ascii="仿宋" w:hAnsi="仿宋" w:eastAsia="仿宋" w:cs="仿宋"/>
          <w:kern w:val="0"/>
          <w:sz w:val="32"/>
          <w:szCs w:val="32"/>
          <w:lang w:eastAsia="zh-CN"/>
        </w:rPr>
        <w:t>河北省宁晋县文学艺术界联合会</w:t>
      </w:r>
      <w:r>
        <w:rPr>
          <w:rFonts w:hint="eastAsia" w:ascii="仿宋" w:hAnsi="仿宋" w:eastAsia="仿宋" w:cs="仿宋"/>
          <w:kern w:val="0"/>
          <w:sz w:val="32"/>
          <w:szCs w:val="32"/>
        </w:rPr>
        <w:t>主要职责内设机构和人员编制方案》规定，</w:t>
      </w:r>
      <w:r>
        <w:rPr>
          <w:rFonts w:hint="eastAsia" w:ascii="仿宋" w:hAnsi="仿宋" w:eastAsia="仿宋" w:cs="仿宋"/>
          <w:kern w:val="0"/>
          <w:sz w:val="32"/>
          <w:szCs w:val="32"/>
          <w:lang w:eastAsia="zh-CN"/>
        </w:rPr>
        <w:t>河北省宁晋县文学艺术界联合会</w:t>
      </w:r>
      <w:r>
        <w:rPr>
          <w:rFonts w:hint="eastAsia" w:ascii="仿宋" w:hAnsi="仿宋" w:eastAsia="仿宋" w:cs="仿宋"/>
          <w:kern w:val="0"/>
          <w:sz w:val="32"/>
          <w:szCs w:val="32"/>
        </w:rPr>
        <w:t>主要职责是：</w:t>
      </w:r>
      <w:bookmarkStart w:id="5" w:name="_GoBack"/>
      <w:bookmarkEnd w:id="5"/>
    </w:p>
    <w:p>
      <w:pPr>
        <w:pStyle w:val="12"/>
        <w:widowControl/>
        <w:spacing w:beforeLines="0" w:afterLines="0"/>
        <w:rPr>
          <w:rFonts w:hint="eastAsia" w:ascii="仿宋" w:hAnsi="仿宋" w:eastAsia="仿宋" w:cs="仿宋"/>
          <w:kern w:val="0"/>
          <w:sz w:val="32"/>
          <w:szCs w:val="32"/>
          <w:lang w:val="en-US" w:eastAsia="zh-CN" w:bidi="ar-SA"/>
        </w:rPr>
      </w:pPr>
      <w:r>
        <w:rPr>
          <w:rFonts w:hint="eastAsia" w:ascii="仿宋" w:hAnsi="仿宋" w:eastAsia="仿宋" w:cs="仿宋"/>
          <w:sz w:val="32"/>
          <w:szCs w:val="32"/>
        </w:rPr>
        <w:t xml:space="preserve">    （</w:t>
      </w:r>
      <w:r>
        <w:rPr>
          <w:rFonts w:hint="eastAsia" w:ascii="仿宋" w:hAnsi="仿宋" w:eastAsia="仿宋" w:cs="仿宋"/>
          <w:kern w:val="0"/>
          <w:sz w:val="32"/>
          <w:szCs w:val="32"/>
          <w:lang w:val="en-US" w:eastAsia="zh-CN" w:bidi="ar-SA"/>
        </w:rPr>
        <w:t>一）贯彻落实党的文艺工作方针，为全县文艺家协会做好联络、协调、服务和指导工作，团结全县艺术家、文艺工作者，听取和反映文艺界的情况和意见。</w:t>
      </w:r>
    </w:p>
    <w:p>
      <w:pPr>
        <w:pStyle w:val="12"/>
        <w:widowControl/>
        <w:spacing w:beforeLines="0" w:afterLines="0"/>
        <w:ind w:firstLine="640" w:firstLineChars="200"/>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（二）组织召开全县文艺家协会代表大会。</w:t>
      </w:r>
    </w:p>
    <w:p>
      <w:pPr>
        <w:pStyle w:val="12"/>
        <w:widowControl/>
        <w:spacing w:beforeLines="0" w:afterLines="0"/>
        <w:ind w:firstLine="640" w:firstLineChars="200"/>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（三）宣传、动员、组织广大文艺工作者致力于发展繁荣宁晋文艺事业，组织艺术家深入生活、创作优秀作品。</w:t>
      </w:r>
    </w:p>
    <w:p>
      <w:pPr>
        <w:pStyle w:val="12"/>
        <w:widowControl/>
        <w:spacing w:beforeLines="0" w:afterLines="0"/>
        <w:ind w:firstLine="640" w:firstLineChars="200"/>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（四）组织文艺研讨和学术交流工作，与有关部门共同组织相关艺术活动的评奖工作。</w:t>
      </w:r>
    </w:p>
    <w:p>
      <w:pPr>
        <w:pStyle w:val="12"/>
        <w:widowControl/>
        <w:spacing w:beforeLines="0" w:afterLines="0"/>
        <w:ind w:firstLine="640" w:firstLineChars="200"/>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（五）协同有关部门，组织对外艺术界的文化交流活动。</w:t>
      </w:r>
    </w:p>
    <w:p>
      <w:pPr>
        <w:pStyle w:val="12"/>
        <w:widowControl/>
        <w:spacing w:beforeLines="0" w:afterLines="0"/>
        <w:ind w:firstLine="640" w:firstLineChars="200"/>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（六）维护团体会员和文艺家的知识产权等合法权益。</w:t>
      </w:r>
    </w:p>
    <w:p>
      <w:pPr>
        <w:pStyle w:val="12"/>
        <w:widowControl/>
        <w:spacing w:beforeLines="0" w:afterLines="0"/>
        <w:ind w:firstLine="640" w:firstLineChars="200"/>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（七）承担上级作家协会安排部署相应工作。</w:t>
      </w:r>
    </w:p>
    <w:p>
      <w:pPr>
        <w:pStyle w:val="12"/>
        <w:widowControl/>
        <w:spacing w:beforeLines="0" w:afterLines="0"/>
        <w:ind w:firstLine="640" w:firstLineChars="200"/>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（八）完成县委交办的其他任务。</w:t>
      </w:r>
    </w:p>
    <w:p>
      <w:pPr>
        <w:spacing w:line="600" w:lineRule="exact"/>
        <w:ind w:firstLine="640" w:firstLineChars="200"/>
        <w:rPr>
          <w:rFonts w:hint="eastAsia" w:ascii="宋体" w:hAnsi="宋体" w:cs="宋体"/>
          <w:sz w:val="32"/>
          <w:szCs w:val="32"/>
          <w:lang w:eastAsia="zh-CN"/>
        </w:rPr>
      </w:pPr>
      <w:r>
        <w:rPr>
          <w:rFonts w:hint="eastAsia" w:ascii="宋体" w:hAnsi="宋体" w:eastAsia="宋体" w:cs="宋体"/>
          <w:sz w:val="32"/>
          <w:szCs w:val="32"/>
        </w:rPr>
        <w:t xml:space="preserve"> </w:t>
      </w:r>
      <w:r>
        <w:rPr>
          <w:rFonts w:hint="eastAsia" w:ascii="宋体" w:hAnsi="宋体" w:cs="宋体"/>
          <w:b/>
          <w:bCs/>
          <w:sz w:val="32"/>
          <w:szCs w:val="32"/>
          <w:lang w:eastAsia="zh-CN"/>
        </w:rPr>
        <w:t>机构设置</w:t>
      </w:r>
    </w:p>
    <w:p>
      <w:pPr>
        <w:spacing w:line="60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根据主要职责，</w:t>
      </w:r>
      <w:r>
        <w:rPr>
          <w:rFonts w:hint="eastAsia" w:ascii="仿宋" w:hAnsi="仿宋" w:eastAsia="仿宋" w:cs="仿宋"/>
          <w:kern w:val="0"/>
          <w:sz w:val="32"/>
          <w:szCs w:val="32"/>
          <w:lang w:eastAsia="zh-CN"/>
        </w:rPr>
        <w:t>河北省宁晋县文学艺术界联合会</w:t>
      </w:r>
      <w:r>
        <w:rPr>
          <w:rFonts w:hint="eastAsia" w:ascii="仿宋" w:hAnsi="仿宋" w:eastAsia="仿宋" w:cs="仿宋"/>
          <w:kern w:val="0"/>
          <w:sz w:val="32"/>
          <w:szCs w:val="32"/>
        </w:rPr>
        <w:t>设</w:t>
      </w:r>
      <w:r>
        <w:rPr>
          <w:rFonts w:hint="eastAsia" w:ascii="仿宋" w:hAnsi="仿宋" w:eastAsia="仿宋" w:cs="仿宋"/>
          <w:kern w:val="0"/>
          <w:sz w:val="32"/>
          <w:szCs w:val="32"/>
          <w:lang w:val="en-US" w:eastAsia="zh-CN"/>
        </w:rPr>
        <w:t>2</w:t>
      </w:r>
      <w:r>
        <w:rPr>
          <w:rFonts w:hint="eastAsia" w:ascii="仿宋" w:hAnsi="仿宋" w:eastAsia="仿宋" w:cs="仿宋"/>
          <w:kern w:val="0"/>
          <w:sz w:val="32"/>
          <w:szCs w:val="32"/>
        </w:rPr>
        <w:t>个内设机构：</w:t>
      </w:r>
    </w:p>
    <w:p>
      <w:pPr>
        <w:spacing w:line="600" w:lineRule="exact"/>
        <w:rPr>
          <w:rFonts w:hint="eastAsia" w:ascii="仿宋" w:hAnsi="仿宋" w:eastAsia="仿宋" w:cs="仿宋"/>
          <w:kern w:val="0"/>
          <w:sz w:val="32"/>
          <w:szCs w:val="32"/>
        </w:rPr>
      </w:pPr>
      <w:r>
        <w:rPr>
          <w:rFonts w:hint="eastAsia" w:ascii="仿宋" w:hAnsi="仿宋" w:eastAsia="仿宋" w:cs="仿宋"/>
          <w:kern w:val="0"/>
          <w:sz w:val="32"/>
          <w:szCs w:val="32"/>
        </w:rPr>
        <w:t xml:space="preserve">    （一）办公室</w:t>
      </w:r>
    </w:p>
    <w:p>
      <w:pPr>
        <w:spacing w:line="600" w:lineRule="exact"/>
        <w:ind w:firstLine="640" w:firstLineChars="200"/>
        <w:rPr>
          <w:rFonts w:hint="eastAsia" w:ascii="仿宋" w:hAnsi="仿宋" w:eastAsia="仿宋" w:cs="仿宋"/>
          <w:kern w:val="0"/>
          <w:sz w:val="32"/>
          <w:szCs w:val="32"/>
          <w:lang w:eastAsia="zh-CN"/>
        </w:rPr>
      </w:pPr>
      <w:r>
        <w:rPr>
          <w:rFonts w:hint="eastAsia" w:ascii="仿宋" w:hAnsi="仿宋" w:eastAsia="仿宋" w:cs="仿宋"/>
          <w:kern w:val="0"/>
          <w:sz w:val="32"/>
          <w:szCs w:val="32"/>
          <w:lang w:eastAsia="zh-CN"/>
        </w:rPr>
        <w:t>负责起草工作计划、工作总结和其它综合性公文；负责文书档案的收发、登记、归档和文件印发；承办党组及主席办公会议的记录，整理、督促、检查相关会议决定事项办理结果；负责印章管理；负责财务工作。</w:t>
      </w:r>
    </w:p>
    <w:p>
      <w:pPr>
        <w:numPr>
          <w:ilvl w:val="0"/>
          <w:numId w:val="0"/>
        </w:numPr>
        <w:spacing w:line="60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lang w:eastAsia="zh-CN"/>
        </w:rPr>
        <w:t>（二）组联部</w:t>
      </w:r>
    </w:p>
    <w:p>
      <w:pPr>
        <w:spacing w:line="600" w:lineRule="exact"/>
        <w:rPr>
          <w:rFonts w:hint="eastAsia" w:ascii="仿宋" w:hAnsi="仿宋" w:eastAsia="仿宋" w:cs="仿宋"/>
          <w:kern w:val="0"/>
          <w:sz w:val="32"/>
          <w:szCs w:val="32"/>
          <w:lang w:val="en-US" w:eastAsia="zh-CN"/>
        </w:rPr>
      </w:pPr>
      <w:r>
        <w:rPr>
          <w:rFonts w:hint="eastAsia" w:ascii="仿宋" w:hAnsi="仿宋" w:eastAsia="仿宋" w:cs="仿宋"/>
          <w:kern w:val="0"/>
          <w:sz w:val="32"/>
          <w:szCs w:val="32"/>
        </w:rPr>
        <w:t xml:space="preserve">    负责</w:t>
      </w:r>
      <w:r>
        <w:rPr>
          <w:rFonts w:hint="eastAsia" w:ascii="仿宋" w:hAnsi="仿宋" w:eastAsia="仿宋" w:cs="仿宋"/>
          <w:kern w:val="0"/>
          <w:sz w:val="32"/>
          <w:szCs w:val="32"/>
          <w:lang w:eastAsia="zh-CN"/>
        </w:rPr>
        <w:t>向上级文联、作协部门上报、反馈信息，请示工作等；负责拟定各文艺家协会年度工作计划，汇总各文艺家协会年度工作总结，指导各协会做好会员的发展、会籍管理和艺术档案的建立等工作；组织落实有关文艺创作活动，联络各文艺家协会开展文艺研讨、学术交流和文艺创作活动；负责文艺人才的发现培养工作。</w:t>
      </w:r>
      <w:r>
        <w:rPr>
          <w:rFonts w:hint="eastAsia" w:ascii="仿宋" w:hAnsi="仿宋" w:eastAsia="仿宋" w:cs="仿宋"/>
          <w:kern w:val="0"/>
          <w:sz w:val="32"/>
          <w:szCs w:val="32"/>
          <w:lang w:val="en-US" w:eastAsia="zh-CN"/>
        </w:rPr>
        <w:t xml:space="preserve"> </w:t>
      </w:r>
    </w:p>
    <w:p>
      <w:pPr>
        <w:spacing w:line="600" w:lineRule="exact"/>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    纪检（监察）机构和党群组织按有关规定设置，人员在机关总编制内核定。</w:t>
      </w:r>
    </w:p>
    <w:p>
      <w:pPr>
        <w:spacing w:line="600" w:lineRule="exact"/>
        <w:rPr>
          <w:rFonts w:hint="eastAsia" w:ascii="仿宋" w:hAnsi="仿宋" w:eastAsia="仿宋" w:cs="仿宋"/>
          <w:sz w:val="32"/>
          <w:szCs w:val="32"/>
        </w:rPr>
      </w:pPr>
      <w:r>
        <w:rPr>
          <w:rFonts w:hint="eastAsia" w:ascii="仿宋" w:hAnsi="仿宋" w:eastAsia="仿宋" w:cs="仿宋"/>
          <w:sz w:val="32"/>
          <w:szCs w:val="32"/>
        </w:rPr>
        <w:t xml:space="preserve">    部门预算单位构成</w:t>
      </w:r>
    </w:p>
    <w:p>
      <w:pPr>
        <w:spacing w:line="60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从预算单位构成看，</w:t>
      </w:r>
      <w:r>
        <w:rPr>
          <w:rFonts w:hint="eastAsia" w:ascii="仿宋" w:hAnsi="仿宋" w:eastAsia="仿宋" w:cs="仿宋"/>
          <w:kern w:val="0"/>
          <w:sz w:val="32"/>
          <w:szCs w:val="32"/>
          <w:lang w:eastAsia="zh-CN"/>
        </w:rPr>
        <w:t>河北省宁晋县文学艺术界联合会</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2</w:t>
      </w:r>
      <w:r>
        <w:rPr>
          <w:rFonts w:hint="eastAsia" w:ascii="仿宋" w:hAnsi="仿宋" w:eastAsia="仿宋" w:cs="仿宋"/>
          <w:sz w:val="32"/>
          <w:szCs w:val="32"/>
        </w:rPr>
        <w:t>年度部门预算包括本级预算</w:t>
      </w:r>
      <w:r>
        <w:rPr>
          <w:rFonts w:hint="eastAsia" w:ascii="仿宋" w:hAnsi="仿宋" w:eastAsia="仿宋" w:cs="仿宋"/>
          <w:sz w:val="32"/>
          <w:szCs w:val="32"/>
          <w:lang w:eastAsia="zh-CN"/>
        </w:rPr>
        <w:t>。</w:t>
      </w:r>
    </w:p>
    <w:p>
      <w:pPr>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纳入</w:t>
      </w:r>
      <w:r>
        <w:rPr>
          <w:rFonts w:hint="eastAsia" w:ascii="仿宋" w:hAnsi="仿宋" w:eastAsia="仿宋" w:cs="仿宋"/>
          <w:kern w:val="0"/>
          <w:sz w:val="32"/>
          <w:szCs w:val="32"/>
          <w:lang w:eastAsia="zh-CN"/>
        </w:rPr>
        <w:t>河北省宁晋县文学艺术界联合会</w:t>
      </w:r>
      <w:r>
        <w:rPr>
          <w:rFonts w:hint="eastAsia" w:ascii="仿宋" w:hAnsi="仿宋" w:eastAsia="仿宋" w:cs="仿宋"/>
          <w:color w:val="000000"/>
          <w:sz w:val="32"/>
          <w:szCs w:val="32"/>
          <w:lang w:eastAsia="zh-CN"/>
        </w:rPr>
        <w:t>202</w:t>
      </w:r>
      <w:r>
        <w:rPr>
          <w:rFonts w:hint="eastAsia" w:ascii="仿宋" w:hAnsi="仿宋" w:eastAsia="仿宋" w:cs="仿宋"/>
          <w:color w:val="000000"/>
          <w:sz w:val="32"/>
          <w:szCs w:val="32"/>
          <w:lang w:val="en-US" w:eastAsia="zh-CN"/>
        </w:rPr>
        <w:t>2</w:t>
      </w:r>
      <w:r>
        <w:rPr>
          <w:rFonts w:hint="eastAsia" w:ascii="仿宋" w:hAnsi="仿宋" w:eastAsia="仿宋" w:cs="仿宋"/>
          <w:color w:val="000000"/>
          <w:sz w:val="32"/>
          <w:szCs w:val="32"/>
        </w:rPr>
        <w:t>年度部门预算编制范围的单位共1个，详细情况见下表：</w:t>
      </w:r>
    </w:p>
    <w:p>
      <w:pPr>
        <w:jc w:val="center"/>
        <w:outlineLvl w:val="0"/>
        <w:rPr>
          <w:rFonts w:hint="eastAsia" w:ascii="仿宋" w:hAnsi="仿宋" w:eastAsia="仿宋" w:cs="仿宋"/>
          <w:sz w:val="32"/>
        </w:rPr>
      </w:pPr>
    </w:p>
    <w:p>
      <w:pPr>
        <w:jc w:val="center"/>
        <w:outlineLvl w:val="0"/>
        <w:rPr>
          <w:rFonts w:hint="eastAsia" w:ascii="仿宋" w:hAnsi="仿宋" w:eastAsia="仿宋" w:cs="仿宋"/>
          <w:sz w:val="32"/>
        </w:rPr>
      </w:pPr>
      <w:r>
        <w:rPr>
          <w:rFonts w:hint="eastAsia" w:ascii="仿宋" w:hAnsi="仿宋" w:eastAsia="仿宋" w:cs="仿宋"/>
          <w:sz w:val="32"/>
        </w:rPr>
        <w:t>部门机构设置情况</w:t>
      </w:r>
    </w:p>
    <w:p>
      <w:pPr>
        <w:pStyle w:val="4"/>
        <w:rPr>
          <w:rFonts w:hint="eastAsia"/>
        </w:rPr>
      </w:pPr>
    </w:p>
    <w:tbl>
      <w:tblPr>
        <w:tblStyle w:val="5"/>
        <w:tblW w:w="91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65"/>
        <w:gridCol w:w="175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65" w:type="dxa"/>
            <w:vMerge w:val="restart"/>
            <w:vAlign w:val="center"/>
          </w:tcPr>
          <w:p>
            <w:pPr>
              <w:spacing w:line="300" w:lineRule="exact"/>
              <w:jc w:val="center"/>
              <w:rPr>
                <w:rFonts w:eastAsia="方正书宋_GBK"/>
                <w:b/>
              </w:rPr>
            </w:pPr>
            <w:r>
              <w:rPr>
                <w:rFonts w:eastAsia="方正书宋_GBK"/>
                <w:b/>
              </w:rPr>
              <w:t>单位名称</w:t>
            </w:r>
          </w:p>
        </w:tc>
        <w:tc>
          <w:tcPr>
            <w:tcW w:w="1754" w:type="dxa"/>
            <w:vMerge w:val="restart"/>
            <w:vAlign w:val="center"/>
          </w:tcPr>
          <w:p>
            <w:pPr>
              <w:spacing w:line="300" w:lineRule="exact"/>
              <w:jc w:val="center"/>
              <w:rPr>
                <w:rFonts w:eastAsia="方正书宋_GBK"/>
                <w:b/>
              </w:rPr>
            </w:pPr>
            <w:r>
              <w:rPr>
                <w:rFonts w:eastAsia="方正书宋_GBK"/>
                <w:b/>
              </w:rPr>
              <w:t>单位性质</w:t>
            </w:r>
          </w:p>
        </w:tc>
        <w:tc>
          <w:tcPr>
            <w:tcW w:w="1276" w:type="dxa"/>
            <w:vMerge w:val="restart"/>
            <w:vAlign w:val="center"/>
          </w:tcPr>
          <w:p>
            <w:pPr>
              <w:spacing w:line="300" w:lineRule="exact"/>
              <w:jc w:val="center"/>
              <w:rPr>
                <w:rFonts w:eastAsia="方正书宋_GBK"/>
                <w:b/>
              </w:rPr>
            </w:pPr>
            <w:r>
              <w:rPr>
                <w:rFonts w:eastAsia="方正书宋_GBK"/>
                <w:b/>
              </w:rPr>
              <w:t>单位规格</w:t>
            </w:r>
          </w:p>
        </w:tc>
        <w:tc>
          <w:tcPr>
            <w:tcW w:w="2902" w:type="dxa"/>
            <w:vMerge w:val="restart"/>
            <w:vAlign w:val="center"/>
          </w:tcPr>
          <w:p>
            <w:pPr>
              <w:spacing w:line="300" w:lineRule="exact"/>
              <w:jc w:val="center"/>
              <w:rPr>
                <w:rFonts w:eastAsia="方正书宋_GBK"/>
                <w:b/>
              </w:rPr>
            </w:pPr>
            <w:r>
              <w:rPr>
                <w:rFonts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65" w:type="dxa"/>
            <w:vMerge w:val="continue"/>
            <w:vAlign w:val="center"/>
          </w:tcPr>
          <w:p>
            <w:pPr>
              <w:spacing w:line="300" w:lineRule="exact"/>
              <w:jc w:val="left"/>
              <w:outlineLvl w:val="0"/>
            </w:pPr>
          </w:p>
        </w:tc>
        <w:tc>
          <w:tcPr>
            <w:tcW w:w="1754"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02"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0" w:hRule="atLeast"/>
          <w:jc w:val="center"/>
        </w:trPr>
        <w:tc>
          <w:tcPr>
            <w:tcW w:w="3265" w:type="dxa"/>
            <w:vAlign w:val="center"/>
          </w:tcPr>
          <w:p>
            <w:pPr>
              <w:spacing w:line="300" w:lineRule="exact"/>
              <w:jc w:val="center"/>
              <w:rPr>
                <w:rFonts w:eastAsia="方正书宋_GBK"/>
              </w:rPr>
            </w:pPr>
            <w:r>
              <w:rPr>
                <w:rFonts w:hint="eastAsia" w:ascii="宋体" w:hAnsi="宋体" w:eastAsia="宋体" w:cs="宋体"/>
                <w:kern w:val="0"/>
                <w:sz w:val="21"/>
                <w:szCs w:val="21"/>
                <w:lang w:eastAsia="zh-CN"/>
              </w:rPr>
              <w:t>河北省宁晋县文学艺术界联合</w:t>
            </w:r>
            <w:r>
              <w:rPr>
                <w:rFonts w:hint="eastAsia" w:ascii="宋体" w:hAnsi="宋体" w:cs="宋体"/>
                <w:kern w:val="0"/>
                <w:sz w:val="21"/>
                <w:szCs w:val="21"/>
                <w:lang w:eastAsia="zh-CN"/>
              </w:rPr>
              <w:t>会</w:t>
            </w:r>
          </w:p>
        </w:tc>
        <w:tc>
          <w:tcPr>
            <w:tcW w:w="1754" w:type="dxa"/>
            <w:vAlign w:val="center"/>
          </w:tcPr>
          <w:p>
            <w:pPr>
              <w:spacing w:line="300" w:lineRule="exact"/>
              <w:jc w:val="center"/>
              <w:rPr>
                <w:rFonts w:eastAsia="方正书宋_GBK"/>
              </w:rPr>
            </w:pPr>
            <w:r>
              <w:rPr>
                <w:rFonts w:hint="eastAsia" w:eastAsia="方正书宋_GBK"/>
              </w:rPr>
              <w:t>行政</w:t>
            </w:r>
          </w:p>
        </w:tc>
        <w:tc>
          <w:tcPr>
            <w:tcW w:w="1276" w:type="dxa"/>
            <w:vAlign w:val="center"/>
          </w:tcPr>
          <w:p>
            <w:pPr>
              <w:spacing w:line="300" w:lineRule="exact"/>
              <w:jc w:val="center"/>
              <w:rPr>
                <w:rFonts w:eastAsia="方正书宋_GBK"/>
              </w:rPr>
            </w:pPr>
            <w:r>
              <w:rPr>
                <w:rFonts w:hint="eastAsia" w:ascii="方正书宋_GBK" w:eastAsia="方正书宋_GBK"/>
              </w:rPr>
              <w:t>正科级</w:t>
            </w:r>
          </w:p>
        </w:tc>
        <w:tc>
          <w:tcPr>
            <w:tcW w:w="2902" w:type="dxa"/>
            <w:vAlign w:val="center"/>
          </w:tcPr>
          <w:p>
            <w:pPr>
              <w:spacing w:line="300" w:lineRule="exact"/>
              <w:jc w:val="center"/>
              <w:rPr>
                <w:rFonts w:eastAsia="方正书宋_GBK"/>
              </w:rPr>
            </w:pPr>
            <w:r>
              <w:rPr>
                <w:rFonts w:hint="eastAsia" w:eastAsia="方正书宋_GBK"/>
              </w:rPr>
              <w:t>财政拨款</w:t>
            </w:r>
          </w:p>
        </w:tc>
      </w:tr>
    </w:tbl>
    <w:p>
      <w:pPr>
        <w:pStyle w:val="4"/>
        <w:ind w:left="0" w:leftChars="0" w:firstLine="0" w:firstLineChars="0"/>
      </w:pPr>
    </w:p>
    <w:p>
      <w:pPr>
        <w:widowControl/>
        <w:numPr>
          <w:ilvl w:val="0"/>
          <w:numId w:val="1"/>
        </w:numPr>
        <w:spacing w:line="600" w:lineRule="exact"/>
        <w:ind w:left="3" w:leftChars="0" w:firstLine="640" w:firstLineChars="0"/>
        <w:jc w:val="left"/>
        <w:rPr>
          <w:rFonts w:hint="eastAsia" w:ascii="黑体" w:hAnsi="黑体" w:eastAsia="黑体" w:cs="黑体"/>
          <w:color w:val="000000"/>
          <w:kern w:val="0"/>
          <w:sz w:val="36"/>
          <w:szCs w:val="36"/>
        </w:rPr>
      </w:pPr>
      <w:r>
        <w:rPr>
          <w:rFonts w:hint="eastAsia" w:ascii="黑体" w:hAnsi="黑体" w:eastAsia="黑体" w:cs="黑体"/>
          <w:b/>
          <w:color w:val="000000"/>
          <w:kern w:val="0"/>
          <w:sz w:val="36"/>
          <w:szCs w:val="36"/>
        </w:rPr>
        <w:t>部门预算安排的总体情况</w:t>
      </w:r>
    </w:p>
    <w:p>
      <w:pPr>
        <w:widowControl/>
        <w:spacing w:line="600" w:lineRule="exact"/>
        <w:ind w:firstLine="627"/>
        <w:jc w:val="left"/>
        <w:rPr>
          <w:rFonts w:hint="eastAsia" w:ascii="仿宋" w:hAnsi="仿宋" w:eastAsia="仿宋" w:cs="仿宋"/>
          <w:kern w:val="0"/>
          <w:sz w:val="32"/>
          <w:szCs w:val="32"/>
          <w:lang w:val="en-US" w:eastAsia="zh-CN"/>
        </w:rPr>
      </w:pPr>
      <w:r>
        <w:rPr>
          <w:rFonts w:hint="eastAsia" w:ascii="仿宋" w:hAnsi="仿宋" w:eastAsia="仿宋" w:cs="仿宋"/>
          <w:color w:val="000000"/>
          <w:kern w:val="0"/>
          <w:sz w:val="32"/>
          <w:szCs w:val="32"/>
        </w:rPr>
        <w:t>我</w:t>
      </w:r>
      <w:r>
        <w:rPr>
          <w:rFonts w:hint="eastAsia" w:ascii="仿宋" w:hAnsi="仿宋" w:eastAsia="仿宋" w:cs="仿宋"/>
          <w:color w:val="000000"/>
          <w:kern w:val="0"/>
          <w:sz w:val="32"/>
          <w:szCs w:val="32"/>
          <w:lang w:eastAsia="zh-CN"/>
        </w:rPr>
        <w:t>部门202</w:t>
      </w:r>
      <w:r>
        <w:rPr>
          <w:rFonts w:hint="eastAsia" w:ascii="仿宋" w:hAnsi="仿宋" w:eastAsia="仿宋" w:cs="仿宋"/>
          <w:color w:val="000000"/>
          <w:kern w:val="0"/>
          <w:sz w:val="32"/>
          <w:szCs w:val="32"/>
          <w:lang w:val="en-US" w:eastAsia="zh-CN"/>
        </w:rPr>
        <w:t>2</w:t>
      </w:r>
      <w:r>
        <w:rPr>
          <w:rFonts w:hint="eastAsia" w:ascii="仿宋" w:hAnsi="仿宋" w:eastAsia="仿宋" w:cs="仿宋"/>
          <w:color w:val="000000"/>
          <w:kern w:val="0"/>
          <w:sz w:val="32"/>
          <w:szCs w:val="32"/>
        </w:rPr>
        <w:t>年预算总收入</w:t>
      </w:r>
      <w:r>
        <w:rPr>
          <w:rFonts w:hint="eastAsia" w:ascii="仿宋" w:hAnsi="仿宋" w:eastAsia="仿宋" w:cs="仿宋"/>
          <w:color w:val="000000"/>
          <w:kern w:val="0"/>
          <w:sz w:val="32"/>
          <w:szCs w:val="32"/>
          <w:lang w:val="en-US" w:eastAsia="zh-CN"/>
        </w:rPr>
        <w:t>126.47</w:t>
      </w:r>
      <w:r>
        <w:rPr>
          <w:rFonts w:hint="eastAsia" w:ascii="仿宋" w:hAnsi="仿宋" w:eastAsia="仿宋" w:cs="仿宋"/>
          <w:color w:val="000000"/>
          <w:kern w:val="0"/>
          <w:sz w:val="32"/>
          <w:szCs w:val="32"/>
        </w:rPr>
        <w:t>万元。</w:t>
      </w:r>
      <w:r>
        <w:rPr>
          <w:rFonts w:hint="eastAsia" w:ascii="仿宋" w:hAnsi="仿宋" w:eastAsia="仿宋" w:cs="仿宋"/>
          <w:color w:val="000000"/>
          <w:kern w:val="0"/>
          <w:sz w:val="32"/>
          <w:szCs w:val="32"/>
          <w:lang w:eastAsia="zh-CN"/>
        </w:rPr>
        <w:t>202</w:t>
      </w:r>
      <w:r>
        <w:rPr>
          <w:rFonts w:hint="eastAsia" w:ascii="仿宋" w:hAnsi="仿宋" w:eastAsia="仿宋" w:cs="仿宋"/>
          <w:color w:val="000000"/>
          <w:kern w:val="0"/>
          <w:sz w:val="32"/>
          <w:szCs w:val="32"/>
          <w:lang w:val="en-US" w:eastAsia="zh-CN"/>
        </w:rPr>
        <w:t>2</w:t>
      </w:r>
      <w:r>
        <w:rPr>
          <w:rFonts w:hint="eastAsia" w:ascii="仿宋" w:hAnsi="仿宋" w:eastAsia="仿宋" w:cs="仿宋"/>
          <w:color w:val="000000"/>
          <w:kern w:val="0"/>
          <w:sz w:val="32"/>
          <w:szCs w:val="32"/>
        </w:rPr>
        <w:t>年预算总收入</w:t>
      </w:r>
      <w:r>
        <w:rPr>
          <w:rFonts w:hint="eastAsia" w:ascii="仿宋" w:hAnsi="仿宋" w:eastAsia="仿宋" w:cs="仿宋"/>
          <w:kern w:val="0"/>
          <w:sz w:val="32"/>
          <w:szCs w:val="32"/>
        </w:rPr>
        <w:t>较20</w:t>
      </w:r>
      <w:r>
        <w:rPr>
          <w:rFonts w:hint="eastAsia" w:ascii="仿宋" w:hAnsi="仿宋" w:eastAsia="仿宋" w:cs="仿宋"/>
          <w:kern w:val="0"/>
          <w:sz w:val="32"/>
          <w:szCs w:val="32"/>
          <w:lang w:val="en-US" w:eastAsia="zh-CN"/>
        </w:rPr>
        <w:t>21</w:t>
      </w:r>
      <w:r>
        <w:rPr>
          <w:rFonts w:hint="eastAsia" w:ascii="仿宋" w:hAnsi="仿宋" w:eastAsia="仿宋" w:cs="仿宋"/>
          <w:kern w:val="0"/>
          <w:sz w:val="32"/>
          <w:szCs w:val="32"/>
        </w:rPr>
        <w:t>年预算总收入（</w:t>
      </w:r>
      <w:r>
        <w:rPr>
          <w:rFonts w:hint="eastAsia" w:ascii="仿宋" w:hAnsi="仿宋" w:eastAsia="仿宋" w:cs="仿宋"/>
          <w:color w:val="000000"/>
          <w:kern w:val="0"/>
          <w:sz w:val="32"/>
          <w:szCs w:val="32"/>
          <w:lang w:val="en-US" w:eastAsia="zh-CN"/>
        </w:rPr>
        <w:t>84.47</w:t>
      </w:r>
      <w:r>
        <w:rPr>
          <w:rFonts w:hint="eastAsia" w:ascii="仿宋" w:hAnsi="仿宋" w:eastAsia="仿宋" w:cs="仿宋"/>
          <w:kern w:val="0"/>
          <w:sz w:val="32"/>
          <w:szCs w:val="32"/>
          <w:lang w:val="en-US" w:eastAsia="zh-CN"/>
        </w:rPr>
        <w:t xml:space="preserve"> </w:t>
      </w:r>
      <w:r>
        <w:rPr>
          <w:rFonts w:hint="eastAsia" w:ascii="仿宋" w:hAnsi="仿宋" w:eastAsia="仿宋" w:cs="仿宋"/>
          <w:kern w:val="0"/>
          <w:sz w:val="32"/>
          <w:szCs w:val="32"/>
        </w:rPr>
        <w:t>万元）增加</w:t>
      </w:r>
      <w:r>
        <w:rPr>
          <w:rFonts w:hint="eastAsia" w:ascii="仿宋" w:hAnsi="仿宋" w:eastAsia="仿宋" w:cs="仿宋"/>
          <w:kern w:val="0"/>
          <w:sz w:val="32"/>
          <w:szCs w:val="32"/>
          <w:lang w:val="en-US" w:eastAsia="zh-CN"/>
        </w:rPr>
        <w:t>42.00</w:t>
      </w:r>
      <w:r>
        <w:rPr>
          <w:rFonts w:hint="eastAsia" w:ascii="仿宋" w:hAnsi="仿宋" w:eastAsia="仿宋" w:cs="仿宋"/>
          <w:kern w:val="0"/>
          <w:sz w:val="32"/>
          <w:szCs w:val="32"/>
        </w:rPr>
        <w:t>万元，增加</w:t>
      </w:r>
      <w:r>
        <w:rPr>
          <w:rFonts w:hint="eastAsia" w:ascii="仿宋" w:hAnsi="仿宋" w:eastAsia="仿宋" w:cs="仿宋"/>
          <w:kern w:val="0"/>
          <w:sz w:val="32"/>
          <w:szCs w:val="32"/>
          <w:lang w:val="en-US" w:eastAsia="zh-CN"/>
        </w:rPr>
        <w:t xml:space="preserve">49 </w:t>
      </w:r>
      <w:r>
        <w:rPr>
          <w:rFonts w:hint="eastAsia" w:ascii="仿宋" w:hAnsi="仿宋" w:eastAsia="仿宋" w:cs="仿宋"/>
          <w:kern w:val="0"/>
          <w:sz w:val="32"/>
          <w:szCs w:val="32"/>
        </w:rPr>
        <w:t>%，主要是</w:t>
      </w:r>
      <w:r>
        <w:rPr>
          <w:rFonts w:hint="eastAsia" w:ascii="仿宋" w:hAnsi="仿宋" w:eastAsia="仿宋" w:cs="仿宋"/>
          <w:kern w:val="0"/>
          <w:sz w:val="32"/>
          <w:szCs w:val="32"/>
          <w:lang w:eastAsia="zh-CN"/>
        </w:rPr>
        <w:t>人员经费补助增加，项目经费增加，各类保险调整基数</w:t>
      </w:r>
      <w:r>
        <w:rPr>
          <w:rFonts w:hint="eastAsia" w:ascii="仿宋" w:hAnsi="仿宋" w:eastAsia="仿宋" w:cs="仿宋"/>
          <w:kern w:val="0"/>
          <w:sz w:val="32"/>
          <w:szCs w:val="32"/>
        </w:rPr>
        <w:t>。</w:t>
      </w:r>
      <w:r>
        <w:rPr>
          <w:rFonts w:hint="eastAsia" w:ascii="仿宋" w:hAnsi="仿宋" w:eastAsia="仿宋" w:cs="仿宋"/>
          <w:kern w:val="0"/>
          <w:sz w:val="32"/>
          <w:szCs w:val="32"/>
          <w:lang w:eastAsia="zh-CN"/>
        </w:rPr>
        <w:t>202</w:t>
      </w:r>
      <w:r>
        <w:rPr>
          <w:rFonts w:hint="eastAsia" w:ascii="仿宋" w:hAnsi="仿宋" w:eastAsia="仿宋" w:cs="仿宋"/>
          <w:kern w:val="0"/>
          <w:sz w:val="32"/>
          <w:szCs w:val="32"/>
          <w:lang w:val="en-US" w:eastAsia="zh-CN"/>
        </w:rPr>
        <w:t>2</w:t>
      </w:r>
      <w:r>
        <w:rPr>
          <w:rFonts w:hint="eastAsia" w:ascii="仿宋" w:hAnsi="仿宋" w:eastAsia="仿宋" w:cs="仿宋"/>
          <w:kern w:val="0"/>
          <w:sz w:val="32"/>
          <w:szCs w:val="32"/>
        </w:rPr>
        <w:t>年</w:t>
      </w:r>
      <w:r>
        <w:rPr>
          <w:rFonts w:hint="eastAsia" w:ascii="仿宋" w:hAnsi="仿宋" w:eastAsia="仿宋" w:cs="仿宋"/>
          <w:color w:val="000000"/>
          <w:kern w:val="0"/>
          <w:sz w:val="32"/>
          <w:szCs w:val="32"/>
        </w:rPr>
        <w:t>预算总支出</w:t>
      </w:r>
      <w:r>
        <w:rPr>
          <w:rFonts w:hint="eastAsia" w:ascii="仿宋" w:hAnsi="仿宋" w:eastAsia="仿宋" w:cs="仿宋"/>
          <w:color w:val="000000"/>
          <w:kern w:val="0"/>
          <w:sz w:val="32"/>
          <w:szCs w:val="32"/>
          <w:lang w:val="en-US" w:eastAsia="zh-CN"/>
        </w:rPr>
        <w:t>126.47</w:t>
      </w:r>
      <w:r>
        <w:rPr>
          <w:rFonts w:hint="eastAsia" w:ascii="仿宋" w:hAnsi="仿宋" w:eastAsia="仿宋" w:cs="仿宋"/>
          <w:color w:val="000000"/>
          <w:kern w:val="0"/>
          <w:sz w:val="32"/>
          <w:szCs w:val="32"/>
        </w:rPr>
        <w:t>万元</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其中基本支出</w:t>
      </w:r>
      <w:r>
        <w:rPr>
          <w:rFonts w:hint="eastAsia" w:ascii="仿宋" w:hAnsi="仿宋" w:eastAsia="仿宋" w:cs="仿宋"/>
          <w:color w:val="000000"/>
          <w:kern w:val="0"/>
          <w:sz w:val="32"/>
          <w:szCs w:val="32"/>
          <w:lang w:val="en-US" w:eastAsia="zh-CN"/>
        </w:rPr>
        <w:t>77.63</w:t>
      </w:r>
      <w:r>
        <w:rPr>
          <w:rFonts w:hint="eastAsia" w:ascii="仿宋" w:hAnsi="仿宋" w:eastAsia="仿宋" w:cs="仿宋"/>
          <w:color w:val="000000"/>
          <w:kern w:val="0"/>
          <w:sz w:val="32"/>
          <w:szCs w:val="32"/>
        </w:rPr>
        <w:t>万元（包括人员经费</w:t>
      </w:r>
      <w:r>
        <w:rPr>
          <w:rFonts w:hint="eastAsia" w:ascii="仿宋" w:hAnsi="仿宋" w:eastAsia="仿宋" w:cs="仿宋"/>
          <w:color w:val="000000"/>
          <w:kern w:val="0"/>
          <w:sz w:val="32"/>
          <w:szCs w:val="32"/>
          <w:lang w:val="en-US" w:eastAsia="zh-CN"/>
        </w:rPr>
        <w:t>69.36</w:t>
      </w:r>
      <w:r>
        <w:rPr>
          <w:rFonts w:hint="eastAsia" w:ascii="仿宋" w:hAnsi="仿宋" w:eastAsia="仿宋" w:cs="仿宋"/>
          <w:color w:val="000000"/>
          <w:kern w:val="0"/>
          <w:sz w:val="32"/>
          <w:szCs w:val="32"/>
        </w:rPr>
        <w:t>万元，日常公用经费</w:t>
      </w:r>
      <w:r>
        <w:rPr>
          <w:rFonts w:hint="eastAsia" w:ascii="仿宋" w:hAnsi="仿宋" w:eastAsia="仿宋" w:cs="仿宋"/>
          <w:color w:val="000000"/>
          <w:kern w:val="0"/>
          <w:sz w:val="32"/>
          <w:szCs w:val="32"/>
          <w:lang w:val="en-US" w:eastAsia="zh-CN"/>
        </w:rPr>
        <w:t>8.27</w:t>
      </w:r>
      <w:r>
        <w:rPr>
          <w:rFonts w:hint="eastAsia" w:ascii="仿宋" w:hAnsi="仿宋" w:eastAsia="仿宋" w:cs="仿宋"/>
          <w:color w:val="000000"/>
          <w:kern w:val="0"/>
          <w:sz w:val="32"/>
          <w:szCs w:val="32"/>
        </w:rPr>
        <w:t>万元）</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项目支出</w:t>
      </w:r>
      <w:r>
        <w:rPr>
          <w:rFonts w:hint="eastAsia" w:ascii="仿宋" w:hAnsi="仿宋" w:eastAsia="仿宋" w:cs="仿宋"/>
          <w:color w:val="000000"/>
          <w:kern w:val="0"/>
          <w:sz w:val="32"/>
          <w:szCs w:val="32"/>
          <w:lang w:val="en-US" w:eastAsia="zh-CN"/>
        </w:rPr>
        <w:t>48.84</w:t>
      </w:r>
      <w:r>
        <w:rPr>
          <w:rFonts w:hint="eastAsia" w:ascii="仿宋" w:hAnsi="仿宋" w:eastAsia="仿宋" w:cs="仿宋"/>
          <w:color w:val="000000"/>
          <w:kern w:val="0"/>
          <w:sz w:val="32"/>
          <w:szCs w:val="32"/>
        </w:rPr>
        <w:t>万元。</w:t>
      </w:r>
      <w:r>
        <w:rPr>
          <w:rFonts w:hint="eastAsia" w:ascii="仿宋" w:hAnsi="仿宋" w:eastAsia="仿宋" w:cs="仿宋"/>
          <w:color w:val="000000"/>
          <w:kern w:val="0"/>
          <w:sz w:val="32"/>
          <w:szCs w:val="32"/>
          <w:lang w:eastAsia="zh-CN"/>
        </w:rPr>
        <w:t>202</w:t>
      </w:r>
      <w:r>
        <w:rPr>
          <w:rFonts w:hint="eastAsia" w:ascii="仿宋" w:hAnsi="仿宋" w:eastAsia="仿宋" w:cs="仿宋"/>
          <w:color w:val="000000"/>
          <w:kern w:val="0"/>
          <w:sz w:val="32"/>
          <w:szCs w:val="32"/>
          <w:lang w:val="en-US" w:eastAsia="zh-CN"/>
        </w:rPr>
        <w:t>2</w:t>
      </w:r>
      <w:r>
        <w:rPr>
          <w:rFonts w:hint="eastAsia" w:ascii="仿宋" w:hAnsi="仿宋" w:eastAsia="仿宋" w:cs="仿宋"/>
          <w:color w:val="000000"/>
          <w:kern w:val="0"/>
          <w:sz w:val="32"/>
          <w:szCs w:val="32"/>
        </w:rPr>
        <w:t>年预算总支出</w:t>
      </w:r>
      <w:r>
        <w:rPr>
          <w:rFonts w:hint="eastAsia" w:ascii="仿宋" w:hAnsi="仿宋" w:eastAsia="仿宋" w:cs="仿宋"/>
          <w:color w:val="000000"/>
          <w:kern w:val="0"/>
          <w:sz w:val="32"/>
          <w:szCs w:val="32"/>
          <w:lang w:val="en-US" w:eastAsia="zh-CN"/>
        </w:rPr>
        <w:t>126.47万元，</w:t>
      </w:r>
      <w:r>
        <w:rPr>
          <w:rFonts w:hint="eastAsia" w:ascii="仿宋" w:hAnsi="仿宋" w:eastAsia="仿宋" w:cs="仿宋"/>
          <w:kern w:val="0"/>
          <w:sz w:val="32"/>
          <w:szCs w:val="32"/>
        </w:rPr>
        <w:t>较</w:t>
      </w:r>
      <w:r>
        <w:rPr>
          <w:rFonts w:hint="eastAsia" w:ascii="仿宋" w:hAnsi="仿宋" w:eastAsia="仿宋" w:cs="仿宋"/>
          <w:kern w:val="0"/>
          <w:sz w:val="32"/>
          <w:szCs w:val="32"/>
          <w:lang w:val="en-US" w:eastAsia="zh-CN"/>
        </w:rPr>
        <w:t>2021</w:t>
      </w:r>
      <w:r>
        <w:rPr>
          <w:rFonts w:hint="eastAsia" w:ascii="仿宋" w:hAnsi="仿宋" w:eastAsia="仿宋" w:cs="仿宋"/>
          <w:kern w:val="0"/>
          <w:sz w:val="32"/>
          <w:szCs w:val="32"/>
        </w:rPr>
        <w:t>年预算总支出（</w:t>
      </w:r>
      <w:r>
        <w:rPr>
          <w:rFonts w:hint="eastAsia" w:ascii="仿宋" w:hAnsi="仿宋" w:eastAsia="仿宋" w:cs="仿宋"/>
          <w:kern w:val="0"/>
          <w:sz w:val="32"/>
          <w:szCs w:val="32"/>
          <w:lang w:val="en-US" w:eastAsia="zh-CN"/>
        </w:rPr>
        <w:t>84.47</w:t>
      </w:r>
      <w:r>
        <w:rPr>
          <w:rFonts w:hint="eastAsia" w:ascii="仿宋" w:hAnsi="仿宋" w:eastAsia="仿宋" w:cs="仿宋"/>
          <w:kern w:val="0"/>
          <w:sz w:val="32"/>
          <w:szCs w:val="32"/>
        </w:rPr>
        <w:t>万元）增加</w:t>
      </w:r>
      <w:r>
        <w:rPr>
          <w:rFonts w:hint="eastAsia" w:ascii="仿宋" w:hAnsi="仿宋" w:eastAsia="仿宋" w:cs="仿宋"/>
          <w:kern w:val="0"/>
          <w:sz w:val="32"/>
          <w:szCs w:val="32"/>
          <w:lang w:val="en-US" w:eastAsia="zh-CN"/>
        </w:rPr>
        <w:t>42.00</w:t>
      </w:r>
      <w:r>
        <w:rPr>
          <w:rFonts w:hint="eastAsia" w:ascii="仿宋" w:hAnsi="仿宋" w:eastAsia="仿宋" w:cs="仿宋"/>
          <w:kern w:val="0"/>
          <w:sz w:val="32"/>
          <w:szCs w:val="32"/>
        </w:rPr>
        <w:t>万元，增加</w:t>
      </w:r>
      <w:r>
        <w:rPr>
          <w:rFonts w:hint="eastAsia" w:ascii="仿宋" w:hAnsi="仿宋" w:eastAsia="仿宋" w:cs="仿宋"/>
          <w:kern w:val="0"/>
          <w:sz w:val="32"/>
          <w:szCs w:val="32"/>
          <w:lang w:val="en-US" w:eastAsia="zh-CN"/>
        </w:rPr>
        <w:t xml:space="preserve">49 </w:t>
      </w:r>
      <w:r>
        <w:rPr>
          <w:rFonts w:hint="eastAsia" w:ascii="仿宋" w:hAnsi="仿宋" w:eastAsia="仿宋" w:cs="仿宋"/>
          <w:kern w:val="0"/>
          <w:sz w:val="32"/>
          <w:szCs w:val="32"/>
        </w:rPr>
        <w:t>%，主要是</w:t>
      </w:r>
      <w:r>
        <w:rPr>
          <w:rFonts w:hint="eastAsia" w:ascii="仿宋" w:hAnsi="仿宋" w:eastAsia="仿宋" w:cs="仿宋"/>
          <w:kern w:val="0"/>
          <w:sz w:val="32"/>
          <w:szCs w:val="32"/>
          <w:lang w:eastAsia="zh-CN"/>
        </w:rPr>
        <w:t>人员经费补助增加，项目经费增加，各类保险调整基数</w:t>
      </w:r>
      <w:r>
        <w:rPr>
          <w:rFonts w:hint="eastAsia" w:ascii="仿宋" w:hAnsi="仿宋" w:eastAsia="仿宋" w:cs="仿宋"/>
          <w:kern w:val="0"/>
          <w:sz w:val="32"/>
          <w:szCs w:val="32"/>
          <w:lang w:val="en-US" w:eastAsia="zh-CN"/>
        </w:rPr>
        <w:t>。</w:t>
      </w:r>
    </w:p>
    <w:p>
      <w:pPr>
        <w:widowControl/>
        <w:numPr>
          <w:ilvl w:val="0"/>
          <w:numId w:val="1"/>
        </w:numPr>
        <w:spacing w:line="600" w:lineRule="exact"/>
        <w:ind w:left="3" w:leftChars="0" w:firstLine="627" w:firstLineChars="0"/>
        <w:jc w:val="left"/>
        <w:rPr>
          <w:rFonts w:hint="eastAsia" w:ascii="宋体" w:hAnsi="宋体" w:eastAsia="宋体" w:cs="宋体"/>
          <w:b/>
          <w:color w:val="000000"/>
          <w:kern w:val="0"/>
          <w:sz w:val="36"/>
          <w:szCs w:val="36"/>
        </w:rPr>
      </w:pPr>
      <w:r>
        <w:rPr>
          <w:rFonts w:hint="eastAsia" w:ascii="宋体" w:hAnsi="宋体" w:eastAsia="宋体" w:cs="宋体"/>
          <w:b/>
          <w:color w:val="000000"/>
          <w:kern w:val="0"/>
          <w:sz w:val="36"/>
          <w:szCs w:val="36"/>
        </w:rPr>
        <w:t>机关运行经费安排情况</w:t>
      </w:r>
    </w:p>
    <w:p>
      <w:pPr>
        <w:widowControl/>
        <w:spacing w:line="600" w:lineRule="exact"/>
        <w:ind w:firstLine="640" w:firstLineChars="200"/>
        <w:jc w:val="left"/>
        <w:rPr>
          <w:rFonts w:hint="eastAsia" w:ascii="仿宋" w:hAnsi="仿宋" w:eastAsia="仿宋" w:cs="仿宋"/>
          <w:color w:val="000000"/>
          <w:sz w:val="32"/>
          <w:szCs w:val="32"/>
        </w:rPr>
      </w:pPr>
      <w:r>
        <w:rPr>
          <w:rFonts w:hint="eastAsia" w:ascii="仿宋" w:hAnsi="仿宋" w:eastAsia="仿宋" w:cs="仿宋"/>
          <w:color w:val="000000"/>
          <w:kern w:val="0"/>
          <w:sz w:val="32"/>
          <w:szCs w:val="32"/>
        </w:rPr>
        <w:t>我</w:t>
      </w:r>
      <w:r>
        <w:rPr>
          <w:rFonts w:hint="eastAsia" w:ascii="仿宋" w:hAnsi="仿宋" w:eastAsia="仿宋" w:cs="仿宋"/>
          <w:color w:val="000000"/>
          <w:kern w:val="0"/>
          <w:sz w:val="32"/>
          <w:szCs w:val="32"/>
          <w:lang w:eastAsia="zh-CN"/>
        </w:rPr>
        <w:t>部门202</w:t>
      </w:r>
      <w:r>
        <w:rPr>
          <w:rFonts w:hint="eastAsia" w:ascii="仿宋" w:hAnsi="仿宋" w:eastAsia="仿宋" w:cs="仿宋"/>
          <w:color w:val="000000"/>
          <w:kern w:val="0"/>
          <w:sz w:val="32"/>
          <w:szCs w:val="32"/>
          <w:lang w:val="en-US" w:eastAsia="zh-CN"/>
        </w:rPr>
        <w:t>2</w:t>
      </w:r>
      <w:r>
        <w:rPr>
          <w:rFonts w:hint="eastAsia" w:ascii="仿宋" w:hAnsi="仿宋" w:eastAsia="仿宋" w:cs="仿宋"/>
          <w:color w:val="000000"/>
          <w:kern w:val="0"/>
          <w:sz w:val="32"/>
          <w:szCs w:val="32"/>
        </w:rPr>
        <w:t>年机关运行经费</w:t>
      </w:r>
      <w:r>
        <w:rPr>
          <w:rFonts w:hint="eastAsia" w:ascii="仿宋" w:hAnsi="仿宋" w:eastAsia="仿宋" w:cs="仿宋"/>
          <w:color w:val="000000"/>
          <w:kern w:val="0"/>
          <w:sz w:val="32"/>
          <w:szCs w:val="32"/>
          <w:lang w:val="en-US" w:eastAsia="zh-CN"/>
        </w:rPr>
        <w:t>2.57</w:t>
      </w:r>
      <w:r>
        <w:rPr>
          <w:rFonts w:hint="eastAsia" w:ascii="仿宋" w:hAnsi="仿宋" w:eastAsia="仿宋" w:cs="仿宋"/>
          <w:color w:val="000000"/>
          <w:kern w:val="0"/>
          <w:sz w:val="32"/>
          <w:szCs w:val="32"/>
        </w:rPr>
        <w:t>万元，</w:t>
      </w:r>
      <w:r>
        <w:rPr>
          <w:rFonts w:hint="eastAsia" w:ascii="仿宋" w:hAnsi="仿宋" w:eastAsia="仿宋" w:cs="仿宋"/>
          <w:color w:val="000000"/>
          <w:kern w:val="0"/>
          <w:sz w:val="32"/>
          <w:szCs w:val="32"/>
          <w:lang w:eastAsia="zh-CN"/>
        </w:rPr>
        <w:t>与</w:t>
      </w:r>
      <w:r>
        <w:rPr>
          <w:rFonts w:hint="eastAsia" w:ascii="仿宋" w:hAnsi="仿宋" w:eastAsia="仿宋" w:cs="仿宋"/>
          <w:color w:val="000000"/>
          <w:kern w:val="0"/>
          <w:sz w:val="32"/>
          <w:szCs w:val="32"/>
        </w:rPr>
        <w:t>20</w:t>
      </w:r>
      <w:r>
        <w:rPr>
          <w:rFonts w:hint="eastAsia" w:ascii="仿宋" w:hAnsi="仿宋" w:eastAsia="仿宋" w:cs="仿宋"/>
          <w:color w:val="000000"/>
          <w:kern w:val="0"/>
          <w:sz w:val="32"/>
          <w:szCs w:val="32"/>
          <w:lang w:val="en-US" w:eastAsia="zh-CN"/>
        </w:rPr>
        <w:t>21</w:t>
      </w:r>
      <w:r>
        <w:rPr>
          <w:rFonts w:hint="eastAsia" w:ascii="仿宋" w:hAnsi="仿宋" w:eastAsia="仿宋" w:cs="仿宋"/>
          <w:color w:val="000000"/>
          <w:kern w:val="0"/>
          <w:sz w:val="32"/>
          <w:szCs w:val="32"/>
        </w:rPr>
        <w:t>年</w:t>
      </w:r>
      <w:r>
        <w:rPr>
          <w:rFonts w:hint="eastAsia" w:ascii="仿宋" w:hAnsi="仿宋" w:eastAsia="仿宋" w:cs="仿宋"/>
          <w:color w:val="000000"/>
          <w:kern w:val="0"/>
          <w:sz w:val="32"/>
          <w:szCs w:val="32"/>
          <w:lang w:val="en-US" w:eastAsia="zh-CN"/>
        </w:rPr>
        <w:t>2.31</w:t>
      </w:r>
      <w:r>
        <w:rPr>
          <w:rFonts w:hint="eastAsia" w:ascii="仿宋" w:hAnsi="仿宋" w:eastAsia="仿宋" w:cs="仿宋"/>
          <w:color w:val="000000"/>
          <w:kern w:val="0"/>
          <w:sz w:val="32"/>
          <w:szCs w:val="32"/>
        </w:rPr>
        <w:t>万元</w:t>
      </w:r>
      <w:r>
        <w:rPr>
          <w:rFonts w:hint="eastAsia" w:ascii="仿宋" w:hAnsi="仿宋" w:eastAsia="仿宋" w:cs="仿宋"/>
          <w:color w:val="000000"/>
          <w:kern w:val="0"/>
          <w:sz w:val="32"/>
          <w:szCs w:val="32"/>
          <w:lang w:eastAsia="zh-CN"/>
        </w:rPr>
        <w:t>上升</w:t>
      </w:r>
      <w:r>
        <w:rPr>
          <w:rFonts w:hint="eastAsia" w:ascii="仿宋" w:hAnsi="仿宋" w:eastAsia="仿宋" w:cs="仿宋"/>
          <w:color w:val="000000"/>
          <w:kern w:val="0"/>
          <w:sz w:val="32"/>
          <w:szCs w:val="32"/>
          <w:lang w:val="en-US" w:eastAsia="zh-CN"/>
        </w:rPr>
        <w:t>0.26万元</w:t>
      </w:r>
      <w:r>
        <w:rPr>
          <w:rFonts w:hint="eastAsia" w:ascii="仿宋" w:hAnsi="仿宋" w:eastAsia="仿宋" w:cs="仿宋"/>
          <w:color w:val="000000"/>
          <w:kern w:val="0"/>
          <w:sz w:val="32"/>
          <w:szCs w:val="32"/>
        </w:rPr>
        <w:t>，</w:t>
      </w:r>
      <w:r>
        <w:rPr>
          <w:rFonts w:hint="eastAsia" w:ascii="仿宋" w:hAnsi="仿宋" w:eastAsia="仿宋" w:cs="仿宋"/>
          <w:color w:val="000000"/>
          <w:kern w:val="0"/>
          <w:sz w:val="32"/>
          <w:szCs w:val="32"/>
          <w:lang w:eastAsia="zh-CN"/>
        </w:rPr>
        <w:t>主要为人员增加，日常办公费用技术增加。</w:t>
      </w:r>
      <w:r>
        <w:rPr>
          <w:rFonts w:hint="eastAsia" w:ascii="仿宋" w:hAnsi="仿宋" w:eastAsia="仿宋" w:cs="仿宋"/>
          <w:color w:val="000000"/>
          <w:kern w:val="0"/>
          <w:sz w:val="32"/>
          <w:szCs w:val="32"/>
        </w:rPr>
        <w:t>其中</w:t>
      </w:r>
      <w:r>
        <w:rPr>
          <w:rFonts w:hint="eastAsia" w:ascii="仿宋" w:hAnsi="仿宋" w:eastAsia="仿宋" w:cs="仿宋"/>
          <w:color w:val="000000"/>
          <w:sz w:val="32"/>
          <w:szCs w:val="32"/>
        </w:rPr>
        <w:t>办公费</w:t>
      </w:r>
      <w:r>
        <w:rPr>
          <w:rFonts w:hint="eastAsia" w:ascii="仿宋" w:hAnsi="仿宋" w:eastAsia="仿宋" w:cs="仿宋"/>
          <w:color w:val="000000"/>
          <w:sz w:val="32"/>
          <w:szCs w:val="32"/>
          <w:lang w:val="en-US" w:eastAsia="zh-CN"/>
        </w:rPr>
        <w:t>2.03</w:t>
      </w:r>
      <w:r>
        <w:rPr>
          <w:rFonts w:hint="eastAsia" w:ascii="仿宋" w:hAnsi="仿宋" w:eastAsia="仿宋" w:cs="仿宋"/>
          <w:color w:val="000000"/>
          <w:sz w:val="32"/>
          <w:szCs w:val="32"/>
        </w:rPr>
        <w:t>万元，</w:t>
      </w:r>
      <w:r>
        <w:rPr>
          <w:rFonts w:hint="eastAsia" w:ascii="仿宋" w:hAnsi="仿宋" w:eastAsia="仿宋" w:cs="仿宋"/>
          <w:color w:val="000000"/>
          <w:sz w:val="32"/>
          <w:szCs w:val="32"/>
          <w:lang w:eastAsia="zh-CN"/>
        </w:rPr>
        <w:t>工会经费</w:t>
      </w:r>
      <w:r>
        <w:rPr>
          <w:rFonts w:hint="eastAsia" w:ascii="仿宋" w:hAnsi="仿宋" w:eastAsia="仿宋" w:cs="仿宋"/>
          <w:color w:val="000000"/>
          <w:sz w:val="32"/>
          <w:szCs w:val="32"/>
          <w:lang w:val="en-US" w:eastAsia="zh-CN"/>
        </w:rPr>
        <w:t>0.39万元，福利费0.15万元。</w:t>
      </w:r>
    </w:p>
    <w:p>
      <w:pPr>
        <w:widowControl/>
        <w:numPr>
          <w:ilvl w:val="0"/>
          <w:numId w:val="2"/>
        </w:numPr>
        <w:spacing w:line="600" w:lineRule="exact"/>
        <w:ind w:left="1770" w:leftChars="0" w:firstLineChars="0"/>
        <w:jc w:val="left"/>
        <w:rPr>
          <w:rFonts w:hint="eastAsia" w:ascii="宋体" w:hAnsi="宋体" w:eastAsia="宋体" w:cs="宋体"/>
          <w:b/>
          <w:color w:val="000000"/>
          <w:kern w:val="0"/>
          <w:sz w:val="36"/>
          <w:szCs w:val="36"/>
        </w:rPr>
      </w:pPr>
      <w:r>
        <w:rPr>
          <w:rFonts w:hint="eastAsia" w:ascii="宋体" w:hAnsi="宋体" w:eastAsia="宋体" w:cs="宋体"/>
          <w:b/>
          <w:color w:val="000000"/>
          <w:kern w:val="0"/>
          <w:sz w:val="36"/>
          <w:szCs w:val="36"/>
        </w:rPr>
        <w:t>财政拨款“三公”经费预算安排情况</w:t>
      </w:r>
    </w:p>
    <w:p>
      <w:pPr>
        <w:spacing w:line="600" w:lineRule="exact"/>
        <w:ind w:firstLine="645"/>
        <w:rPr>
          <w:rFonts w:hint="eastAsia" w:ascii="仿宋" w:hAnsi="仿宋" w:eastAsia="仿宋" w:cs="仿宋"/>
          <w:sz w:val="32"/>
          <w:szCs w:val="32"/>
          <w:lang w:eastAsia="zh-CN"/>
        </w:rPr>
      </w:pPr>
      <w:r>
        <w:rPr>
          <w:rFonts w:hint="eastAsia" w:ascii="仿宋" w:hAnsi="仿宋" w:eastAsia="仿宋" w:cs="仿宋"/>
          <w:sz w:val="32"/>
          <w:szCs w:val="32"/>
          <w:lang w:eastAsia="zh-CN"/>
        </w:rPr>
        <w:t>我部门</w:t>
      </w:r>
      <w:r>
        <w:rPr>
          <w:rFonts w:hint="eastAsia" w:ascii="仿宋" w:hAnsi="仿宋" w:eastAsia="仿宋" w:cs="仿宋"/>
          <w:sz w:val="32"/>
          <w:szCs w:val="32"/>
          <w:lang w:val="en-US" w:eastAsia="zh-CN"/>
        </w:rPr>
        <w:t>2021无财政拨款</w:t>
      </w:r>
      <w:r>
        <w:rPr>
          <w:rFonts w:hint="eastAsia" w:ascii="仿宋" w:hAnsi="仿宋" w:eastAsia="仿宋" w:cs="仿宋"/>
          <w:sz w:val="32"/>
          <w:szCs w:val="32"/>
          <w:lang w:eastAsia="zh-CN"/>
        </w:rPr>
        <w:t>“三公”经费支出。</w:t>
      </w:r>
      <w:r>
        <w:rPr>
          <w:rFonts w:hint="eastAsia" w:ascii="仿宋" w:hAnsi="仿宋" w:eastAsia="仿宋" w:cs="仿宋"/>
          <w:sz w:val="32"/>
          <w:szCs w:val="32"/>
          <w:lang w:val="en-US" w:eastAsia="zh-CN"/>
        </w:rPr>
        <w:t>2022年财政预算拨款</w:t>
      </w:r>
      <w:r>
        <w:rPr>
          <w:rFonts w:hint="eastAsia" w:ascii="仿宋" w:hAnsi="仿宋" w:eastAsia="仿宋" w:cs="仿宋"/>
          <w:sz w:val="32"/>
          <w:szCs w:val="32"/>
          <w:lang w:eastAsia="zh-CN"/>
        </w:rPr>
        <w:t>“三公”经费与去年相比无变化。</w:t>
      </w:r>
    </w:p>
    <w:p>
      <w:pPr>
        <w:spacing w:line="600" w:lineRule="exact"/>
        <w:ind w:firstLine="645"/>
        <w:rPr>
          <w:rFonts w:hint="eastAsia" w:ascii="仿宋" w:hAnsi="仿宋" w:eastAsia="仿宋" w:cs="仿宋"/>
          <w:sz w:val="32"/>
          <w:szCs w:val="32"/>
          <w:lang w:eastAsia="zh-CN"/>
        </w:rPr>
      </w:pPr>
    </w:p>
    <w:p>
      <w:pPr>
        <w:widowControl/>
        <w:spacing w:line="600" w:lineRule="exact"/>
        <w:ind w:firstLine="361" w:firstLineChars="100"/>
        <w:jc w:val="left"/>
        <w:rPr>
          <w:rFonts w:hint="eastAsia" w:ascii="宋体" w:hAnsi="宋体" w:eastAsia="宋体" w:cs="宋体"/>
          <w:b/>
          <w:sz w:val="36"/>
          <w:szCs w:val="36"/>
        </w:rPr>
      </w:pPr>
      <w:r>
        <w:rPr>
          <w:rFonts w:hint="eastAsia" w:ascii="宋体" w:hAnsi="宋体" w:eastAsia="宋体" w:cs="宋体"/>
          <w:b/>
          <w:kern w:val="0"/>
          <w:sz w:val="36"/>
          <w:szCs w:val="36"/>
        </w:rPr>
        <w:t>五、预算绩效信息情况</w:t>
      </w:r>
    </w:p>
    <w:p>
      <w:pPr>
        <w:spacing w:line="600" w:lineRule="exact"/>
        <w:ind w:firstLine="645"/>
        <w:rPr>
          <w:rFonts w:hint="eastAsia" w:ascii="宋体" w:hAnsi="宋体" w:eastAsia="宋体" w:cs="宋体"/>
          <w:b/>
          <w:kern w:val="0"/>
          <w:sz w:val="36"/>
          <w:szCs w:val="36"/>
        </w:rPr>
      </w:pPr>
      <w:r>
        <w:rPr>
          <w:rFonts w:hint="eastAsia" w:ascii="宋体" w:hAnsi="宋体" w:cs="宋体"/>
          <w:b/>
          <w:kern w:val="0"/>
          <w:sz w:val="36"/>
          <w:szCs w:val="36"/>
          <w:lang w:eastAsia="zh-CN"/>
        </w:rPr>
        <w:t>（一）</w:t>
      </w:r>
      <w:r>
        <w:rPr>
          <w:rFonts w:hint="eastAsia" w:ascii="宋体" w:hAnsi="宋体" w:eastAsia="宋体" w:cs="宋体"/>
          <w:b/>
          <w:kern w:val="0"/>
          <w:sz w:val="36"/>
          <w:szCs w:val="36"/>
        </w:rPr>
        <w:t>总体绩效目标</w:t>
      </w:r>
    </w:p>
    <w:p>
      <w:pPr>
        <w:pStyle w:val="13"/>
        <w:rPr>
          <w:rFonts w:hint="eastAsia" w:ascii="仿宋" w:hAnsi="仿宋" w:eastAsia="仿宋" w:cs="仿宋"/>
          <w:sz w:val="32"/>
          <w:szCs w:val="32"/>
        </w:rPr>
      </w:pPr>
      <w:r>
        <w:rPr>
          <w:rFonts w:hint="eastAsia" w:ascii="仿宋" w:hAnsi="仿宋" w:eastAsia="仿宋" w:cs="仿宋"/>
          <w:sz w:val="32"/>
          <w:szCs w:val="32"/>
        </w:rPr>
        <w:t>为进一步丰富和活跃群众的精神文化生活，围绕县委县政府的工作要求，举办一批优秀的摄影书法，美术类展览类等活动，活动的举办推进宁晋文艺振兴的重要举措。不断完善文学艺术界管理科学规范，召开联络会议，组织会员开展各类活动，加大培训力度，为宁晋县文艺事业健康快速发展提供组织保障。组织县内文艺工作者创作文艺精品，繁荣宁晋县文化事业，促进宁晋县文化艺术的影响力和美誉度进一步提高。</w:t>
      </w:r>
    </w:p>
    <w:p>
      <w:pPr>
        <w:pStyle w:val="13"/>
        <w:rPr>
          <w:rFonts w:hint="eastAsia" w:ascii="仿宋" w:hAnsi="仿宋" w:eastAsia="仿宋" w:cs="仿宋"/>
          <w:sz w:val="32"/>
          <w:szCs w:val="32"/>
        </w:rPr>
      </w:pPr>
      <w:r>
        <w:rPr>
          <w:rFonts w:hint="eastAsia" w:ascii="仿宋" w:hAnsi="仿宋" w:eastAsia="仿宋" w:cs="仿宋"/>
          <w:sz w:val="32"/>
          <w:szCs w:val="32"/>
        </w:rPr>
        <w:t>继续完善协会建设，加强对文艺人才的培养。一是加强各协会之间的联系、二是加强文艺工作者的培训，为文艺工作者提供尽可能的帮助和创造条件，鼓励文艺人オ脱颖而出。进一步繁荣文艺创作，强化文艺振兴力度。是加强文艺扶持力度，注重上引下联，鼓励文学爱好者，文艺工作者及各协会创作一批反映宁晋地方特色的工艺精品;二是积极推介文艺精品，组织谋划县域文艺工作者参加省市活动暨文艺精品评选活动，同时积极组织县域之间横向文化交流活动。</w:t>
      </w:r>
    </w:p>
    <w:p>
      <w:pPr>
        <w:pStyle w:val="12"/>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ind w:firstLine="640"/>
        <w:rPr>
          <w:rFonts w:hint="eastAsia" w:ascii="宋体" w:hAnsi="宋体" w:eastAsia="宋体" w:cs="宋体"/>
          <w:sz w:val="32"/>
          <w:szCs w:val="32"/>
        </w:rPr>
      </w:pPr>
    </w:p>
    <w:p>
      <w:pPr>
        <w:pStyle w:val="12"/>
        <w:widowControl/>
        <w:spacing w:beforeLines="0" w:afterLines="0"/>
        <w:ind w:firstLine="723" w:firstLineChars="200"/>
        <w:rPr>
          <w:rFonts w:hint="eastAsia" w:ascii="宋体" w:hAnsi="宋体" w:eastAsia="宋体" w:cs="宋体"/>
          <w:b/>
          <w:kern w:val="0"/>
          <w:sz w:val="36"/>
          <w:szCs w:val="36"/>
          <w:lang w:val="en-US" w:eastAsia="zh-CN" w:bidi="ar-SA"/>
        </w:rPr>
      </w:pPr>
      <w:r>
        <w:rPr>
          <w:rFonts w:hint="eastAsia" w:cs="宋体"/>
          <w:b/>
          <w:kern w:val="0"/>
          <w:sz w:val="36"/>
          <w:szCs w:val="36"/>
          <w:lang w:val="en-US" w:eastAsia="zh-CN" w:bidi="ar-SA"/>
        </w:rPr>
        <w:t>（二）</w:t>
      </w:r>
      <w:r>
        <w:rPr>
          <w:rFonts w:hint="eastAsia" w:ascii="宋体" w:hAnsi="宋体" w:eastAsia="宋体" w:cs="宋体"/>
          <w:b/>
          <w:kern w:val="0"/>
          <w:sz w:val="36"/>
          <w:szCs w:val="36"/>
          <w:lang w:val="en-US" w:eastAsia="zh-CN" w:bidi="ar-SA"/>
        </w:rPr>
        <w:t>分</w:t>
      </w:r>
      <w:r>
        <w:rPr>
          <w:rFonts w:hint="eastAsia" w:cs="宋体"/>
          <w:b/>
          <w:kern w:val="0"/>
          <w:sz w:val="36"/>
          <w:szCs w:val="36"/>
          <w:lang w:val="en-US" w:eastAsia="zh-CN" w:bidi="ar-SA"/>
        </w:rPr>
        <w:t>项</w:t>
      </w:r>
      <w:r>
        <w:rPr>
          <w:rFonts w:hint="eastAsia" w:ascii="宋体" w:hAnsi="宋体" w:eastAsia="宋体" w:cs="宋体"/>
          <w:b/>
          <w:kern w:val="0"/>
          <w:sz w:val="36"/>
          <w:szCs w:val="36"/>
          <w:lang w:val="en-US" w:eastAsia="zh-CN" w:bidi="ar-SA"/>
        </w:rPr>
        <w:t>绩效目标：</w:t>
      </w:r>
    </w:p>
    <w:p>
      <w:pPr>
        <w:pStyle w:val="12"/>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ind w:firstLine="600"/>
        <w:rPr>
          <w:rFonts w:hint="eastAsia" w:ascii="仿宋" w:hAnsi="仿宋" w:eastAsia="仿宋" w:cs="仿宋"/>
          <w:sz w:val="32"/>
        </w:rPr>
      </w:pPr>
      <w:r>
        <w:rPr>
          <w:rFonts w:hint="eastAsia" w:ascii="仿宋" w:hAnsi="仿宋" w:eastAsia="仿宋" w:cs="仿宋"/>
          <w:sz w:val="32"/>
        </w:rPr>
        <w:t>宁晋县文联分项绩效目标：</w:t>
      </w:r>
    </w:p>
    <w:p>
      <w:pPr>
        <w:pStyle w:val="14"/>
        <w:rPr>
          <w:rFonts w:hint="eastAsia" w:ascii="仿宋" w:hAnsi="仿宋" w:eastAsia="仿宋" w:cs="仿宋"/>
          <w:sz w:val="32"/>
          <w:szCs w:val="32"/>
        </w:rPr>
      </w:pPr>
      <w:r>
        <w:rPr>
          <w:rFonts w:hint="eastAsia" w:ascii="仿宋" w:hAnsi="仿宋" w:eastAsia="仿宋" w:cs="仿宋"/>
          <w:sz w:val="32"/>
          <w:szCs w:val="32"/>
        </w:rPr>
        <w:t>1、确保文联全体职工工资、津补贴、社保、公积金等按时支付，人员经费足额到位。</w:t>
      </w:r>
    </w:p>
    <w:p>
      <w:pPr>
        <w:pStyle w:val="14"/>
        <w:rPr>
          <w:rFonts w:hint="eastAsia" w:ascii="仿宋" w:hAnsi="仿宋" w:eastAsia="仿宋" w:cs="仿宋"/>
          <w:sz w:val="32"/>
          <w:szCs w:val="32"/>
        </w:rPr>
      </w:pPr>
      <w:r>
        <w:rPr>
          <w:rFonts w:hint="eastAsia" w:ascii="仿宋" w:hAnsi="仿宋" w:eastAsia="仿宋" w:cs="仿宋"/>
          <w:sz w:val="32"/>
          <w:szCs w:val="32"/>
        </w:rPr>
        <w:t>2、保障文联各协会文艺活动顺利开展，推动全县文艺事业的发展和繁荣，鼓励探索创新、风格多样、个性鲜明的文艺作品与活动。</w:t>
      </w:r>
    </w:p>
    <w:p>
      <w:pPr>
        <w:pStyle w:val="14"/>
        <w:rPr>
          <w:rFonts w:hint="eastAsia" w:ascii="仿宋" w:hAnsi="仿宋" w:eastAsia="仿宋" w:cs="仿宋"/>
          <w:sz w:val="32"/>
          <w:szCs w:val="32"/>
        </w:rPr>
      </w:pPr>
      <w:r>
        <w:rPr>
          <w:rFonts w:hint="eastAsia" w:ascii="仿宋" w:hAnsi="仿宋" w:eastAsia="仿宋" w:cs="仿宋"/>
          <w:sz w:val="32"/>
          <w:szCs w:val="32"/>
        </w:rPr>
        <w:t>3、及时购置日常办公所需物资、设备，保障日常办公正常运转，各项业务活动正常开展。</w:t>
      </w:r>
    </w:p>
    <w:p>
      <w:pPr>
        <w:pStyle w:val="14"/>
        <w:rPr>
          <w:rFonts w:hint="eastAsia" w:ascii="仿宋" w:hAnsi="仿宋" w:eastAsia="仿宋" w:cs="仿宋"/>
          <w:sz w:val="32"/>
          <w:szCs w:val="32"/>
        </w:rPr>
      </w:pPr>
      <w:r>
        <w:rPr>
          <w:rFonts w:hint="eastAsia" w:ascii="仿宋" w:hAnsi="仿宋" w:eastAsia="仿宋" w:cs="仿宋"/>
          <w:sz w:val="32"/>
          <w:szCs w:val="32"/>
        </w:rPr>
        <w:t>4、组织各协会会员参与培训，提高专业水平，为协会发展提供保障。</w:t>
      </w:r>
    </w:p>
    <w:p>
      <w:pPr>
        <w:pStyle w:val="14"/>
        <w:rPr>
          <w:rFonts w:hint="eastAsia" w:ascii="仿宋" w:hAnsi="仿宋" w:eastAsia="仿宋" w:cs="仿宋"/>
          <w:sz w:val="32"/>
          <w:szCs w:val="32"/>
        </w:rPr>
      </w:pPr>
      <w:r>
        <w:rPr>
          <w:rFonts w:hint="eastAsia" w:ascii="仿宋" w:hAnsi="仿宋" w:eastAsia="仿宋" w:cs="仿宋"/>
          <w:sz w:val="32"/>
          <w:szCs w:val="32"/>
        </w:rPr>
        <w:t>5、组织开展文联全委会，了解并及时解决工作中的问题。</w:t>
      </w:r>
    </w:p>
    <w:p>
      <w:pPr>
        <w:pStyle w:val="14"/>
        <w:rPr>
          <w:rFonts w:hint="eastAsia" w:ascii="仿宋" w:hAnsi="仿宋" w:eastAsia="仿宋" w:cs="仿宋"/>
          <w:sz w:val="32"/>
          <w:szCs w:val="32"/>
        </w:rPr>
      </w:pPr>
      <w:r>
        <w:rPr>
          <w:rFonts w:hint="eastAsia" w:ascii="仿宋" w:hAnsi="仿宋" w:eastAsia="仿宋" w:cs="仿宋"/>
          <w:sz w:val="32"/>
          <w:szCs w:val="32"/>
        </w:rPr>
        <w:t>6、加强对外宣传与交流，加强对市文联的信息报送。</w:t>
      </w:r>
    </w:p>
    <w:p>
      <w:pPr>
        <w:pStyle w:val="12"/>
        <w:ind w:firstLine="640" w:firstLineChars="200"/>
        <w:rPr>
          <w:rFonts w:hint="eastAsia" w:asciiTheme="minorEastAsia" w:hAnsiTheme="minorEastAsia" w:eastAsiaTheme="minorEastAsia" w:cstheme="minorEastAsia"/>
          <w:b/>
          <w:kern w:val="2"/>
          <w:sz w:val="32"/>
          <w:szCs w:val="32"/>
          <w:lang w:eastAsia="zh-CN"/>
        </w:rPr>
      </w:pPr>
      <w:r>
        <w:rPr>
          <w:rFonts w:hint="eastAsia" w:ascii="仿宋" w:hAnsi="仿宋" w:eastAsia="仿宋" w:cs="仿宋"/>
          <w:sz w:val="32"/>
          <w:szCs w:val="32"/>
        </w:rPr>
        <w:t>7、加强制度建设，财务管理等工作，不断提高规范化水平。</w:t>
      </w:r>
    </w:p>
    <w:p>
      <w:pPr>
        <w:pStyle w:val="12"/>
        <w:ind w:firstLine="723" w:firstLineChars="200"/>
        <w:rPr>
          <w:rFonts w:cs="仿宋_GB2312"/>
          <w:b/>
          <w:kern w:val="2"/>
          <w:sz w:val="32"/>
          <w:szCs w:val="32"/>
          <w:lang w:eastAsia="zh-CN"/>
        </w:rPr>
      </w:pPr>
      <w:r>
        <w:rPr>
          <w:rFonts w:hint="eastAsia" w:cs="仿宋_GB2312"/>
          <w:b/>
          <w:kern w:val="2"/>
          <w:sz w:val="36"/>
          <w:szCs w:val="36"/>
          <w:lang w:eastAsia="zh-CN"/>
        </w:rPr>
        <w:t>（三）工作保障措施：</w:t>
      </w:r>
    </w:p>
    <w:p>
      <w:pPr>
        <w:pStyle w:val="15"/>
        <w:rPr>
          <w:rFonts w:hint="eastAsia" w:ascii="仿宋" w:hAnsi="仿宋" w:eastAsia="仿宋" w:cs="仿宋"/>
          <w:sz w:val="32"/>
          <w:szCs w:val="32"/>
        </w:rPr>
      </w:pPr>
      <w:r>
        <w:rPr>
          <w:rFonts w:hint="eastAsia" w:ascii="仿宋" w:hAnsi="仿宋" w:eastAsia="仿宋" w:cs="仿宋"/>
          <w:sz w:val="32"/>
          <w:szCs w:val="32"/>
        </w:rPr>
        <w:t>积极推动文学艺术界管理科学规范，召开联络会议，组织会员开展各类活动，加大培训力度，为宁晋县文艺事业健康快速发展提供组织保障。组织县内文艺工作者创作文艺精品，繁荣宁晋县文化事业，促进宁晋县文化艺术的影响力和美誉度进一步提高，确保资金到位，协助各协会活动圆满完成。</w:t>
      </w:r>
    </w:p>
    <w:p/>
    <w:p/>
    <w:p/>
    <w:p/>
    <w:p/>
    <w:p/>
    <w:p>
      <w:pPr>
        <w:widowControl/>
        <w:jc w:val="left"/>
        <w:rPr>
          <w:rFonts w:ascii="宋体" w:hAnsi="宋体" w:cs="宋体"/>
          <w:b/>
          <w:kern w:val="0"/>
          <w:sz w:val="32"/>
          <w:szCs w:val="32"/>
        </w:rPr>
      </w:pPr>
    </w:p>
    <w:p>
      <w:pPr>
        <w:widowControl/>
        <w:jc w:val="left"/>
        <w:rPr>
          <w:rFonts w:hint="eastAsia" w:ascii="宋体" w:hAnsi="宋体" w:cs="宋体"/>
          <w:b/>
          <w:kern w:val="0"/>
          <w:sz w:val="32"/>
          <w:szCs w:val="32"/>
        </w:rPr>
      </w:pPr>
      <w:r>
        <w:rPr>
          <w:rFonts w:ascii="宋体" w:hAnsi="宋体" w:cs="宋体"/>
          <w:b/>
          <w:kern w:val="0"/>
          <w:sz w:val="32"/>
          <w:szCs w:val="32"/>
        </w:rPr>
        <w:t>“部门职责-工作活动”绩效目标指标明细表详见</w:t>
      </w:r>
      <w:r>
        <w:rPr>
          <w:rFonts w:hint="eastAsia" w:ascii="宋体" w:hAnsi="宋体" w:cs="宋体"/>
          <w:b/>
          <w:kern w:val="0"/>
          <w:sz w:val="32"/>
          <w:szCs w:val="32"/>
        </w:rPr>
        <w:t>下表</w:t>
      </w:r>
    </w:p>
    <w:p>
      <w:pPr>
        <w:widowControl/>
        <w:jc w:val="left"/>
        <w:rPr>
          <w:rFonts w:hint="eastAsia" w:ascii="宋体" w:hAnsi="宋体" w:cs="宋体"/>
          <w:b/>
          <w:kern w:val="0"/>
          <w:sz w:val="32"/>
          <w:szCs w:val="32"/>
        </w:rPr>
      </w:pPr>
    </w:p>
    <w:p>
      <w:pPr>
        <w:spacing w:before="0" w:after="0"/>
        <w:ind w:firstLine="560"/>
        <w:jc w:val="left"/>
        <w:outlineLvl w:val="3"/>
        <w:rPr>
          <w:rFonts w:hint="eastAsia" w:ascii="仿宋" w:hAnsi="仿宋" w:eastAsia="仿宋" w:cs="仿宋"/>
          <w:sz w:val="32"/>
          <w:szCs w:val="32"/>
        </w:rPr>
      </w:pPr>
      <w:bookmarkStart w:id="0" w:name="_Toc_4_4_0000000004"/>
      <w:r>
        <w:rPr>
          <w:rFonts w:hint="eastAsia" w:ascii="仿宋" w:hAnsi="仿宋" w:eastAsia="仿宋" w:cs="仿宋"/>
          <w:color w:val="000000"/>
          <w:sz w:val="32"/>
          <w:szCs w:val="32"/>
        </w:rPr>
        <w:t>1.2022年承办第26届全省摄影展费用绩效目标表</w:t>
      </w:r>
      <w:bookmarkEnd w:id="0"/>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6"/>
            </w:pPr>
            <w:r>
              <w:t>721宁晋县文学艺术界联合会</w:t>
            </w:r>
          </w:p>
        </w:tc>
        <w:tc>
          <w:tcPr>
            <w:tcW w:w="1327" w:type="dxa"/>
            <w:tcBorders>
              <w:top w:val="single" w:color="FFFFFF" w:sz="6" w:space="0"/>
              <w:left w:val="single" w:color="FFFFFF" w:sz="6" w:space="0"/>
              <w:right w:val="single" w:color="FFFFFF" w:sz="6" w:space="0"/>
            </w:tcBorders>
            <w:vAlign w:val="center"/>
          </w:tcPr>
          <w:p>
            <w:pPr>
              <w:pStyle w:val="1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8"/>
            </w:pPr>
            <w:r>
              <w:t>项目编码</w:t>
            </w:r>
          </w:p>
        </w:tc>
        <w:tc>
          <w:tcPr>
            <w:tcW w:w="2654" w:type="dxa"/>
            <w:gridSpan w:val="2"/>
            <w:vAlign w:val="center"/>
          </w:tcPr>
          <w:p>
            <w:pPr>
              <w:pStyle w:val="19"/>
            </w:pPr>
            <w:r>
              <w:t>13052822P001098101290</w:t>
            </w:r>
          </w:p>
        </w:tc>
        <w:tc>
          <w:tcPr>
            <w:tcW w:w="1327" w:type="dxa"/>
            <w:vAlign w:val="center"/>
          </w:tcPr>
          <w:p>
            <w:pPr>
              <w:pStyle w:val="18"/>
            </w:pPr>
            <w:r>
              <w:t>项目名称</w:t>
            </w:r>
          </w:p>
        </w:tc>
        <w:tc>
          <w:tcPr>
            <w:tcW w:w="3981" w:type="dxa"/>
            <w:gridSpan w:val="3"/>
            <w:vAlign w:val="center"/>
          </w:tcPr>
          <w:p>
            <w:pPr>
              <w:pStyle w:val="19"/>
            </w:pPr>
            <w:r>
              <w:t>2022年承办第26届全省摄影展费用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8"/>
            </w:pPr>
            <w:r>
              <w:t>预算规模及资金用途</w:t>
            </w:r>
          </w:p>
        </w:tc>
        <w:tc>
          <w:tcPr>
            <w:tcW w:w="1327" w:type="dxa"/>
            <w:vAlign w:val="center"/>
          </w:tcPr>
          <w:p>
            <w:pPr>
              <w:pStyle w:val="18"/>
            </w:pPr>
            <w:r>
              <w:t>预算数</w:t>
            </w:r>
          </w:p>
        </w:tc>
        <w:tc>
          <w:tcPr>
            <w:tcW w:w="1327" w:type="dxa"/>
            <w:vAlign w:val="center"/>
          </w:tcPr>
          <w:p>
            <w:pPr>
              <w:pStyle w:val="19"/>
            </w:pPr>
            <w:r>
              <w:t>40.00</w:t>
            </w:r>
          </w:p>
        </w:tc>
        <w:tc>
          <w:tcPr>
            <w:tcW w:w="1327" w:type="dxa"/>
            <w:vAlign w:val="center"/>
          </w:tcPr>
          <w:p>
            <w:pPr>
              <w:pStyle w:val="18"/>
            </w:pPr>
            <w:r>
              <w:t>其中：财政    资金</w:t>
            </w:r>
          </w:p>
        </w:tc>
        <w:tc>
          <w:tcPr>
            <w:tcW w:w="1327" w:type="dxa"/>
            <w:vAlign w:val="center"/>
          </w:tcPr>
          <w:p>
            <w:pPr>
              <w:pStyle w:val="19"/>
            </w:pPr>
            <w:r>
              <w:t>40.00</w:t>
            </w:r>
          </w:p>
        </w:tc>
        <w:tc>
          <w:tcPr>
            <w:tcW w:w="1327" w:type="dxa"/>
            <w:vAlign w:val="center"/>
          </w:tcPr>
          <w:p>
            <w:pPr>
              <w:pStyle w:val="18"/>
            </w:pPr>
            <w:r>
              <w:t>其他资金</w:t>
            </w:r>
          </w:p>
        </w:tc>
        <w:tc>
          <w:tcPr>
            <w:tcW w:w="1327" w:type="dxa"/>
            <w:vAlign w:val="center"/>
          </w:tcPr>
          <w:p>
            <w:pPr>
              <w:pStyle w:val="19"/>
              <w:rPr>
                <w:rFonts w:hint="eastAsia" w:eastAsia="方正书宋_GBK"/>
                <w:lang w:val="en-US" w:eastAsia="zh-CN"/>
              </w:rPr>
            </w:pPr>
            <w:r>
              <w:t xml:space="preserve"> </w:t>
            </w:r>
            <w:r>
              <w:rPr>
                <w:rFonts w:hint="eastAsia"/>
                <w:lang w:val="en-US" w:eastAsia="zh-CN"/>
              </w:rPr>
              <w:t>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9"/>
            </w:pPr>
            <w:r>
              <w:t>河北省摄影艺术展览的举办为全县文艺的发展和繁荣做出了突出贡献，承办地各项事业得到了广泛推介，收到了良好的社会效益。经与河北省摄影家协会努力争取，承办第26届河北省摄影艺术展览、“安宁晋福”宁晋摄影大展初步定于2022年在我县举行，2场影展所需场馆布局装饰、作品创作、评审、制作、展览费用预计40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8"/>
            </w:pPr>
            <w:r>
              <w:t>资金支出计划（%）</w:t>
            </w:r>
          </w:p>
        </w:tc>
        <w:tc>
          <w:tcPr>
            <w:tcW w:w="2654" w:type="dxa"/>
            <w:gridSpan w:val="2"/>
            <w:vAlign w:val="center"/>
          </w:tcPr>
          <w:p>
            <w:pPr>
              <w:pStyle w:val="18"/>
            </w:pPr>
            <w:r>
              <w:t>3月底</w:t>
            </w:r>
          </w:p>
        </w:tc>
        <w:tc>
          <w:tcPr>
            <w:tcW w:w="1327" w:type="dxa"/>
            <w:vAlign w:val="center"/>
          </w:tcPr>
          <w:p>
            <w:pPr>
              <w:pStyle w:val="18"/>
            </w:pPr>
            <w:r>
              <w:t>6月底</w:t>
            </w:r>
          </w:p>
        </w:tc>
        <w:tc>
          <w:tcPr>
            <w:tcW w:w="1327" w:type="dxa"/>
            <w:vAlign w:val="center"/>
          </w:tcPr>
          <w:p>
            <w:pPr>
              <w:pStyle w:val="18"/>
            </w:pPr>
            <w:r>
              <w:t>10月底</w:t>
            </w:r>
          </w:p>
        </w:tc>
        <w:tc>
          <w:tcPr>
            <w:tcW w:w="2654" w:type="dxa"/>
            <w:gridSpan w:val="2"/>
            <w:vAlign w:val="center"/>
          </w:tcPr>
          <w:p>
            <w:pPr>
              <w:pStyle w:val="1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20"/>
            </w:pPr>
            <w:r>
              <w:t xml:space="preserve"> </w:t>
            </w:r>
          </w:p>
        </w:tc>
        <w:tc>
          <w:tcPr>
            <w:tcW w:w="1327" w:type="dxa"/>
            <w:vAlign w:val="center"/>
          </w:tcPr>
          <w:p>
            <w:pPr>
              <w:pStyle w:val="20"/>
            </w:pPr>
            <w:r>
              <w:t>30%</w:t>
            </w:r>
          </w:p>
        </w:tc>
        <w:tc>
          <w:tcPr>
            <w:tcW w:w="1327" w:type="dxa"/>
            <w:vAlign w:val="center"/>
          </w:tcPr>
          <w:p>
            <w:pPr>
              <w:pStyle w:val="20"/>
            </w:pPr>
            <w:r>
              <w:t>80%</w:t>
            </w:r>
          </w:p>
        </w:tc>
        <w:tc>
          <w:tcPr>
            <w:tcW w:w="2654" w:type="dxa"/>
            <w:gridSpan w:val="2"/>
            <w:vAlign w:val="center"/>
          </w:tcPr>
          <w:p>
            <w:pPr>
              <w:pStyle w:val="20"/>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8"/>
            </w:pPr>
            <w:r>
              <w:t>绩效目标</w:t>
            </w:r>
          </w:p>
        </w:tc>
        <w:tc>
          <w:tcPr>
            <w:tcW w:w="7962" w:type="dxa"/>
            <w:gridSpan w:val="6"/>
            <w:vAlign w:val="center"/>
          </w:tcPr>
          <w:p>
            <w:pPr>
              <w:pStyle w:val="19"/>
            </w:pPr>
            <w:r>
              <w:t>1.确保活动如期举行，资金按时支付。</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8"/>
            </w:pPr>
            <w:r>
              <w:t>一级指标</w:t>
            </w:r>
          </w:p>
        </w:tc>
        <w:tc>
          <w:tcPr>
            <w:tcW w:w="1327" w:type="dxa"/>
            <w:vAlign w:val="center"/>
          </w:tcPr>
          <w:p>
            <w:pPr>
              <w:pStyle w:val="18"/>
            </w:pPr>
            <w:r>
              <w:t>二级指标</w:t>
            </w:r>
          </w:p>
        </w:tc>
        <w:tc>
          <w:tcPr>
            <w:tcW w:w="1327" w:type="dxa"/>
            <w:vAlign w:val="center"/>
          </w:tcPr>
          <w:p>
            <w:pPr>
              <w:pStyle w:val="18"/>
            </w:pPr>
            <w:r>
              <w:t>三级指标</w:t>
            </w:r>
          </w:p>
        </w:tc>
        <w:tc>
          <w:tcPr>
            <w:tcW w:w="2654" w:type="dxa"/>
            <w:vAlign w:val="center"/>
          </w:tcPr>
          <w:p>
            <w:pPr>
              <w:pStyle w:val="18"/>
            </w:pPr>
            <w:r>
              <w:t>绩效指标描述</w:t>
            </w:r>
          </w:p>
        </w:tc>
        <w:tc>
          <w:tcPr>
            <w:tcW w:w="1327" w:type="dxa"/>
            <w:vAlign w:val="center"/>
          </w:tcPr>
          <w:p>
            <w:pPr>
              <w:pStyle w:val="18"/>
            </w:pPr>
            <w:r>
              <w:t>指标值</w:t>
            </w:r>
          </w:p>
        </w:tc>
        <w:tc>
          <w:tcPr>
            <w:tcW w:w="1327"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举办活动场次</w:t>
            </w:r>
          </w:p>
        </w:tc>
        <w:tc>
          <w:tcPr>
            <w:tcW w:w="2654" w:type="dxa"/>
            <w:vAlign w:val="center"/>
          </w:tcPr>
          <w:p>
            <w:pPr>
              <w:pStyle w:val="19"/>
            </w:pPr>
            <w:r>
              <w:t>举办活动场次</w:t>
            </w:r>
          </w:p>
        </w:tc>
        <w:tc>
          <w:tcPr>
            <w:tcW w:w="1327" w:type="dxa"/>
            <w:vAlign w:val="center"/>
          </w:tcPr>
          <w:p>
            <w:pPr>
              <w:pStyle w:val="19"/>
            </w:pPr>
            <w:r>
              <w:t>2次</w:t>
            </w:r>
          </w:p>
        </w:tc>
        <w:tc>
          <w:tcPr>
            <w:tcW w:w="1327" w:type="dxa"/>
            <w:vAlign w:val="center"/>
          </w:tcPr>
          <w:p>
            <w:pPr>
              <w:pStyle w:val="19"/>
            </w:pPr>
            <w:r>
              <w:t>活动举办次数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群众文化活动参与率</w:t>
            </w:r>
          </w:p>
        </w:tc>
        <w:tc>
          <w:tcPr>
            <w:tcW w:w="2654" w:type="dxa"/>
            <w:vAlign w:val="center"/>
          </w:tcPr>
          <w:p>
            <w:pPr>
              <w:pStyle w:val="19"/>
            </w:pPr>
            <w:r>
              <w:t>群众文化活动参与率</w:t>
            </w:r>
          </w:p>
        </w:tc>
        <w:tc>
          <w:tcPr>
            <w:tcW w:w="1327" w:type="dxa"/>
            <w:vAlign w:val="center"/>
          </w:tcPr>
          <w:p>
            <w:pPr>
              <w:pStyle w:val="19"/>
            </w:pPr>
            <w:r>
              <w:t>≥90百分比</w:t>
            </w:r>
          </w:p>
        </w:tc>
        <w:tc>
          <w:tcPr>
            <w:tcW w:w="1327" w:type="dxa"/>
            <w:vAlign w:val="center"/>
          </w:tcPr>
          <w:p>
            <w:pPr>
              <w:pStyle w:val="19"/>
            </w:pPr>
            <w:r>
              <w:t>参与度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工作任务完成及时率</w:t>
            </w:r>
          </w:p>
        </w:tc>
        <w:tc>
          <w:tcPr>
            <w:tcW w:w="2654" w:type="dxa"/>
            <w:vAlign w:val="center"/>
          </w:tcPr>
          <w:p>
            <w:pPr>
              <w:pStyle w:val="19"/>
            </w:pPr>
            <w:r>
              <w:t>工作任务完成及时率</w:t>
            </w:r>
          </w:p>
        </w:tc>
        <w:tc>
          <w:tcPr>
            <w:tcW w:w="1327" w:type="dxa"/>
            <w:vAlign w:val="center"/>
          </w:tcPr>
          <w:p>
            <w:pPr>
              <w:pStyle w:val="19"/>
            </w:pPr>
            <w:r>
              <w:t>≥90百分比</w:t>
            </w:r>
          </w:p>
        </w:tc>
        <w:tc>
          <w:tcPr>
            <w:tcW w:w="1327" w:type="dxa"/>
            <w:vAlign w:val="center"/>
          </w:tcPr>
          <w:p>
            <w:pPr>
              <w:pStyle w:val="19"/>
            </w:pPr>
            <w:r>
              <w:t>活动如期举办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4"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资金成本</w:t>
            </w:r>
          </w:p>
        </w:tc>
        <w:tc>
          <w:tcPr>
            <w:tcW w:w="2654" w:type="dxa"/>
            <w:vAlign w:val="center"/>
          </w:tcPr>
          <w:p>
            <w:pPr>
              <w:pStyle w:val="19"/>
            </w:pPr>
            <w:r>
              <w:t>资金成本</w:t>
            </w:r>
          </w:p>
        </w:tc>
        <w:tc>
          <w:tcPr>
            <w:tcW w:w="1327" w:type="dxa"/>
            <w:vAlign w:val="center"/>
          </w:tcPr>
          <w:p>
            <w:pPr>
              <w:pStyle w:val="19"/>
            </w:pPr>
            <w:r>
              <w:t>≤40万元</w:t>
            </w:r>
          </w:p>
        </w:tc>
        <w:tc>
          <w:tcPr>
            <w:tcW w:w="1327" w:type="dxa"/>
            <w:vAlign w:val="center"/>
          </w:tcPr>
          <w:p>
            <w:pPr>
              <w:pStyle w:val="19"/>
            </w:pPr>
            <w:r>
              <w:t>资金实际支出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经济效益指标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≥90百分比</w:t>
            </w:r>
          </w:p>
        </w:tc>
        <w:tc>
          <w:tcPr>
            <w:tcW w:w="1327" w:type="dxa"/>
            <w:vAlign w:val="center"/>
          </w:tcPr>
          <w:p>
            <w:pPr>
              <w:pStyle w:val="19"/>
            </w:pPr>
            <w:r>
              <w:t>资金使用效率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艺术作品的知名度</w:t>
            </w:r>
          </w:p>
        </w:tc>
        <w:tc>
          <w:tcPr>
            <w:tcW w:w="2654" w:type="dxa"/>
            <w:vAlign w:val="center"/>
          </w:tcPr>
          <w:p>
            <w:pPr>
              <w:pStyle w:val="19"/>
            </w:pPr>
            <w:r>
              <w:t>艺术作品的知名度</w:t>
            </w:r>
          </w:p>
        </w:tc>
        <w:tc>
          <w:tcPr>
            <w:tcW w:w="1327" w:type="dxa"/>
            <w:vAlign w:val="center"/>
          </w:tcPr>
          <w:p>
            <w:pPr>
              <w:pStyle w:val="19"/>
            </w:pPr>
            <w:r>
              <w:t>≥90百分比</w:t>
            </w:r>
          </w:p>
        </w:tc>
        <w:tc>
          <w:tcPr>
            <w:tcW w:w="1327" w:type="dxa"/>
            <w:vAlign w:val="center"/>
          </w:tcPr>
          <w:p>
            <w:pPr>
              <w:pStyle w:val="19"/>
            </w:pPr>
            <w:r>
              <w:t>提高摄影作品知名度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资源消耗</w:t>
            </w:r>
          </w:p>
        </w:tc>
        <w:tc>
          <w:tcPr>
            <w:tcW w:w="2654" w:type="dxa"/>
            <w:vAlign w:val="center"/>
          </w:tcPr>
          <w:p>
            <w:pPr>
              <w:pStyle w:val="19"/>
            </w:pPr>
            <w:r>
              <w:t>资源消耗</w:t>
            </w:r>
          </w:p>
        </w:tc>
        <w:tc>
          <w:tcPr>
            <w:tcW w:w="1327" w:type="dxa"/>
            <w:vAlign w:val="center"/>
          </w:tcPr>
          <w:p>
            <w:pPr>
              <w:pStyle w:val="19"/>
            </w:pPr>
            <w:r>
              <w:t>≤70百分比</w:t>
            </w:r>
          </w:p>
        </w:tc>
        <w:tc>
          <w:tcPr>
            <w:tcW w:w="1327" w:type="dxa"/>
            <w:vAlign w:val="center"/>
          </w:tcPr>
          <w:p>
            <w:pPr>
              <w:pStyle w:val="19"/>
            </w:pPr>
            <w:r>
              <w:t>减少资源消耗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可持续影响指标</w:t>
            </w:r>
          </w:p>
        </w:tc>
        <w:tc>
          <w:tcPr>
            <w:tcW w:w="1327" w:type="dxa"/>
            <w:vAlign w:val="center"/>
          </w:tcPr>
          <w:p>
            <w:pPr>
              <w:pStyle w:val="19"/>
            </w:pPr>
            <w:r>
              <w:t>增强影响力</w:t>
            </w:r>
          </w:p>
        </w:tc>
        <w:tc>
          <w:tcPr>
            <w:tcW w:w="2654" w:type="dxa"/>
            <w:vAlign w:val="center"/>
          </w:tcPr>
          <w:p>
            <w:pPr>
              <w:pStyle w:val="19"/>
            </w:pPr>
            <w:r>
              <w:t>增强影响力</w:t>
            </w:r>
          </w:p>
        </w:tc>
        <w:tc>
          <w:tcPr>
            <w:tcW w:w="1327" w:type="dxa"/>
            <w:vAlign w:val="center"/>
          </w:tcPr>
          <w:p>
            <w:pPr>
              <w:pStyle w:val="19"/>
            </w:pPr>
            <w:r>
              <w:t>≥90百分比</w:t>
            </w:r>
          </w:p>
        </w:tc>
        <w:tc>
          <w:tcPr>
            <w:tcW w:w="1327" w:type="dxa"/>
            <w:vAlign w:val="center"/>
          </w:tcPr>
          <w:p>
            <w:pPr>
              <w:pStyle w:val="19"/>
            </w:pPr>
            <w:r>
              <w:t>增加摄影的影响力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活动参与人员满意度</w:t>
            </w:r>
          </w:p>
        </w:tc>
        <w:tc>
          <w:tcPr>
            <w:tcW w:w="2654" w:type="dxa"/>
            <w:vAlign w:val="center"/>
          </w:tcPr>
          <w:p>
            <w:pPr>
              <w:pStyle w:val="19"/>
            </w:pPr>
            <w:r>
              <w:t>活动参与人员满意度</w:t>
            </w:r>
          </w:p>
        </w:tc>
        <w:tc>
          <w:tcPr>
            <w:tcW w:w="1327" w:type="dxa"/>
            <w:vAlign w:val="center"/>
          </w:tcPr>
          <w:p>
            <w:pPr>
              <w:pStyle w:val="19"/>
            </w:pPr>
            <w:r>
              <w:t>≥90百分比</w:t>
            </w:r>
          </w:p>
        </w:tc>
        <w:tc>
          <w:tcPr>
            <w:tcW w:w="1327" w:type="dxa"/>
            <w:vAlign w:val="center"/>
          </w:tcPr>
          <w:p>
            <w:pPr>
              <w:pStyle w:val="19"/>
            </w:pPr>
            <w:r>
              <w:t>满意度</w:t>
            </w:r>
          </w:p>
        </w:tc>
      </w:tr>
    </w:tbl>
    <w:p>
      <w:pPr>
        <w:sectPr>
          <w:pgSz w:w="16840" w:h="11900" w:orient="landscape"/>
          <w:pgMar w:top="1304" w:right="1984" w:bottom="1304" w:left="1134" w:header="720" w:footer="720" w:gutter="0"/>
          <w:cols w:space="720" w:num="1"/>
        </w:sectPr>
      </w:pPr>
    </w:p>
    <w:p>
      <w:pPr>
        <w:spacing w:before="0" w:after="0" w:line="240" w:lineRule="auto"/>
        <w:ind w:firstLine="0"/>
        <w:jc w:val="both"/>
        <w:outlineLvl w:val="9"/>
        <w:rPr>
          <w:rFonts w:hint="eastAsia" w:ascii="仿宋" w:hAnsi="仿宋" w:eastAsia="仿宋" w:cs="仿宋"/>
          <w:sz w:val="32"/>
          <w:szCs w:val="32"/>
        </w:rPr>
      </w:pPr>
      <w:bookmarkStart w:id="1" w:name="_Toc_4_4_0000000005"/>
      <w:r>
        <w:rPr>
          <w:rFonts w:hint="eastAsia" w:ascii="仿宋" w:hAnsi="仿宋" w:eastAsia="仿宋" w:cs="仿宋"/>
          <w:color w:val="000000"/>
          <w:sz w:val="32"/>
          <w:szCs w:val="32"/>
        </w:rPr>
        <w:t>2.2022年公益岗人员岗位补贴绩效目标表</w:t>
      </w:r>
      <w:bookmarkEnd w:id="1"/>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6"/>
            </w:pPr>
            <w:r>
              <w:t>721宁晋县文学艺术界联合会</w:t>
            </w:r>
          </w:p>
        </w:tc>
        <w:tc>
          <w:tcPr>
            <w:tcW w:w="1327" w:type="dxa"/>
            <w:tcBorders>
              <w:top w:val="single" w:color="FFFFFF" w:sz="6" w:space="0"/>
              <w:left w:val="single" w:color="FFFFFF" w:sz="6" w:space="0"/>
              <w:right w:val="single" w:color="FFFFFF" w:sz="6" w:space="0"/>
            </w:tcBorders>
            <w:vAlign w:val="center"/>
          </w:tcPr>
          <w:p>
            <w:pPr>
              <w:pStyle w:val="1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8"/>
            </w:pPr>
            <w:r>
              <w:t>项目编码</w:t>
            </w:r>
          </w:p>
        </w:tc>
        <w:tc>
          <w:tcPr>
            <w:tcW w:w="2654" w:type="dxa"/>
            <w:gridSpan w:val="2"/>
            <w:vAlign w:val="center"/>
          </w:tcPr>
          <w:p>
            <w:pPr>
              <w:pStyle w:val="19"/>
            </w:pPr>
            <w:r>
              <w:t>13052822P009059100023</w:t>
            </w:r>
          </w:p>
        </w:tc>
        <w:tc>
          <w:tcPr>
            <w:tcW w:w="1327" w:type="dxa"/>
            <w:vAlign w:val="center"/>
          </w:tcPr>
          <w:p>
            <w:pPr>
              <w:pStyle w:val="18"/>
            </w:pPr>
            <w:r>
              <w:t>项目名称</w:t>
            </w:r>
          </w:p>
        </w:tc>
        <w:tc>
          <w:tcPr>
            <w:tcW w:w="3981" w:type="dxa"/>
            <w:gridSpan w:val="3"/>
            <w:vAlign w:val="center"/>
          </w:tcPr>
          <w:p>
            <w:pPr>
              <w:pStyle w:val="19"/>
            </w:pPr>
            <w:r>
              <w:t>2022年公益岗人员岗位补贴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8"/>
            </w:pPr>
            <w:r>
              <w:t>预算规模及资金用途</w:t>
            </w:r>
          </w:p>
        </w:tc>
        <w:tc>
          <w:tcPr>
            <w:tcW w:w="1327" w:type="dxa"/>
            <w:vAlign w:val="center"/>
          </w:tcPr>
          <w:p>
            <w:pPr>
              <w:pStyle w:val="18"/>
            </w:pPr>
            <w:r>
              <w:t>预算数</w:t>
            </w:r>
          </w:p>
        </w:tc>
        <w:tc>
          <w:tcPr>
            <w:tcW w:w="1327" w:type="dxa"/>
            <w:vAlign w:val="center"/>
          </w:tcPr>
          <w:p>
            <w:pPr>
              <w:pStyle w:val="19"/>
            </w:pPr>
            <w:r>
              <w:t>3.84</w:t>
            </w:r>
          </w:p>
        </w:tc>
        <w:tc>
          <w:tcPr>
            <w:tcW w:w="1327" w:type="dxa"/>
            <w:vAlign w:val="center"/>
          </w:tcPr>
          <w:p>
            <w:pPr>
              <w:pStyle w:val="18"/>
            </w:pPr>
            <w:r>
              <w:t>其中：财政    资金</w:t>
            </w:r>
          </w:p>
        </w:tc>
        <w:tc>
          <w:tcPr>
            <w:tcW w:w="1327" w:type="dxa"/>
            <w:vAlign w:val="center"/>
          </w:tcPr>
          <w:p>
            <w:pPr>
              <w:pStyle w:val="19"/>
            </w:pPr>
            <w:r>
              <w:t>3.84</w:t>
            </w:r>
          </w:p>
        </w:tc>
        <w:tc>
          <w:tcPr>
            <w:tcW w:w="1327" w:type="dxa"/>
            <w:vAlign w:val="center"/>
          </w:tcPr>
          <w:p>
            <w:pPr>
              <w:pStyle w:val="18"/>
            </w:pPr>
            <w:r>
              <w:t>其他资金</w:t>
            </w:r>
          </w:p>
        </w:tc>
        <w:tc>
          <w:tcPr>
            <w:tcW w:w="1327" w:type="dxa"/>
            <w:vAlign w:val="center"/>
          </w:tcPr>
          <w:p>
            <w:pPr>
              <w:pStyle w:val="19"/>
              <w:rPr>
                <w:rFonts w:hint="eastAsia" w:eastAsia="方正书宋_GBK"/>
                <w:lang w:val="en-US" w:eastAsia="zh-CN"/>
              </w:rPr>
            </w:pPr>
            <w:r>
              <w:t xml:space="preserve"> </w:t>
            </w:r>
            <w:r>
              <w:rPr>
                <w:rFonts w:hint="eastAsia"/>
                <w:lang w:val="en-US" w:eastAsia="zh-CN"/>
              </w:rPr>
              <w:t>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9"/>
            </w:pPr>
            <w:r>
              <w:t>保障公益岗位补贴发放到位。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8"/>
            </w:pPr>
            <w:r>
              <w:t>资金支出计划（%）</w:t>
            </w:r>
          </w:p>
        </w:tc>
        <w:tc>
          <w:tcPr>
            <w:tcW w:w="2654" w:type="dxa"/>
            <w:gridSpan w:val="2"/>
            <w:vAlign w:val="center"/>
          </w:tcPr>
          <w:p>
            <w:pPr>
              <w:pStyle w:val="18"/>
            </w:pPr>
            <w:r>
              <w:t>3月底</w:t>
            </w:r>
          </w:p>
        </w:tc>
        <w:tc>
          <w:tcPr>
            <w:tcW w:w="1327" w:type="dxa"/>
            <w:vAlign w:val="center"/>
          </w:tcPr>
          <w:p>
            <w:pPr>
              <w:pStyle w:val="18"/>
            </w:pPr>
            <w:r>
              <w:t>6月底</w:t>
            </w:r>
          </w:p>
        </w:tc>
        <w:tc>
          <w:tcPr>
            <w:tcW w:w="1327" w:type="dxa"/>
            <w:vAlign w:val="center"/>
          </w:tcPr>
          <w:p>
            <w:pPr>
              <w:pStyle w:val="18"/>
            </w:pPr>
            <w:r>
              <w:t>10月底</w:t>
            </w:r>
          </w:p>
        </w:tc>
        <w:tc>
          <w:tcPr>
            <w:tcW w:w="2654" w:type="dxa"/>
            <w:gridSpan w:val="2"/>
            <w:vAlign w:val="center"/>
          </w:tcPr>
          <w:p>
            <w:pPr>
              <w:pStyle w:val="1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20"/>
            </w:pPr>
            <w:r>
              <w:t>25%</w:t>
            </w:r>
          </w:p>
        </w:tc>
        <w:tc>
          <w:tcPr>
            <w:tcW w:w="1327" w:type="dxa"/>
            <w:vAlign w:val="center"/>
          </w:tcPr>
          <w:p>
            <w:pPr>
              <w:pStyle w:val="20"/>
            </w:pPr>
            <w:r>
              <w:t>50%</w:t>
            </w:r>
          </w:p>
        </w:tc>
        <w:tc>
          <w:tcPr>
            <w:tcW w:w="1327" w:type="dxa"/>
            <w:vAlign w:val="center"/>
          </w:tcPr>
          <w:p>
            <w:pPr>
              <w:pStyle w:val="20"/>
            </w:pPr>
            <w:r>
              <w:t>75%</w:t>
            </w:r>
          </w:p>
        </w:tc>
        <w:tc>
          <w:tcPr>
            <w:tcW w:w="2654" w:type="dxa"/>
            <w:gridSpan w:val="2"/>
            <w:vAlign w:val="center"/>
          </w:tcPr>
          <w:p>
            <w:pPr>
              <w:pStyle w:val="20"/>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8"/>
            </w:pPr>
            <w:r>
              <w:t>绩效目标</w:t>
            </w:r>
          </w:p>
        </w:tc>
        <w:tc>
          <w:tcPr>
            <w:tcW w:w="7962" w:type="dxa"/>
            <w:gridSpan w:val="6"/>
            <w:vAlign w:val="center"/>
          </w:tcPr>
          <w:p>
            <w:pPr>
              <w:pStyle w:val="19"/>
            </w:pPr>
            <w:r>
              <w:t>1.足额按时发放岗位补贴</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8"/>
            </w:pPr>
            <w:r>
              <w:t>一级指标</w:t>
            </w:r>
          </w:p>
        </w:tc>
        <w:tc>
          <w:tcPr>
            <w:tcW w:w="1327" w:type="dxa"/>
            <w:vAlign w:val="center"/>
          </w:tcPr>
          <w:p>
            <w:pPr>
              <w:pStyle w:val="18"/>
            </w:pPr>
            <w:r>
              <w:t>二级指标</w:t>
            </w:r>
          </w:p>
        </w:tc>
        <w:tc>
          <w:tcPr>
            <w:tcW w:w="1327" w:type="dxa"/>
            <w:vAlign w:val="center"/>
          </w:tcPr>
          <w:p>
            <w:pPr>
              <w:pStyle w:val="18"/>
            </w:pPr>
            <w:r>
              <w:t>三级指标</w:t>
            </w:r>
          </w:p>
        </w:tc>
        <w:tc>
          <w:tcPr>
            <w:tcW w:w="2654" w:type="dxa"/>
            <w:vAlign w:val="center"/>
          </w:tcPr>
          <w:p>
            <w:pPr>
              <w:pStyle w:val="18"/>
            </w:pPr>
            <w:r>
              <w:t>绩效指标描述</w:t>
            </w:r>
          </w:p>
        </w:tc>
        <w:tc>
          <w:tcPr>
            <w:tcW w:w="1327" w:type="dxa"/>
            <w:vAlign w:val="center"/>
          </w:tcPr>
          <w:p>
            <w:pPr>
              <w:pStyle w:val="18"/>
            </w:pPr>
            <w:r>
              <w:t>指标值</w:t>
            </w:r>
          </w:p>
        </w:tc>
        <w:tc>
          <w:tcPr>
            <w:tcW w:w="1327"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保障公益岗人员岗位补贴</w:t>
            </w:r>
          </w:p>
        </w:tc>
        <w:tc>
          <w:tcPr>
            <w:tcW w:w="2654" w:type="dxa"/>
            <w:vAlign w:val="center"/>
          </w:tcPr>
          <w:p>
            <w:pPr>
              <w:pStyle w:val="19"/>
            </w:pPr>
            <w:r>
              <w:t>保障公益岗人员岗位补贴发放人数</w:t>
            </w:r>
          </w:p>
        </w:tc>
        <w:tc>
          <w:tcPr>
            <w:tcW w:w="1327" w:type="dxa"/>
            <w:vAlign w:val="center"/>
          </w:tcPr>
          <w:p>
            <w:pPr>
              <w:pStyle w:val="19"/>
            </w:pPr>
            <w:r>
              <w:t>4人数</w:t>
            </w:r>
          </w:p>
        </w:tc>
        <w:tc>
          <w:tcPr>
            <w:tcW w:w="1327" w:type="dxa"/>
            <w:vAlign w:val="center"/>
          </w:tcPr>
          <w:p>
            <w:pPr>
              <w:pStyle w:val="19"/>
            </w:pPr>
            <w:r>
              <w:t>2022年预算批复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发放成功率</w:t>
            </w:r>
          </w:p>
        </w:tc>
        <w:tc>
          <w:tcPr>
            <w:tcW w:w="2654" w:type="dxa"/>
            <w:vAlign w:val="center"/>
          </w:tcPr>
          <w:p>
            <w:pPr>
              <w:pStyle w:val="19"/>
            </w:pPr>
            <w:r>
              <w:t>发放成功率</w:t>
            </w:r>
          </w:p>
        </w:tc>
        <w:tc>
          <w:tcPr>
            <w:tcW w:w="1327" w:type="dxa"/>
            <w:vAlign w:val="center"/>
          </w:tcPr>
          <w:p>
            <w:pPr>
              <w:pStyle w:val="19"/>
            </w:pPr>
            <w:r>
              <w:t>100%</w:t>
            </w:r>
          </w:p>
        </w:tc>
        <w:tc>
          <w:tcPr>
            <w:tcW w:w="1327" w:type="dxa"/>
            <w:vAlign w:val="center"/>
          </w:tcPr>
          <w:p>
            <w:pPr>
              <w:pStyle w:val="19"/>
            </w:pPr>
            <w:r>
              <w:t>成功率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按政策及时发放</w:t>
            </w:r>
          </w:p>
        </w:tc>
        <w:tc>
          <w:tcPr>
            <w:tcW w:w="2654" w:type="dxa"/>
            <w:vAlign w:val="center"/>
          </w:tcPr>
          <w:p>
            <w:pPr>
              <w:pStyle w:val="19"/>
            </w:pPr>
            <w:r>
              <w:t>发放时间次数</w:t>
            </w:r>
          </w:p>
        </w:tc>
        <w:tc>
          <w:tcPr>
            <w:tcW w:w="1327" w:type="dxa"/>
            <w:vAlign w:val="center"/>
          </w:tcPr>
          <w:p>
            <w:pPr>
              <w:pStyle w:val="19"/>
            </w:pPr>
            <w:r>
              <w:t>≥90%</w:t>
            </w:r>
          </w:p>
        </w:tc>
        <w:tc>
          <w:tcPr>
            <w:tcW w:w="1327" w:type="dxa"/>
            <w:vAlign w:val="center"/>
          </w:tcPr>
          <w:p>
            <w:pPr>
              <w:pStyle w:val="19"/>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补贴成本</w:t>
            </w:r>
          </w:p>
        </w:tc>
        <w:tc>
          <w:tcPr>
            <w:tcW w:w="2654" w:type="dxa"/>
            <w:vAlign w:val="center"/>
          </w:tcPr>
          <w:p>
            <w:pPr>
              <w:pStyle w:val="19"/>
            </w:pPr>
            <w:r>
              <w:t>补贴成本</w:t>
            </w:r>
          </w:p>
        </w:tc>
        <w:tc>
          <w:tcPr>
            <w:tcW w:w="1327" w:type="dxa"/>
            <w:vAlign w:val="center"/>
          </w:tcPr>
          <w:p>
            <w:pPr>
              <w:pStyle w:val="19"/>
            </w:pPr>
            <w:r>
              <w:t>800元</w:t>
            </w:r>
          </w:p>
        </w:tc>
        <w:tc>
          <w:tcPr>
            <w:tcW w:w="1327" w:type="dxa"/>
            <w:vAlign w:val="center"/>
          </w:tcPr>
          <w:p>
            <w:pPr>
              <w:pStyle w:val="19"/>
            </w:pPr>
            <w:r>
              <w:t>补贴成本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员工评价</w:t>
            </w:r>
          </w:p>
        </w:tc>
        <w:tc>
          <w:tcPr>
            <w:tcW w:w="2654" w:type="dxa"/>
            <w:vAlign w:val="center"/>
          </w:tcPr>
          <w:p>
            <w:pPr>
              <w:pStyle w:val="19"/>
            </w:pPr>
            <w:r>
              <w:t>员工对发放补贴的评级</w:t>
            </w:r>
          </w:p>
        </w:tc>
        <w:tc>
          <w:tcPr>
            <w:tcW w:w="1327" w:type="dxa"/>
            <w:vAlign w:val="center"/>
          </w:tcPr>
          <w:p>
            <w:pPr>
              <w:pStyle w:val="19"/>
            </w:pPr>
            <w:r>
              <w:t>≥90%</w:t>
            </w:r>
          </w:p>
        </w:tc>
        <w:tc>
          <w:tcPr>
            <w:tcW w:w="1327" w:type="dxa"/>
            <w:vAlign w:val="center"/>
          </w:tcPr>
          <w:p>
            <w:pPr>
              <w:pStyle w:val="19"/>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工作完成率</w:t>
            </w:r>
          </w:p>
        </w:tc>
        <w:tc>
          <w:tcPr>
            <w:tcW w:w="2654" w:type="dxa"/>
            <w:vAlign w:val="center"/>
          </w:tcPr>
          <w:p>
            <w:pPr>
              <w:pStyle w:val="19"/>
            </w:pPr>
            <w:r>
              <w:t>工作完成率</w:t>
            </w:r>
          </w:p>
        </w:tc>
        <w:tc>
          <w:tcPr>
            <w:tcW w:w="1327" w:type="dxa"/>
            <w:vAlign w:val="center"/>
          </w:tcPr>
          <w:p>
            <w:pPr>
              <w:pStyle w:val="19"/>
            </w:pPr>
            <w:r>
              <w:t>≥100%</w:t>
            </w:r>
          </w:p>
        </w:tc>
        <w:tc>
          <w:tcPr>
            <w:tcW w:w="1327"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工作表现</w:t>
            </w:r>
          </w:p>
        </w:tc>
        <w:tc>
          <w:tcPr>
            <w:tcW w:w="2654" w:type="dxa"/>
            <w:vAlign w:val="center"/>
          </w:tcPr>
          <w:p>
            <w:pPr>
              <w:pStyle w:val="19"/>
            </w:pPr>
            <w:r>
              <w:t>工作表现</w:t>
            </w:r>
          </w:p>
        </w:tc>
        <w:tc>
          <w:tcPr>
            <w:tcW w:w="1327" w:type="dxa"/>
            <w:vAlign w:val="center"/>
          </w:tcPr>
          <w:p>
            <w:pPr>
              <w:pStyle w:val="19"/>
            </w:pPr>
            <w:r>
              <w:t>全部良好</w:t>
            </w:r>
          </w:p>
        </w:tc>
        <w:tc>
          <w:tcPr>
            <w:tcW w:w="1327" w:type="dxa"/>
            <w:vAlign w:val="center"/>
          </w:tcPr>
          <w:p>
            <w:pPr>
              <w:pStyle w:val="19"/>
            </w:pPr>
            <w:r>
              <w:t>工作表现情况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生态保护影响力</w:t>
            </w:r>
          </w:p>
        </w:tc>
        <w:tc>
          <w:tcPr>
            <w:tcW w:w="2654" w:type="dxa"/>
            <w:vAlign w:val="center"/>
          </w:tcPr>
          <w:p>
            <w:pPr>
              <w:pStyle w:val="19"/>
            </w:pPr>
            <w:r>
              <w:t>促进本单位持续、稳定发展</w:t>
            </w:r>
          </w:p>
        </w:tc>
        <w:tc>
          <w:tcPr>
            <w:tcW w:w="1327" w:type="dxa"/>
            <w:vAlign w:val="center"/>
          </w:tcPr>
          <w:p>
            <w:pPr>
              <w:pStyle w:val="19"/>
            </w:pPr>
            <w:r>
              <w:t>全部良好</w:t>
            </w:r>
          </w:p>
        </w:tc>
        <w:tc>
          <w:tcPr>
            <w:tcW w:w="1327" w:type="dxa"/>
            <w:vAlign w:val="center"/>
          </w:tcPr>
          <w:p>
            <w:pPr>
              <w:pStyle w:val="19"/>
            </w:pPr>
            <w:r>
              <w:t>工作表现情况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社会评价</w:t>
            </w:r>
          </w:p>
        </w:tc>
        <w:tc>
          <w:tcPr>
            <w:tcW w:w="2654" w:type="dxa"/>
            <w:vAlign w:val="center"/>
          </w:tcPr>
          <w:p>
            <w:pPr>
              <w:pStyle w:val="19"/>
            </w:pPr>
            <w:r>
              <w:t>社会公众满意度</w:t>
            </w:r>
          </w:p>
        </w:tc>
        <w:tc>
          <w:tcPr>
            <w:tcW w:w="1327" w:type="dxa"/>
            <w:vAlign w:val="center"/>
          </w:tcPr>
          <w:p>
            <w:pPr>
              <w:pStyle w:val="19"/>
            </w:pPr>
            <w:r>
              <w:t>≥90%</w:t>
            </w:r>
          </w:p>
        </w:tc>
        <w:tc>
          <w:tcPr>
            <w:tcW w:w="1327" w:type="dxa"/>
            <w:vAlign w:val="center"/>
          </w:tcPr>
          <w:p>
            <w:pPr>
              <w:pStyle w:val="19"/>
            </w:pPr>
            <w:r>
              <w:t>调查问卷</w:t>
            </w:r>
          </w:p>
        </w:tc>
      </w:tr>
    </w:tbl>
    <w:p>
      <w:pPr>
        <w:sectPr>
          <w:pgSz w:w="16840" w:h="11900" w:orient="landscape"/>
          <w:pgMar w:top="1304" w:right="1984" w:bottom="1304" w:left="1134" w:header="720" w:footer="720" w:gutter="0"/>
          <w:cols w:space="720" w:num="1"/>
        </w:sectPr>
      </w:pPr>
    </w:p>
    <w:p>
      <w:pPr>
        <w:spacing w:before="0" w:after="0" w:line="240" w:lineRule="auto"/>
        <w:ind w:firstLine="0"/>
        <w:jc w:val="both"/>
        <w:outlineLvl w:val="9"/>
        <w:rPr>
          <w:rFonts w:hint="eastAsia" w:ascii="仿宋" w:hAnsi="仿宋" w:eastAsia="仿宋" w:cs="仿宋"/>
          <w:sz w:val="32"/>
          <w:szCs w:val="32"/>
        </w:rPr>
      </w:pPr>
      <w:bookmarkStart w:id="2" w:name="_Toc_4_4_0000000006"/>
      <w:r>
        <w:rPr>
          <w:rFonts w:hint="eastAsia" w:ascii="仿宋" w:hAnsi="仿宋" w:eastAsia="仿宋" w:cs="仿宋"/>
          <w:color w:val="000000"/>
          <w:sz w:val="32"/>
          <w:szCs w:val="32"/>
        </w:rPr>
        <w:t>3.2022年书画、摄影展等活动绩效目标表</w:t>
      </w:r>
      <w:bookmarkEnd w:id="2"/>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6"/>
            </w:pPr>
            <w:r>
              <w:t>721宁晋县文学艺术界联合会</w:t>
            </w:r>
          </w:p>
        </w:tc>
        <w:tc>
          <w:tcPr>
            <w:tcW w:w="1327" w:type="dxa"/>
            <w:tcBorders>
              <w:top w:val="single" w:color="FFFFFF" w:sz="6" w:space="0"/>
              <w:left w:val="single" w:color="FFFFFF" w:sz="6" w:space="0"/>
              <w:right w:val="single" w:color="FFFFFF" w:sz="6" w:space="0"/>
            </w:tcBorders>
            <w:vAlign w:val="center"/>
          </w:tcPr>
          <w:p>
            <w:pPr>
              <w:pStyle w:val="1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8"/>
            </w:pPr>
            <w:r>
              <w:t>项目编码</w:t>
            </w:r>
          </w:p>
        </w:tc>
        <w:tc>
          <w:tcPr>
            <w:tcW w:w="2654" w:type="dxa"/>
            <w:gridSpan w:val="2"/>
            <w:vAlign w:val="center"/>
          </w:tcPr>
          <w:p>
            <w:pPr>
              <w:pStyle w:val="19"/>
            </w:pPr>
            <w:r>
              <w:t>13052822P00109810058N</w:t>
            </w:r>
          </w:p>
        </w:tc>
        <w:tc>
          <w:tcPr>
            <w:tcW w:w="1327" w:type="dxa"/>
            <w:vAlign w:val="center"/>
          </w:tcPr>
          <w:p>
            <w:pPr>
              <w:pStyle w:val="18"/>
            </w:pPr>
            <w:r>
              <w:t>项目名称</w:t>
            </w:r>
          </w:p>
        </w:tc>
        <w:tc>
          <w:tcPr>
            <w:tcW w:w="3981" w:type="dxa"/>
            <w:gridSpan w:val="3"/>
            <w:vAlign w:val="center"/>
          </w:tcPr>
          <w:p>
            <w:pPr>
              <w:pStyle w:val="19"/>
            </w:pPr>
            <w:r>
              <w:t>2022年书画、摄影展等活动</w:t>
            </w:r>
          </w:p>
        </w:tc>
      </w:tr>
      <w:tr>
        <w:tblPrEx>
          <w:tblCellMar>
            <w:top w:w="0" w:type="dxa"/>
            <w:left w:w="108" w:type="dxa"/>
            <w:bottom w:w="0" w:type="dxa"/>
            <w:right w:w="108" w:type="dxa"/>
          </w:tblCellMar>
        </w:tblPrEx>
        <w:trPr>
          <w:trHeight w:val="369" w:hRule="atLeast"/>
          <w:jc w:val="center"/>
        </w:trPr>
        <w:tc>
          <w:tcPr>
            <w:tcW w:w="1327" w:type="dxa"/>
            <w:vMerge w:val="restart"/>
            <w:vAlign w:val="center"/>
          </w:tcPr>
          <w:p>
            <w:pPr>
              <w:pStyle w:val="18"/>
            </w:pPr>
            <w:r>
              <w:t>预算规模及资金用途</w:t>
            </w:r>
          </w:p>
        </w:tc>
        <w:tc>
          <w:tcPr>
            <w:tcW w:w="1327" w:type="dxa"/>
            <w:vAlign w:val="center"/>
          </w:tcPr>
          <w:p>
            <w:pPr>
              <w:pStyle w:val="18"/>
            </w:pPr>
            <w:r>
              <w:t>预算数</w:t>
            </w:r>
          </w:p>
        </w:tc>
        <w:tc>
          <w:tcPr>
            <w:tcW w:w="1327" w:type="dxa"/>
            <w:vAlign w:val="center"/>
          </w:tcPr>
          <w:p>
            <w:pPr>
              <w:pStyle w:val="19"/>
            </w:pPr>
            <w:r>
              <w:t>4.00</w:t>
            </w:r>
          </w:p>
        </w:tc>
        <w:tc>
          <w:tcPr>
            <w:tcW w:w="1327" w:type="dxa"/>
            <w:vAlign w:val="center"/>
          </w:tcPr>
          <w:p>
            <w:pPr>
              <w:pStyle w:val="18"/>
            </w:pPr>
            <w:r>
              <w:t>其中：财政    资金</w:t>
            </w:r>
          </w:p>
        </w:tc>
        <w:tc>
          <w:tcPr>
            <w:tcW w:w="1327" w:type="dxa"/>
            <w:vAlign w:val="center"/>
          </w:tcPr>
          <w:p>
            <w:pPr>
              <w:pStyle w:val="19"/>
            </w:pPr>
            <w:r>
              <w:t>4.00</w:t>
            </w:r>
          </w:p>
        </w:tc>
        <w:tc>
          <w:tcPr>
            <w:tcW w:w="1327" w:type="dxa"/>
            <w:vAlign w:val="center"/>
          </w:tcPr>
          <w:p>
            <w:pPr>
              <w:pStyle w:val="18"/>
            </w:pPr>
            <w:r>
              <w:t>其他资金</w:t>
            </w:r>
          </w:p>
        </w:tc>
        <w:tc>
          <w:tcPr>
            <w:tcW w:w="1327" w:type="dxa"/>
            <w:vAlign w:val="center"/>
          </w:tcPr>
          <w:p>
            <w:pPr>
              <w:pStyle w:val="19"/>
              <w:rPr>
                <w:rFonts w:hint="eastAsia" w:eastAsia="方正书宋_GBK"/>
                <w:lang w:val="en-US" w:eastAsia="zh-CN"/>
              </w:rPr>
            </w:pPr>
            <w:r>
              <w:t xml:space="preserve"> </w:t>
            </w:r>
            <w:r>
              <w:rPr>
                <w:rFonts w:hint="eastAsia"/>
                <w:lang w:val="en-US" w:eastAsia="zh-CN"/>
              </w:rPr>
              <w:t>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9"/>
            </w:pPr>
            <w:r>
              <w:t>组织开展成立音乐家协会、举办协会培训，书画展览、摄影展览等活动.举办以上活动共计4万元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8"/>
            </w:pPr>
            <w:r>
              <w:t>资金支出计划（%）</w:t>
            </w:r>
          </w:p>
        </w:tc>
        <w:tc>
          <w:tcPr>
            <w:tcW w:w="2654" w:type="dxa"/>
            <w:gridSpan w:val="2"/>
            <w:vAlign w:val="center"/>
          </w:tcPr>
          <w:p>
            <w:pPr>
              <w:pStyle w:val="18"/>
            </w:pPr>
            <w:r>
              <w:t>3月底</w:t>
            </w:r>
          </w:p>
        </w:tc>
        <w:tc>
          <w:tcPr>
            <w:tcW w:w="1327" w:type="dxa"/>
            <w:vAlign w:val="center"/>
          </w:tcPr>
          <w:p>
            <w:pPr>
              <w:pStyle w:val="18"/>
            </w:pPr>
            <w:r>
              <w:t>6月底</w:t>
            </w:r>
          </w:p>
        </w:tc>
        <w:tc>
          <w:tcPr>
            <w:tcW w:w="1327" w:type="dxa"/>
            <w:vAlign w:val="center"/>
          </w:tcPr>
          <w:p>
            <w:pPr>
              <w:pStyle w:val="18"/>
            </w:pPr>
            <w:r>
              <w:t>10月底</w:t>
            </w:r>
          </w:p>
        </w:tc>
        <w:tc>
          <w:tcPr>
            <w:tcW w:w="2654" w:type="dxa"/>
            <w:gridSpan w:val="2"/>
            <w:vAlign w:val="center"/>
          </w:tcPr>
          <w:p>
            <w:pPr>
              <w:pStyle w:val="1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20"/>
            </w:pPr>
            <w:r>
              <w:t xml:space="preserve"> </w:t>
            </w:r>
          </w:p>
        </w:tc>
        <w:tc>
          <w:tcPr>
            <w:tcW w:w="1327" w:type="dxa"/>
            <w:vAlign w:val="center"/>
          </w:tcPr>
          <w:p>
            <w:pPr>
              <w:pStyle w:val="20"/>
            </w:pPr>
            <w:r>
              <w:t>30%</w:t>
            </w:r>
          </w:p>
        </w:tc>
        <w:tc>
          <w:tcPr>
            <w:tcW w:w="1327" w:type="dxa"/>
            <w:vAlign w:val="center"/>
          </w:tcPr>
          <w:p>
            <w:pPr>
              <w:pStyle w:val="20"/>
            </w:pPr>
            <w:r>
              <w:t>70%</w:t>
            </w:r>
          </w:p>
        </w:tc>
        <w:tc>
          <w:tcPr>
            <w:tcW w:w="2654" w:type="dxa"/>
            <w:gridSpan w:val="2"/>
            <w:vAlign w:val="center"/>
          </w:tcPr>
          <w:p>
            <w:pPr>
              <w:pStyle w:val="20"/>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8"/>
            </w:pPr>
            <w:r>
              <w:t>绩效目标</w:t>
            </w:r>
          </w:p>
        </w:tc>
        <w:tc>
          <w:tcPr>
            <w:tcW w:w="7962" w:type="dxa"/>
            <w:gridSpan w:val="6"/>
            <w:vAlign w:val="center"/>
          </w:tcPr>
          <w:p>
            <w:pPr>
              <w:pStyle w:val="19"/>
            </w:pPr>
            <w:r>
              <w:t>1.按时支付活动费用，保障活动 顺利实施。</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8"/>
            </w:pPr>
            <w:r>
              <w:t>一级指标</w:t>
            </w:r>
          </w:p>
        </w:tc>
        <w:tc>
          <w:tcPr>
            <w:tcW w:w="1327" w:type="dxa"/>
            <w:vAlign w:val="center"/>
          </w:tcPr>
          <w:p>
            <w:pPr>
              <w:pStyle w:val="18"/>
            </w:pPr>
            <w:r>
              <w:t>二级指标</w:t>
            </w:r>
          </w:p>
        </w:tc>
        <w:tc>
          <w:tcPr>
            <w:tcW w:w="1327" w:type="dxa"/>
            <w:vAlign w:val="center"/>
          </w:tcPr>
          <w:p>
            <w:pPr>
              <w:pStyle w:val="18"/>
            </w:pPr>
            <w:r>
              <w:t>三级指标</w:t>
            </w:r>
          </w:p>
        </w:tc>
        <w:tc>
          <w:tcPr>
            <w:tcW w:w="2654" w:type="dxa"/>
            <w:vAlign w:val="center"/>
          </w:tcPr>
          <w:p>
            <w:pPr>
              <w:pStyle w:val="18"/>
            </w:pPr>
            <w:r>
              <w:t>绩效指标描述</w:t>
            </w:r>
          </w:p>
        </w:tc>
        <w:tc>
          <w:tcPr>
            <w:tcW w:w="1327" w:type="dxa"/>
            <w:vAlign w:val="center"/>
          </w:tcPr>
          <w:p>
            <w:pPr>
              <w:pStyle w:val="18"/>
            </w:pPr>
            <w:r>
              <w:t>指标值</w:t>
            </w:r>
          </w:p>
        </w:tc>
        <w:tc>
          <w:tcPr>
            <w:tcW w:w="1327"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组织宣传活动次数</w:t>
            </w:r>
          </w:p>
        </w:tc>
        <w:tc>
          <w:tcPr>
            <w:tcW w:w="2654" w:type="dxa"/>
            <w:vAlign w:val="center"/>
          </w:tcPr>
          <w:p>
            <w:pPr>
              <w:pStyle w:val="19"/>
            </w:pPr>
            <w:r>
              <w:t>组织宣传活动次数</w:t>
            </w:r>
          </w:p>
        </w:tc>
        <w:tc>
          <w:tcPr>
            <w:tcW w:w="1327" w:type="dxa"/>
            <w:vAlign w:val="center"/>
          </w:tcPr>
          <w:p>
            <w:pPr>
              <w:pStyle w:val="19"/>
            </w:pPr>
            <w:r>
              <w:t>≥1次</w:t>
            </w:r>
          </w:p>
        </w:tc>
        <w:tc>
          <w:tcPr>
            <w:tcW w:w="1327" w:type="dxa"/>
            <w:vAlign w:val="center"/>
          </w:tcPr>
          <w:p>
            <w:pPr>
              <w:pStyle w:val="19"/>
            </w:pPr>
            <w:r>
              <w:t>活动次数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正常使用率</w:t>
            </w:r>
          </w:p>
        </w:tc>
        <w:tc>
          <w:tcPr>
            <w:tcW w:w="2654" w:type="dxa"/>
            <w:vAlign w:val="center"/>
          </w:tcPr>
          <w:p>
            <w:pPr>
              <w:pStyle w:val="19"/>
            </w:pPr>
            <w:r>
              <w:t>正常使用率</w:t>
            </w:r>
          </w:p>
        </w:tc>
        <w:tc>
          <w:tcPr>
            <w:tcW w:w="1327" w:type="dxa"/>
            <w:vAlign w:val="center"/>
          </w:tcPr>
          <w:p>
            <w:pPr>
              <w:pStyle w:val="19"/>
            </w:pPr>
            <w:r>
              <w:t>≥90%</w:t>
            </w:r>
          </w:p>
        </w:tc>
        <w:tc>
          <w:tcPr>
            <w:tcW w:w="1327" w:type="dxa"/>
            <w:vAlign w:val="center"/>
          </w:tcPr>
          <w:p>
            <w:pPr>
              <w:pStyle w:val="19"/>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支付及时率</w:t>
            </w:r>
          </w:p>
        </w:tc>
        <w:tc>
          <w:tcPr>
            <w:tcW w:w="2654" w:type="dxa"/>
            <w:vAlign w:val="center"/>
          </w:tcPr>
          <w:p>
            <w:pPr>
              <w:pStyle w:val="19"/>
            </w:pPr>
            <w:r>
              <w:t>支付及时率</w:t>
            </w:r>
          </w:p>
        </w:tc>
        <w:tc>
          <w:tcPr>
            <w:tcW w:w="1327" w:type="dxa"/>
            <w:vAlign w:val="center"/>
          </w:tcPr>
          <w:p>
            <w:pPr>
              <w:pStyle w:val="19"/>
            </w:pPr>
            <w:r>
              <w:t>≥90%</w:t>
            </w:r>
          </w:p>
        </w:tc>
        <w:tc>
          <w:tcPr>
            <w:tcW w:w="1327" w:type="dxa"/>
            <w:vAlign w:val="center"/>
          </w:tcPr>
          <w:p>
            <w:pPr>
              <w:pStyle w:val="19"/>
            </w:pPr>
            <w:r>
              <w:t>支付及时率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资金成本</w:t>
            </w:r>
          </w:p>
        </w:tc>
        <w:tc>
          <w:tcPr>
            <w:tcW w:w="2654" w:type="dxa"/>
            <w:vAlign w:val="center"/>
          </w:tcPr>
          <w:p>
            <w:pPr>
              <w:pStyle w:val="19"/>
            </w:pPr>
            <w:r>
              <w:t>资金成本</w:t>
            </w:r>
          </w:p>
        </w:tc>
        <w:tc>
          <w:tcPr>
            <w:tcW w:w="1327" w:type="dxa"/>
            <w:vAlign w:val="center"/>
          </w:tcPr>
          <w:p>
            <w:pPr>
              <w:pStyle w:val="19"/>
            </w:pPr>
            <w:r>
              <w:t>4万元</w:t>
            </w:r>
          </w:p>
        </w:tc>
        <w:tc>
          <w:tcPr>
            <w:tcW w:w="1327" w:type="dxa"/>
            <w:vAlign w:val="center"/>
          </w:tcPr>
          <w:p>
            <w:pPr>
              <w:pStyle w:val="19"/>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经济效益指标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≥90%</w:t>
            </w:r>
          </w:p>
        </w:tc>
        <w:tc>
          <w:tcPr>
            <w:tcW w:w="1327" w:type="dxa"/>
            <w:vAlign w:val="center"/>
          </w:tcPr>
          <w:p>
            <w:pPr>
              <w:pStyle w:val="19"/>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社会氛围</w:t>
            </w:r>
          </w:p>
        </w:tc>
        <w:tc>
          <w:tcPr>
            <w:tcW w:w="2654" w:type="dxa"/>
            <w:vAlign w:val="center"/>
          </w:tcPr>
          <w:p>
            <w:pPr>
              <w:pStyle w:val="19"/>
            </w:pPr>
            <w:r>
              <w:t>社会氛围</w:t>
            </w:r>
          </w:p>
        </w:tc>
        <w:tc>
          <w:tcPr>
            <w:tcW w:w="1327" w:type="dxa"/>
            <w:vAlign w:val="center"/>
          </w:tcPr>
          <w:p>
            <w:pPr>
              <w:pStyle w:val="19"/>
            </w:pPr>
            <w:r>
              <w:t>≥90%</w:t>
            </w:r>
          </w:p>
        </w:tc>
        <w:tc>
          <w:tcPr>
            <w:tcW w:w="1327" w:type="dxa"/>
            <w:vAlign w:val="center"/>
          </w:tcPr>
          <w:p>
            <w:pPr>
              <w:pStyle w:val="19"/>
            </w:pPr>
            <w:r>
              <w:t>社会氛围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结果准确性</w:t>
            </w:r>
          </w:p>
        </w:tc>
        <w:tc>
          <w:tcPr>
            <w:tcW w:w="2654" w:type="dxa"/>
            <w:vAlign w:val="center"/>
          </w:tcPr>
          <w:p>
            <w:pPr>
              <w:pStyle w:val="19"/>
            </w:pPr>
            <w:r>
              <w:t>结果准确性</w:t>
            </w:r>
          </w:p>
        </w:tc>
        <w:tc>
          <w:tcPr>
            <w:tcW w:w="1327" w:type="dxa"/>
            <w:vAlign w:val="center"/>
          </w:tcPr>
          <w:p>
            <w:pPr>
              <w:pStyle w:val="19"/>
            </w:pPr>
            <w:r>
              <w:t>≥90%</w:t>
            </w:r>
          </w:p>
        </w:tc>
        <w:tc>
          <w:tcPr>
            <w:tcW w:w="1327" w:type="dxa"/>
            <w:vAlign w:val="center"/>
          </w:tcPr>
          <w:p>
            <w:pPr>
              <w:pStyle w:val="19"/>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可持续影响指标</w:t>
            </w:r>
          </w:p>
        </w:tc>
        <w:tc>
          <w:tcPr>
            <w:tcW w:w="1327" w:type="dxa"/>
            <w:vAlign w:val="center"/>
          </w:tcPr>
          <w:p>
            <w:pPr>
              <w:pStyle w:val="19"/>
            </w:pPr>
            <w:r>
              <w:t>维护社会稳定</w:t>
            </w:r>
          </w:p>
        </w:tc>
        <w:tc>
          <w:tcPr>
            <w:tcW w:w="2654" w:type="dxa"/>
            <w:vAlign w:val="center"/>
          </w:tcPr>
          <w:p>
            <w:pPr>
              <w:pStyle w:val="19"/>
            </w:pPr>
            <w:r>
              <w:t>维护社会稳定</w:t>
            </w:r>
          </w:p>
        </w:tc>
        <w:tc>
          <w:tcPr>
            <w:tcW w:w="1327" w:type="dxa"/>
            <w:vAlign w:val="center"/>
          </w:tcPr>
          <w:p>
            <w:pPr>
              <w:pStyle w:val="19"/>
            </w:pPr>
            <w:r>
              <w:t>≥90%</w:t>
            </w:r>
          </w:p>
        </w:tc>
        <w:tc>
          <w:tcPr>
            <w:tcW w:w="1327" w:type="dxa"/>
            <w:vAlign w:val="center"/>
          </w:tcPr>
          <w:p>
            <w:pPr>
              <w:pStyle w:val="19"/>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满意度</w:t>
            </w:r>
          </w:p>
        </w:tc>
        <w:tc>
          <w:tcPr>
            <w:tcW w:w="2654" w:type="dxa"/>
            <w:vAlign w:val="center"/>
          </w:tcPr>
          <w:p>
            <w:pPr>
              <w:pStyle w:val="19"/>
            </w:pPr>
            <w:r>
              <w:t>满意度</w:t>
            </w:r>
          </w:p>
        </w:tc>
        <w:tc>
          <w:tcPr>
            <w:tcW w:w="1327" w:type="dxa"/>
            <w:vAlign w:val="center"/>
          </w:tcPr>
          <w:p>
            <w:pPr>
              <w:pStyle w:val="19"/>
            </w:pPr>
            <w:r>
              <w:t>≥90%</w:t>
            </w:r>
          </w:p>
        </w:tc>
        <w:tc>
          <w:tcPr>
            <w:tcW w:w="1327" w:type="dxa"/>
            <w:vAlign w:val="center"/>
          </w:tcPr>
          <w:p>
            <w:pPr>
              <w:pStyle w:val="19"/>
            </w:pPr>
            <w:r>
              <w:t>满意度</w:t>
            </w:r>
          </w:p>
        </w:tc>
      </w:tr>
    </w:tbl>
    <w:p>
      <w:pPr>
        <w:sectPr>
          <w:pgSz w:w="16840" w:h="11900" w:orient="landscape"/>
          <w:pgMar w:top="1304" w:right="1984" w:bottom="1304" w:left="1134" w:header="720" w:footer="720" w:gutter="0"/>
          <w:cols w:space="720" w:num="1"/>
        </w:sectPr>
      </w:pPr>
    </w:p>
    <w:p>
      <w:pPr>
        <w:spacing w:before="0" w:after="0"/>
        <w:ind w:firstLine="560"/>
        <w:jc w:val="left"/>
        <w:outlineLvl w:val="3"/>
        <w:rPr>
          <w:rFonts w:hint="eastAsia" w:ascii="仿宋" w:hAnsi="仿宋" w:eastAsia="仿宋" w:cs="仿宋"/>
          <w:sz w:val="32"/>
          <w:szCs w:val="32"/>
        </w:rPr>
      </w:pPr>
      <w:bookmarkStart w:id="3" w:name="_Toc_4_4_0000000007"/>
      <w:r>
        <w:rPr>
          <w:rFonts w:hint="eastAsia" w:ascii="仿宋" w:hAnsi="仿宋" w:eastAsia="仿宋" w:cs="仿宋"/>
          <w:color w:val="000000"/>
          <w:sz w:val="32"/>
          <w:szCs w:val="32"/>
        </w:rPr>
        <w:t>4.2022年召开宁晋文联全委会绩效目标表</w:t>
      </w:r>
      <w:bookmarkEnd w:id="3"/>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6"/>
            </w:pPr>
            <w:r>
              <w:t>721宁晋县文学艺术界联合会</w:t>
            </w:r>
          </w:p>
        </w:tc>
        <w:tc>
          <w:tcPr>
            <w:tcW w:w="1327" w:type="dxa"/>
            <w:tcBorders>
              <w:top w:val="single" w:color="FFFFFF" w:sz="6" w:space="0"/>
              <w:left w:val="single" w:color="FFFFFF" w:sz="6" w:space="0"/>
              <w:right w:val="single" w:color="FFFFFF" w:sz="6" w:space="0"/>
            </w:tcBorders>
            <w:vAlign w:val="center"/>
          </w:tcPr>
          <w:p>
            <w:pPr>
              <w:pStyle w:val="1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8"/>
            </w:pPr>
            <w:r>
              <w:t>项目编码</w:t>
            </w:r>
          </w:p>
        </w:tc>
        <w:tc>
          <w:tcPr>
            <w:tcW w:w="2654" w:type="dxa"/>
            <w:gridSpan w:val="2"/>
            <w:vAlign w:val="center"/>
          </w:tcPr>
          <w:p>
            <w:pPr>
              <w:pStyle w:val="19"/>
            </w:pPr>
            <w:r>
              <w:t>13052822P00109810053L</w:t>
            </w:r>
          </w:p>
        </w:tc>
        <w:tc>
          <w:tcPr>
            <w:tcW w:w="1327" w:type="dxa"/>
            <w:vAlign w:val="center"/>
          </w:tcPr>
          <w:p>
            <w:pPr>
              <w:pStyle w:val="18"/>
            </w:pPr>
            <w:r>
              <w:t>项目名称</w:t>
            </w:r>
          </w:p>
        </w:tc>
        <w:tc>
          <w:tcPr>
            <w:tcW w:w="3981" w:type="dxa"/>
            <w:gridSpan w:val="3"/>
            <w:vAlign w:val="center"/>
          </w:tcPr>
          <w:p>
            <w:pPr>
              <w:pStyle w:val="19"/>
            </w:pPr>
            <w:r>
              <w:t>2022年召开宁晋文联全委会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8"/>
            </w:pPr>
            <w:r>
              <w:t>预算规模及资金用途</w:t>
            </w:r>
          </w:p>
        </w:tc>
        <w:tc>
          <w:tcPr>
            <w:tcW w:w="1327" w:type="dxa"/>
            <w:vAlign w:val="center"/>
          </w:tcPr>
          <w:p>
            <w:pPr>
              <w:pStyle w:val="18"/>
            </w:pPr>
            <w:r>
              <w:t>预算数</w:t>
            </w:r>
          </w:p>
        </w:tc>
        <w:tc>
          <w:tcPr>
            <w:tcW w:w="1327" w:type="dxa"/>
            <w:vAlign w:val="center"/>
          </w:tcPr>
          <w:p>
            <w:pPr>
              <w:pStyle w:val="19"/>
            </w:pPr>
            <w:r>
              <w:t>1.00</w:t>
            </w:r>
          </w:p>
        </w:tc>
        <w:tc>
          <w:tcPr>
            <w:tcW w:w="1327" w:type="dxa"/>
            <w:vAlign w:val="center"/>
          </w:tcPr>
          <w:p>
            <w:pPr>
              <w:pStyle w:val="18"/>
            </w:pPr>
            <w:r>
              <w:t>其中：财政    资金</w:t>
            </w:r>
          </w:p>
        </w:tc>
        <w:tc>
          <w:tcPr>
            <w:tcW w:w="1327" w:type="dxa"/>
            <w:vAlign w:val="center"/>
          </w:tcPr>
          <w:p>
            <w:pPr>
              <w:pStyle w:val="19"/>
            </w:pPr>
            <w:r>
              <w:t>1.00</w:t>
            </w:r>
          </w:p>
        </w:tc>
        <w:tc>
          <w:tcPr>
            <w:tcW w:w="1327" w:type="dxa"/>
            <w:vAlign w:val="center"/>
          </w:tcPr>
          <w:p>
            <w:pPr>
              <w:pStyle w:val="18"/>
            </w:pPr>
            <w:r>
              <w:t>其他资金</w:t>
            </w:r>
          </w:p>
        </w:tc>
        <w:tc>
          <w:tcPr>
            <w:tcW w:w="1327" w:type="dxa"/>
            <w:vAlign w:val="center"/>
          </w:tcPr>
          <w:p>
            <w:pPr>
              <w:pStyle w:val="19"/>
              <w:rPr>
                <w:rFonts w:hint="eastAsia" w:eastAsia="方正书宋_GBK"/>
                <w:lang w:val="en-US" w:eastAsia="zh-CN"/>
              </w:rPr>
            </w:pPr>
            <w:r>
              <w:t xml:space="preserve"> </w:t>
            </w:r>
            <w:r>
              <w:rPr>
                <w:rFonts w:hint="eastAsia"/>
                <w:lang w:val="en-US" w:eastAsia="zh-CN"/>
              </w:rPr>
              <w:t>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6" w:hRule="atLeast"/>
          <w:jc w:val="center"/>
        </w:trPr>
        <w:tc>
          <w:tcPr>
            <w:tcW w:w="1327" w:type="dxa"/>
            <w:vMerge w:val="continue"/>
          </w:tcPr>
          <w:p/>
        </w:tc>
        <w:tc>
          <w:tcPr>
            <w:tcW w:w="7962" w:type="dxa"/>
            <w:gridSpan w:val="6"/>
            <w:vAlign w:val="center"/>
          </w:tcPr>
          <w:p>
            <w:pPr>
              <w:pStyle w:val="19"/>
            </w:pPr>
            <w:r>
              <w:t>召开文联工作会议，开展会员间的联络、协调和服务工作，听取和反映文艺界的情况和意见，开展文联全委会所需资金共计1万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8"/>
            </w:pPr>
            <w:r>
              <w:t>资金支出计划（%）</w:t>
            </w:r>
          </w:p>
        </w:tc>
        <w:tc>
          <w:tcPr>
            <w:tcW w:w="2654" w:type="dxa"/>
            <w:gridSpan w:val="2"/>
            <w:vAlign w:val="center"/>
          </w:tcPr>
          <w:p>
            <w:pPr>
              <w:pStyle w:val="18"/>
            </w:pPr>
            <w:r>
              <w:t>3月底</w:t>
            </w:r>
          </w:p>
        </w:tc>
        <w:tc>
          <w:tcPr>
            <w:tcW w:w="1327" w:type="dxa"/>
            <w:vAlign w:val="center"/>
          </w:tcPr>
          <w:p>
            <w:pPr>
              <w:pStyle w:val="18"/>
            </w:pPr>
            <w:r>
              <w:t>6月底</w:t>
            </w:r>
          </w:p>
        </w:tc>
        <w:tc>
          <w:tcPr>
            <w:tcW w:w="1327" w:type="dxa"/>
            <w:vAlign w:val="center"/>
          </w:tcPr>
          <w:p>
            <w:pPr>
              <w:pStyle w:val="18"/>
            </w:pPr>
            <w:r>
              <w:t>10月底</w:t>
            </w:r>
          </w:p>
        </w:tc>
        <w:tc>
          <w:tcPr>
            <w:tcW w:w="2654" w:type="dxa"/>
            <w:gridSpan w:val="2"/>
            <w:vAlign w:val="center"/>
          </w:tcPr>
          <w:p>
            <w:pPr>
              <w:pStyle w:val="1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20"/>
            </w:pPr>
            <w:r>
              <w:t xml:space="preserve"> </w:t>
            </w:r>
          </w:p>
        </w:tc>
        <w:tc>
          <w:tcPr>
            <w:tcW w:w="1327" w:type="dxa"/>
            <w:vAlign w:val="center"/>
          </w:tcPr>
          <w:p>
            <w:pPr>
              <w:pStyle w:val="20"/>
            </w:pPr>
            <w:r>
              <w:t>30%</w:t>
            </w:r>
          </w:p>
        </w:tc>
        <w:tc>
          <w:tcPr>
            <w:tcW w:w="1327" w:type="dxa"/>
            <w:vAlign w:val="center"/>
          </w:tcPr>
          <w:p>
            <w:pPr>
              <w:pStyle w:val="20"/>
            </w:pPr>
            <w:r>
              <w:t>70%</w:t>
            </w:r>
          </w:p>
        </w:tc>
        <w:tc>
          <w:tcPr>
            <w:tcW w:w="2654" w:type="dxa"/>
            <w:gridSpan w:val="2"/>
            <w:vAlign w:val="center"/>
          </w:tcPr>
          <w:p>
            <w:pPr>
              <w:pStyle w:val="20"/>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8"/>
            </w:pPr>
            <w:r>
              <w:t>绩效目标</w:t>
            </w:r>
          </w:p>
        </w:tc>
        <w:tc>
          <w:tcPr>
            <w:tcW w:w="7962" w:type="dxa"/>
            <w:gridSpan w:val="6"/>
            <w:vAlign w:val="center"/>
          </w:tcPr>
          <w:p>
            <w:pPr>
              <w:pStyle w:val="19"/>
            </w:pPr>
            <w:r>
              <w:t>1.按时拨付召开宁晋县文联全委会资金，确保项目顺利进行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6"/>
        <w:gridCol w:w="1325"/>
        <w:gridCol w:w="1326"/>
        <w:gridCol w:w="2652"/>
        <w:gridCol w:w="1325"/>
        <w:gridCol w:w="13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8" w:hRule="atLeast"/>
          <w:tblHeader/>
          <w:jc w:val="center"/>
        </w:trPr>
        <w:tc>
          <w:tcPr>
            <w:tcW w:w="1326" w:type="dxa"/>
            <w:vAlign w:val="center"/>
          </w:tcPr>
          <w:p>
            <w:pPr>
              <w:pStyle w:val="18"/>
            </w:pPr>
            <w:r>
              <w:t>一级指标</w:t>
            </w:r>
          </w:p>
        </w:tc>
        <w:tc>
          <w:tcPr>
            <w:tcW w:w="1325" w:type="dxa"/>
            <w:vAlign w:val="center"/>
          </w:tcPr>
          <w:p>
            <w:pPr>
              <w:pStyle w:val="18"/>
            </w:pPr>
            <w:r>
              <w:t>二级指标</w:t>
            </w:r>
          </w:p>
        </w:tc>
        <w:tc>
          <w:tcPr>
            <w:tcW w:w="1326" w:type="dxa"/>
            <w:vAlign w:val="center"/>
          </w:tcPr>
          <w:p>
            <w:pPr>
              <w:pStyle w:val="18"/>
            </w:pPr>
            <w:r>
              <w:t>三级指标</w:t>
            </w:r>
          </w:p>
        </w:tc>
        <w:tc>
          <w:tcPr>
            <w:tcW w:w="2652" w:type="dxa"/>
            <w:vAlign w:val="center"/>
          </w:tcPr>
          <w:p>
            <w:pPr>
              <w:pStyle w:val="18"/>
            </w:pPr>
            <w:r>
              <w:t>绩效指标描述</w:t>
            </w:r>
          </w:p>
        </w:tc>
        <w:tc>
          <w:tcPr>
            <w:tcW w:w="1325" w:type="dxa"/>
            <w:vAlign w:val="center"/>
          </w:tcPr>
          <w:p>
            <w:pPr>
              <w:pStyle w:val="18"/>
            </w:pPr>
            <w:r>
              <w:t>指标值</w:t>
            </w:r>
          </w:p>
        </w:tc>
        <w:tc>
          <w:tcPr>
            <w:tcW w:w="1326"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8" w:hRule="atLeast"/>
          <w:jc w:val="center"/>
        </w:trPr>
        <w:tc>
          <w:tcPr>
            <w:tcW w:w="1326" w:type="dxa"/>
            <w:vMerge w:val="restart"/>
            <w:vAlign w:val="center"/>
          </w:tcPr>
          <w:p>
            <w:pPr>
              <w:pStyle w:val="20"/>
            </w:pPr>
            <w:r>
              <w:t>产出指标</w:t>
            </w:r>
          </w:p>
        </w:tc>
        <w:tc>
          <w:tcPr>
            <w:tcW w:w="1325" w:type="dxa"/>
            <w:vAlign w:val="center"/>
          </w:tcPr>
          <w:p>
            <w:pPr>
              <w:pStyle w:val="19"/>
            </w:pPr>
            <w:r>
              <w:t>数量指标</w:t>
            </w:r>
          </w:p>
        </w:tc>
        <w:tc>
          <w:tcPr>
            <w:tcW w:w="1326" w:type="dxa"/>
            <w:vAlign w:val="center"/>
          </w:tcPr>
          <w:p>
            <w:pPr>
              <w:pStyle w:val="19"/>
            </w:pPr>
            <w:r>
              <w:t>召开会议次数</w:t>
            </w:r>
          </w:p>
        </w:tc>
        <w:tc>
          <w:tcPr>
            <w:tcW w:w="2652" w:type="dxa"/>
            <w:vAlign w:val="center"/>
          </w:tcPr>
          <w:p>
            <w:pPr>
              <w:pStyle w:val="19"/>
            </w:pPr>
            <w:r>
              <w:t>召开会议次数</w:t>
            </w:r>
          </w:p>
        </w:tc>
        <w:tc>
          <w:tcPr>
            <w:tcW w:w="1325" w:type="dxa"/>
            <w:vAlign w:val="center"/>
          </w:tcPr>
          <w:p>
            <w:pPr>
              <w:pStyle w:val="19"/>
            </w:pPr>
            <w:r>
              <w:t>≥1次</w:t>
            </w:r>
          </w:p>
        </w:tc>
        <w:tc>
          <w:tcPr>
            <w:tcW w:w="1326" w:type="dxa"/>
            <w:vAlign w:val="center"/>
          </w:tcPr>
          <w:p>
            <w:pPr>
              <w:pStyle w:val="19"/>
            </w:pPr>
            <w:r>
              <w:t>召开会议次数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1" w:hRule="atLeast"/>
          <w:jc w:val="center"/>
        </w:trPr>
        <w:tc>
          <w:tcPr>
            <w:tcW w:w="1326" w:type="dxa"/>
            <w:vMerge w:val="continue"/>
            <w:vAlign w:val="center"/>
          </w:tcPr>
          <w:p/>
        </w:tc>
        <w:tc>
          <w:tcPr>
            <w:tcW w:w="1325" w:type="dxa"/>
            <w:vAlign w:val="center"/>
          </w:tcPr>
          <w:p>
            <w:pPr>
              <w:pStyle w:val="19"/>
            </w:pPr>
            <w:r>
              <w:t>质量指标</w:t>
            </w:r>
          </w:p>
        </w:tc>
        <w:tc>
          <w:tcPr>
            <w:tcW w:w="1326" w:type="dxa"/>
            <w:vAlign w:val="center"/>
          </w:tcPr>
          <w:p>
            <w:pPr>
              <w:pStyle w:val="19"/>
            </w:pPr>
            <w:r>
              <w:t>正常使用率</w:t>
            </w:r>
          </w:p>
        </w:tc>
        <w:tc>
          <w:tcPr>
            <w:tcW w:w="2652" w:type="dxa"/>
            <w:vAlign w:val="center"/>
          </w:tcPr>
          <w:p>
            <w:pPr>
              <w:pStyle w:val="19"/>
            </w:pPr>
            <w:r>
              <w:t>正常使用率</w:t>
            </w:r>
          </w:p>
        </w:tc>
        <w:tc>
          <w:tcPr>
            <w:tcW w:w="1325" w:type="dxa"/>
            <w:vAlign w:val="center"/>
          </w:tcPr>
          <w:p>
            <w:pPr>
              <w:pStyle w:val="19"/>
            </w:pPr>
            <w:r>
              <w:t>≥90%</w:t>
            </w:r>
          </w:p>
        </w:tc>
        <w:tc>
          <w:tcPr>
            <w:tcW w:w="1326" w:type="dxa"/>
            <w:vAlign w:val="center"/>
          </w:tcPr>
          <w:p>
            <w:pPr>
              <w:pStyle w:val="19"/>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1" w:hRule="atLeast"/>
          <w:jc w:val="center"/>
        </w:trPr>
        <w:tc>
          <w:tcPr>
            <w:tcW w:w="1326" w:type="dxa"/>
            <w:vMerge w:val="continue"/>
            <w:vAlign w:val="center"/>
          </w:tcPr>
          <w:p/>
        </w:tc>
        <w:tc>
          <w:tcPr>
            <w:tcW w:w="1325" w:type="dxa"/>
            <w:vAlign w:val="center"/>
          </w:tcPr>
          <w:p>
            <w:pPr>
              <w:pStyle w:val="19"/>
            </w:pPr>
            <w:r>
              <w:t>时效指标</w:t>
            </w:r>
          </w:p>
        </w:tc>
        <w:tc>
          <w:tcPr>
            <w:tcW w:w="1326" w:type="dxa"/>
            <w:vAlign w:val="center"/>
          </w:tcPr>
          <w:p>
            <w:pPr>
              <w:pStyle w:val="19"/>
            </w:pPr>
            <w:r>
              <w:t>支付及时率</w:t>
            </w:r>
          </w:p>
        </w:tc>
        <w:tc>
          <w:tcPr>
            <w:tcW w:w="2652" w:type="dxa"/>
            <w:vAlign w:val="center"/>
          </w:tcPr>
          <w:p>
            <w:pPr>
              <w:pStyle w:val="19"/>
            </w:pPr>
            <w:r>
              <w:t>支付及时率</w:t>
            </w:r>
          </w:p>
        </w:tc>
        <w:tc>
          <w:tcPr>
            <w:tcW w:w="1325" w:type="dxa"/>
            <w:vAlign w:val="center"/>
          </w:tcPr>
          <w:p>
            <w:pPr>
              <w:pStyle w:val="19"/>
            </w:pPr>
            <w:r>
              <w:t>≥90%</w:t>
            </w:r>
          </w:p>
        </w:tc>
        <w:tc>
          <w:tcPr>
            <w:tcW w:w="1326" w:type="dxa"/>
            <w:vAlign w:val="center"/>
          </w:tcPr>
          <w:p>
            <w:pPr>
              <w:pStyle w:val="19"/>
            </w:pPr>
            <w:r>
              <w:t>支付及时率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1" w:hRule="atLeast"/>
          <w:jc w:val="center"/>
        </w:trPr>
        <w:tc>
          <w:tcPr>
            <w:tcW w:w="1326" w:type="dxa"/>
            <w:vMerge w:val="continue"/>
            <w:vAlign w:val="center"/>
          </w:tcPr>
          <w:p/>
        </w:tc>
        <w:tc>
          <w:tcPr>
            <w:tcW w:w="1325" w:type="dxa"/>
            <w:vAlign w:val="center"/>
          </w:tcPr>
          <w:p>
            <w:pPr>
              <w:pStyle w:val="19"/>
            </w:pPr>
            <w:r>
              <w:t>成本指标</w:t>
            </w:r>
          </w:p>
        </w:tc>
        <w:tc>
          <w:tcPr>
            <w:tcW w:w="1326" w:type="dxa"/>
            <w:vAlign w:val="center"/>
          </w:tcPr>
          <w:p>
            <w:pPr>
              <w:pStyle w:val="19"/>
            </w:pPr>
            <w:r>
              <w:t>预算控制数</w:t>
            </w:r>
          </w:p>
        </w:tc>
        <w:tc>
          <w:tcPr>
            <w:tcW w:w="2652" w:type="dxa"/>
            <w:vAlign w:val="center"/>
          </w:tcPr>
          <w:p>
            <w:pPr>
              <w:pStyle w:val="19"/>
            </w:pPr>
            <w:r>
              <w:t>预算控制数</w:t>
            </w:r>
          </w:p>
        </w:tc>
        <w:tc>
          <w:tcPr>
            <w:tcW w:w="1325" w:type="dxa"/>
            <w:vAlign w:val="center"/>
          </w:tcPr>
          <w:p>
            <w:pPr>
              <w:pStyle w:val="19"/>
            </w:pPr>
            <w:r>
              <w:t>1万元</w:t>
            </w:r>
          </w:p>
        </w:tc>
        <w:tc>
          <w:tcPr>
            <w:tcW w:w="1326" w:type="dxa"/>
            <w:vAlign w:val="center"/>
          </w:tcPr>
          <w:p>
            <w:pPr>
              <w:pStyle w:val="19"/>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8" w:hRule="atLeast"/>
          <w:jc w:val="center"/>
        </w:trPr>
        <w:tc>
          <w:tcPr>
            <w:tcW w:w="1326" w:type="dxa"/>
            <w:vMerge w:val="restart"/>
            <w:vAlign w:val="center"/>
          </w:tcPr>
          <w:p>
            <w:pPr>
              <w:pStyle w:val="20"/>
            </w:pPr>
            <w:r>
              <w:t>效益指标</w:t>
            </w:r>
          </w:p>
        </w:tc>
        <w:tc>
          <w:tcPr>
            <w:tcW w:w="1325" w:type="dxa"/>
            <w:vAlign w:val="center"/>
          </w:tcPr>
          <w:p>
            <w:pPr>
              <w:pStyle w:val="19"/>
            </w:pPr>
            <w:r>
              <w:t>经济效益指标</w:t>
            </w:r>
          </w:p>
        </w:tc>
        <w:tc>
          <w:tcPr>
            <w:tcW w:w="1326" w:type="dxa"/>
            <w:vAlign w:val="center"/>
          </w:tcPr>
          <w:p>
            <w:pPr>
              <w:pStyle w:val="19"/>
            </w:pPr>
            <w:r>
              <w:t>资金的使用效率</w:t>
            </w:r>
          </w:p>
        </w:tc>
        <w:tc>
          <w:tcPr>
            <w:tcW w:w="2652" w:type="dxa"/>
            <w:vAlign w:val="center"/>
          </w:tcPr>
          <w:p>
            <w:pPr>
              <w:pStyle w:val="19"/>
            </w:pPr>
            <w:r>
              <w:t>资金的使用效率</w:t>
            </w:r>
          </w:p>
        </w:tc>
        <w:tc>
          <w:tcPr>
            <w:tcW w:w="1325" w:type="dxa"/>
            <w:vAlign w:val="center"/>
          </w:tcPr>
          <w:p>
            <w:pPr>
              <w:pStyle w:val="19"/>
            </w:pPr>
            <w:r>
              <w:t>≥90%</w:t>
            </w:r>
          </w:p>
        </w:tc>
        <w:tc>
          <w:tcPr>
            <w:tcW w:w="1326" w:type="dxa"/>
            <w:vAlign w:val="center"/>
          </w:tcPr>
          <w:p>
            <w:pPr>
              <w:pStyle w:val="19"/>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8" w:hRule="atLeast"/>
          <w:jc w:val="center"/>
        </w:trPr>
        <w:tc>
          <w:tcPr>
            <w:tcW w:w="1326" w:type="dxa"/>
            <w:vMerge w:val="continue"/>
            <w:vAlign w:val="center"/>
          </w:tcPr>
          <w:p/>
        </w:tc>
        <w:tc>
          <w:tcPr>
            <w:tcW w:w="1325" w:type="dxa"/>
            <w:vAlign w:val="center"/>
          </w:tcPr>
          <w:p>
            <w:pPr>
              <w:pStyle w:val="19"/>
            </w:pPr>
            <w:r>
              <w:t>社会效益指标</w:t>
            </w:r>
          </w:p>
        </w:tc>
        <w:tc>
          <w:tcPr>
            <w:tcW w:w="1326" w:type="dxa"/>
            <w:vAlign w:val="center"/>
          </w:tcPr>
          <w:p>
            <w:pPr>
              <w:pStyle w:val="19"/>
            </w:pPr>
            <w:r>
              <w:t>社会氛围</w:t>
            </w:r>
          </w:p>
        </w:tc>
        <w:tc>
          <w:tcPr>
            <w:tcW w:w="2652" w:type="dxa"/>
            <w:vAlign w:val="center"/>
          </w:tcPr>
          <w:p>
            <w:pPr>
              <w:pStyle w:val="19"/>
            </w:pPr>
            <w:r>
              <w:t>社会氛围</w:t>
            </w:r>
          </w:p>
        </w:tc>
        <w:tc>
          <w:tcPr>
            <w:tcW w:w="1325" w:type="dxa"/>
            <w:vAlign w:val="center"/>
          </w:tcPr>
          <w:p>
            <w:pPr>
              <w:pStyle w:val="19"/>
            </w:pPr>
            <w:r>
              <w:t>≥90%</w:t>
            </w:r>
          </w:p>
        </w:tc>
        <w:tc>
          <w:tcPr>
            <w:tcW w:w="1326" w:type="dxa"/>
            <w:vAlign w:val="center"/>
          </w:tcPr>
          <w:p>
            <w:pPr>
              <w:pStyle w:val="19"/>
            </w:pPr>
            <w:r>
              <w:t>社会氛围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1" w:hRule="atLeast"/>
          <w:jc w:val="center"/>
        </w:trPr>
        <w:tc>
          <w:tcPr>
            <w:tcW w:w="1326" w:type="dxa"/>
            <w:vMerge w:val="continue"/>
            <w:vAlign w:val="center"/>
          </w:tcPr>
          <w:p/>
        </w:tc>
        <w:tc>
          <w:tcPr>
            <w:tcW w:w="1325" w:type="dxa"/>
            <w:vAlign w:val="center"/>
          </w:tcPr>
          <w:p>
            <w:pPr>
              <w:pStyle w:val="19"/>
            </w:pPr>
            <w:r>
              <w:t>生态效益指标</w:t>
            </w:r>
          </w:p>
        </w:tc>
        <w:tc>
          <w:tcPr>
            <w:tcW w:w="1326" w:type="dxa"/>
            <w:vAlign w:val="center"/>
          </w:tcPr>
          <w:p>
            <w:pPr>
              <w:pStyle w:val="19"/>
            </w:pPr>
            <w:r>
              <w:t>结果准确性</w:t>
            </w:r>
          </w:p>
        </w:tc>
        <w:tc>
          <w:tcPr>
            <w:tcW w:w="2652" w:type="dxa"/>
            <w:vAlign w:val="center"/>
          </w:tcPr>
          <w:p>
            <w:pPr>
              <w:pStyle w:val="19"/>
            </w:pPr>
            <w:r>
              <w:t>结果准确性</w:t>
            </w:r>
          </w:p>
        </w:tc>
        <w:tc>
          <w:tcPr>
            <w:tcW w:w="1325" w:type="dxa"/>
            <w:vAlign w:val="center"/>
          </w:tcPr>
          <w:p>
            <w:pPr>
              <w:pStyle w:val="19"/>
            </w:pPr>
            <w:r>
              <w:t>≥90%</w:t>
            </w:r>
          </w:p>
        </w:tc>
        <w:tc>
          <w:tcPr>
            <w:tcW w:w="1326" w:type="dxa"/>
            <w:vAlign w:val="center"/>
          </w:tcPr>
          <w:p>
            <w:pPr>
              <w:pStyle w:val="19"/>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8" w:hRule="atLeast"/>
          <w:jc w:val="center"/>
        </w:trPr>
        <w:tc>
          <w:tcPr>
            <w:tcW w:w="1326" w:type="dxa"/>
            <w:vMerge w:val="continue"/>
            <w:vAlign w:val="center"/>
          </w:tcPr>
          <w:p/>
        </w:tc>
        <w:tc>
          <w:tcPr>
            <w:tcW w:w="1325" w:type="dxa"/>
            <w:vAlign w:val="center"/>
          </w:tcPr>
          <w:p>
            <w:pPr>
              <w:pStyle w:val="19"/>
            </w:pPr>
            <w:r>
              <w:t>可持续影响指标</w:t>
            </w:r>
          </w:p>
        </w:tc>
        <w:tc>
          <w:tcPr>
            <w:tcW w:w="1326" w:type="dxa"/>
            <w:vAlign w:val="center"/>
          </w:tcPr>
          <w:p>
            <w:pPr>
              <w:pStyle w:val="19"/>
            </w:pPr>
            <w:r>
              <w:t>维护社会稳定</w:t>
            </w:r>
          </w:p>
        </w:tc>
        <w:tc>
          <w:tcPr>
            <w:tcW w:w="2652" w:type="dxa"/>
            <w:vAlign w:val="center"/>
          </w:tcPr>
          <w:p>
            <w:pPr>
              <w:pStyle w:val="19"/>
            </w:pPr>
            <w:r>
              <w:t>维护社会稳定</w:t>
            </w:r>
          </w:p>
        </w:tc>
        <w:tc>
          <w:tcPr>
            <w:tcW w:w="1325" w:type="dxa"/>
            <w:vAlign w:val="center"/>
          </w:tcPr>
          <w:p>
            <w:pPr>
              <w:pStyle w:val="19"/>
            </w:pPr>
            <w:r>
              <w:t>≥90%</w:t>
            </w:r>
          </w:p>
        </w:tc>
        <w:tc>
          <w:tcPr>
            <w:tcW w:w="1326" w:type="dxa"/>
            <w:vAlign w:val="center"/>
          </w:tcPr>
          <w:p>
            <w:pPr>
              <w:pStyle w:val="19"/>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1" w:hRule="atLeast"/>
          <w:jc w:val="center"/>
        </w:trPr>
        <w:tc>
          <w:tcPr>
            <w:tcW w:w="1326" w:type="dxa"/>
            <w:vAlign w:val="center"/>
          </w:tcPr>
          <w:p>
            <w:pPr>
              <w:pStyle w:val="20"/>
            </w:pPr>
            <w:r>
              <w:t>满意度指标</w:t>
            </w:r>
          </w:p>
        </w:tc>
        <w:tc>
          <w:tcPr>
            <w:tcW w:w="1325" w:type="dxa"/>
            <w:vAlign w:val="center"/>
          </w:tcPr>
          <w:p>
            <w:pPr>
              <w:pStyle w:val="19"/>
            </w:pPr>
            <w:r>
              <w:t>服务对象满意度指标</w:t>
            </w:r>
          </w:p>
        </w:tc>
        <w:tc>
          <w:tcPr>
            <w:tcW w:w="1326" w:type="dxa"/>
            <w:vAlign w:val="center"/>
          </w:tcPr>
          <w:p>
            <w:pPr>
              <w:pStyle w:val="19"/>
            </w:pPr>
            <w:r>
              <w:t>满意度</w:t>
            </w:r>
          </w:p>
        </w:tc>
        <w:tc>
          <w:tcPr>
            <w:tcW w:w="2652" w:type="dxa"/>
            <w:vAlign w:val="center"/>
          </w:tcPr>
          <w:p>
            <w:pPr>
              <w:pStyle w:val="19"/>
            </w:pPr>
            <w:r>
              <w:t>满意度</w:t>
            </w:r>
          </w:p>
        </w:tc>
        <w:tc>
          <w:tcPr>
            <w:tcW w:w="1325" w:type="dxa"/>
            <w:vAlign w:val="center"/>
          </w:tcPr>
          <w:p>
            <w:pPr>
              <w:pStyle w:val="19"/>
            </w:pPr>
            <w:r>
              <w:t>≥90%</w:t>
            </w:r>
          </w:p>
        </w:tc>
        <w:tc>
          <w:tcPr>
            <w:tcW w:w="1326" w:type="dxa"/>
            <w:vAlign w:val="center"/>
          </w:tcPr>
          <w:p>
            <w:pPr>
              <w:pStyle w:val="19"/>
            </w:pPr>
            <w:r>
              <w:t>满意度</w:t>
            </w:r>
          </w:p>
        </w:tc>
      </w:tr>
    </w:tbl>
    <w:p/>
    <w:p>
      <w:pPr>
        <w:pStyle w:val="4"/>
        <w:ind w:left="0" w:leftChars="0" w:firstLine="0" w:firstLineChars="0"/>
      </w:pPr>
    </w:p>
    <w:p/>
    <w:p/>
    <w:p/>
    <w:p/>
    <w:p>
      <w:pPr>
        <w:widowControl/>
        <w:jc w:val="left"/>
        <w:rPr>
          <w:rFonts w:hint="eastAsia" w:ascii="宋体" w:hAnsi="宋体" w:eastAsia="宋体" w:cs="宋体"/>
          <w:b/>
          <w:kern w:val="0"/>
          <w:sz w:val="36"/>
          <w:szCs w:val="36"/>
        </w:rPr>
      </w:pPr>
    </w:p>
    <w:p>
      <w:pPr>
        <w:widowControl/>
        <w:jc w:val="left"/>
        <w:rPr>
          <w:rFonts w:hint="eastAsia" w:ascii="宋体" w:hAnsi="宋体" w:eastAsia="宋体" w:cs="宋体"/>
          <w:b/>
          <w:kern w:val="0"/>
          <w:sz w:val="36"/>
          <w:szCs w:val="36"/>
        </w:rPr>
      </w:pPr>
    </w:p>
    <w:p>
      <w:pPr>
        <w:widowControl/>
        <w:jc w:val="left"/>
        <w:rPr>
          <w:rFonts w:hint="eastAsia" w:ascii="宋体" w:hAnsi="宋体" w:eastAsia="宋体" w:cs="宋体"/>
          <w:b/>
          <w:kern w:val="0"/>
          <w:sz w:val="36"/>
          <w:szCs w:val="36"/>
        </w:rPr>
      </w:pPr>
    </w:p>
    <w:p>
      <w:pPr>
        <w:widowControl/>
        <w:jc w:val="left"/>
        <w:rPr>
          <w:rFonts w:hint="eastAsia" w:ascii="宋体" w:hAnsi="宋体" w:eastAsia="宋体" w:cs="宋体"/>
          <w:b/>
          <w:kern w:val="0"/>
          <w:sz w:val="36"/>
          <w:szCs w:val="36"/>
        </w:rPr>
      </w:pPr>
    </w:p>
    <w:p>
      <w:pPr>
        <w:widowControl/>
        <w:jc w:val="left"/>
        <w:rPr>
          <w:rFonts w:hint="eastAsia" w:ascii="宋体" w:hAnsi="宋体" w:eastAsia="宋体" w:cs="宋体"/>
          <w:b/>
          <w:kern w:val="0"/>
          <w:sz w:val="36"/>
          <w:szCs w:val="36"/>
        </w:rPr>
      </w:pPr>
    </w:p>
    <w:p>
      <w:pPr>
        <w:widowControl/>
        <w:jc w:val="left"/>
        <w:rPr>
          <w:rFonts w:hint="eastAsia" w:ascii="宋体" w:hAnsi="宋体" w:eastAsia="宋体" w:cs="宋体"/>
          <w:b/>
          <w:sz w:val="36"/>
          <w:szCs w:val="36"/>
        </w:rPr>
      </w:pPr>
      <w:r>
        <w:rPr>
          <w:rFonts w:hint="eastAsia" w:ascii="宋体" w:hAnsi="宋体" w:eastAsia="宋体" w:cs="宋体"/>
          <w:b/>
          <w:kern w:val="0"/>
          <w:sz w:val="36"/>
          <w:szCs w:val="36"/>
        </w:rPr>
        <w:t>六、政府采购预算情况</w:t>
      </w:r>
    </w:p>
    <w:p>
      <w:pPr>
        <w:widowControl/>
        <w:spacing w:line="580" w:lineRule="atLeast"/>
        <w:ind w:firstLine="640" w:firstLineChars="200"/>
        <w:jc w:val="left"/>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我</w:t>
      </w:r>
      <w:r>
        <w:rPr>
          <w:rFonts w:hint="eastAsia" w:ascii="仿宋" w:hAnsi="仿宋" w:eastAsia="仿宋" w:cs="仿宋"/>
          <w:color w:val="000000"/>
          <w:kern w:val="0"/>
          <w:sz w:val="32"/>
          <w:szCs w:val="32"/>
          <w:lang w:eastAsia="zh-CN"/>
        </w:rPr>
        <w:t>部门202</w:t>
      </w:r>
      <w:r>
        <w:rPr>
          <w:rFonts w:hint="eastAsia" w:ascii="仿宋" w:hAnsi="仿宋" w:eastAsia="仿宋" w:cs="仿宋"/>
          <w:color w:val="000000"/>
          <w:kern w:val="0"/>
          <w:sz w:val="32"/>
          <w:szCs w:val="32"/>
          <w:lang w:val="en-US" w:eastAsia="zh-CN"/>
        </w:rPr>
        <w:t>2</w:t>
      </w:r>
      <w:r>
        <w:rPr>
          <w:rFonts w:hint="eastAsia" w:ascii="仿宋" w:hAnsi="仿宋" w:eastAsia="仿宋" w:cs="仿宋"/>
          <w:color w:val="000000"/>
          <w:kern w:val="0"/>
          <w:sz w:val="32"/>
          <w:szCs w:val="32"/>
        </w:rPr>
        <w:t>年无政府采购预算，</w:t>
      </w:r>
      <w:r>
        <w:rPr>
          <w:rFonts w:hint="eastAsia" w:ascii="仿宋" w:hAnsi="仿宋" w:eastAsia="仿宋" w:cs="仿宋"/>
          <w:color w:val="000000"/>
          <w:kern w:val="0"/>
          <w:sz w:val="32"/>
          <w:szCs w:val="32"/>
          <w:lang w:eastAsia="zh-CN"/>
        </w:rPr>
        <w:t>空表列示</w:t>
      </w:r>
      <w:r>
        <w:rPr>
          <w:rFonts w:hint="eastAsia" w:ascii="仿宋" w:hAnsi="仿宋" w:eastAsia="仿宋" w:cs="仿宋"/>
          <w:color w:val="000000"/>
          <w:kern w:val="0"/>
          <w:sz w:val="32"/>
          <w:szCs w:val="32"/>
        </w:rPr>
        <w:t>。</w:t>
      </w:r>
    </w:p>
    <w:tbl>
      <w:tblPr>
        <w:tblStyle w:val="5"/>
        <w:tblpPr w:leftFromText="180" w:rightFromText="180" w:vertAnchor="text" w:horzAnchor="page" w:tblpX="1902" w:tblpY="60"/>
        <w:tblW w:w="9380" w:type="dxa"/>
        <w:tblInd w:w="0" w:type="dxa"/>
        <w:tblLayout w:type="fixed"/>
        <w:tblCellMar>
          <w:top w:w="0" w:type="dxa"/>
          <w:left w:w="108" w:type="dxa"/>
          <w:bottom w:w="0" w:type="dxa"/>
          <w:right w:w="108" w:type="dxa"/>
        </w:tblCellMar>
      </w:tblPr>
      <w:tblGrid>
        <w:gridCol w:w="2241"/>
        <w:gridCol w:w="653"/>
        <w:gridCol w:w="820"/>
        <w:gridCol w:w="858"/>
        <w:gridCol w:w="665"/>
        <w:gridCol w:w="449"/>
        <w:gridCol w:w="653"/>
        <w:gridCol w:w="807"/>
        <w:gridCol w:w="807"/>
        <w:gridCol w:w="730"/>
        <w:gridCol w:w="697"/>
      </w:tblGrid>
      <w:tr>
        <w:tblPrEx>
          <w:tblCellMar>
            <w:top w:w="0" w:type="dxa"/>
            <w:left w:w="108" w:type="dxa"/>
            <w:bottom w:w="0" w:type="dxa"/>
            <w:right w:w="108" w:type="dxa"/>
          </w:tblCellMar>
        </w:tblPrEx>
        <w:trPr>
          <w:trHeight w:val="334" w:hRule="atLeast"/>
        </w:trPr>
        <w:tc>
          <w:tcPr>
            <w:tcW w:w="2894"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政府采购项目来源</w:t>
            </w:r>
          </w:p>
        </w:tc>
        <w:tc>
          <w:tcPr>
            <w:tcW w:w="82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采购物品名称</w:t>
            </w:r>
          </w:p>
        </w:tc>
        <w:tc>
          <w:tcPr>
            <w:tcW w:w="858"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政府采购目录序号</w:t>
            </w:r>
          </w:p>
        </w:tc>
        <w:tc>
          <w:tcPr>
            <w:tcW w:w="665"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单位</w:t>
            </w:r>
          </w:p>
        </w:tc>
        <w:tc>
          <w:tcPr>
            <w:tcW w:w="449"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数量</w:t>
            </w:r>
          </w:p>
        </w:tc>
        <w:tc>
          <w:tcPr>
            <w:tcW w:w="653"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单价</w:t>
            </w:r>
          </w:p>
        </w:tc>
        <w:tc>
          <w:tcPr>
            <w:tcW w:w="3041" w:type="dxa"/>
            <w:gridSpan w:val="4"/>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政府采购金额</w:t>
            </w:r>
          </w:p>
        </w:tc>
      </w:tr>
      <w:tr>
        <w:tblPrEx>
          <w:tblCellMar>
            <w:top w:w="0" w:type="dxa"/>
            <w:left w:w="108" w:type="dxa"/>
            <w:bottom w:w="0" w:type="dxa"/>
            <w:right w:w="108" w:type="dxa"/>
          </w:tblCellMar>
        </w:tblPrEx>
        <w:trPr>
          <w:trHeight w:val="334" w:hRule="atLeast"/>
        </w:trPr>
        <w:tc>
          <w:tcPr>
            <w:tcW w:w="2241" w:type="dxa"/>
            <w:vMerge w:val="restart"/>
            <w:tcBorders>
              <w:top w:val="nil"/>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功能分类科目</w:t>
            </w:r>
          </w:p>
        </w:tc>
        <w:tc>
          <w:tcPr>
            <w:tcW w:w="653" w:type="dxa"/>
            <w:vMerge w:val="restart"/>
            <w:tcBorders>
              <w:top w:val="nil"/>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预算资金</w:t>
            </w:r>
          </w:p>
        </w:tc>
        <w:tc>
          <w:tcPr>
            <w:tcW w:w="8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858"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665"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44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65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807" w:type="dxa"/>
            <w:vMerge w:val="restart"/>
            <w:tcBorders>
              <w:top w:val="nil"/>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总计</w:t>
            </w:r>
          </w:p>
        </w:tc>
        <w:tc>
          <w:tcPr>
            <w:tcW w:w="2234" w:type="dxa"/>
            <w:gridSpan w:val="3"/>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当年部门预算安排资金</w:t>
            </w:r>
          </w:p>
        </w:tc>
      </w:tr>
      <w:tr>
        <w:tblPrEx>
          <w:tblCellMar>
            <w:top w:w="0" w:type="dxa"/>
            <w:left w:w="108" w:type="dxa"/>
            <w:bottom w:w="0" w:type="dxa"/>
            <w:right w:w="108" w:type="dxa"/>
          </w:tblCellMar>
        </w:tblPrEx>
        <w:trPr>
          <w:trHeight w:val="656" w:hRule="atLeast"/>
        </w:trPr>
        <w:tc>
          <w:tcPr>
            <w:tcW w:w="2241"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653"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8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858"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665"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44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65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807"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807" w:type="dxa"/>
            <w:tcBorders>
              <w:top w:val="nil"/>
              <w:left w:val="nil"/>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合计</w:t>
            </w:r>
          </w:p>
        </w:tc>
        <w:tc>
          <w:tcPr>
            <w:tcW w:w="730" w:type="dxa"/>
            <w:tcBorders>
              <w:top w:val="nil"/>
              <w:left w:val="nil"/>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一般公共预算拨款</w:t>
            </w:r>
          </w:p>
        </w:tc>
        <w:tc>
          <w:tcPr>
            <w:tcW w:w="697" w:type="dxa"/>
            <w:tcBorders>
              <w:top w:val="nil"/>
              <w:left w:val="nil"/>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其他来源收入</w:t>
            </w:r>
          </w:p>
        </w:tc>
      </w:tr>
      <w:tr>
        <w:tblPrEx>
          <w:tblCellMar>
            <w:top w:w="0" w:type="dxa"/>
            <w:left w:w="108" w:type="dxa"/>
            <w:bottom w:w="0" w:type="dxa"/>
            <w:right w:w="108" w:type="dxa"/>
          </w:tblCellMar>
        </w:tblPrEx>
        <w:trPr>
          <w:trHeight w:val="527" w:hRule="atLeast"/>
        </w:trPr>
        <w:tc>
          <w:tcPr>
            <w:tcW w:w="2241" w:type="dxa"/>
            <w:tcBorders>
              <w:top w:val="nil"/>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合　计</w:t>
            </w:r>
          </w:p>
        </w:tc>
        <w:tc>
          <w:tcPr>
            <w:tcW w:w="653" w:type="dxa"/>
            <w:tcBorders>
              <w:top w:val="nil"/>
              <w:left w:val="nil"/>
              <w:bottom w:val="single" w:color="auto" w:sz="4" w:space="0"/>
              <w:right w:val="single" w:color="auto" w:sz="4" w:space="0"/>
            </w:tcBorders>
            <w:vAlign w:val="center"/>
          </w:tcPr>
          <w:p>
            <w:pPr>
              <w:widowControl/>
              <w:jc w:val="right"/>
              <w:rPr>
                <w:rFonts w:ascii="仿宋" w:hAnsi="仿宋" w:eastAsia="仿宋" w:cs="宋体"/>
                <w:b/>
                <w:bCs/>
                <w:kern w:val="0"/>
                <w:sz w:val="20"/>
              </w:rPr>
            </w:pPr>
            <w:r>
              <w:rPr>
                <w:rFonts w:hint="eastAsia" w:ascii="仿宋" w:hAnsi="仿宋" w:eastAsia="仿宋" w:cs="宋体"/>
                <w:b/>
                <w:bCs/>
                <w:kern w:val="0"/>
                <w:sz w:val="20"/>
              </w:rPr>
              <w:t>　</w:t>
            </w:r>
          </w:p>
        </w:tc>
        <w:tc>
          <w:tcPr>
            <w:tcW w:w="820" w:type="dxa"/>
            <w:tcBorders>
              <w:top w:val="nil"/>
              <w:left w:val="nil"/>
              <w:bottom w:val="single" w:color="auto" w:sz="4" w:space="0"/>
              <w:right w:val="single" w:color="auto" w:sz="4" w:space="0"/>
            </w:tcBorders>
            <w:vAlign w:val="center"/>
          </w:tcPr>
          <w:p>
            <w:pPr>
              <w:widowControl/>
              <w:jc w:val="left"/>
              <w:rPr>
                <w:rFonts w:ascii="仿宋" w:hAnsi="仿宋" w:eastAsia="仿宋" w:cs="宋体"/>
                <w:b/>
                <w:bCs/>
                <w:kern w:val="0"/>
                <w:sz w:val="20"/>
              </w:rPr>
            </w:pPr>
            <w:r>
              <w:rPr>
                <w:rFonts w:hint="eastAsia" w:ascii="仿宋" w:hAnsi="仿宋" w:eastAsia="仿宋" w:cs="宋体"/>
                <w:b/>
                <w:bCs/>
                <w:kern w:val="0"/>
                <w:sz w:val="20"/>
              </w:rPr>
              <w:t>　</w:t>
            </w:r>
          </w:p>
        </w:tc>
        <w:tc>
          <w:tcPr>
            <w:tcW w:w="858" w:type="dxa"/>
            <w:tcBorders>
              <w:top w:val="nil"/>
              <w:left w:val="nil"/>
              <w:bottom w:val="single" w:color="auto" w:sz="4" w:space="0"/>
              <w:right w:val="single" w:color="auto" w:sz="4" w:space="0"/>
            </w:tcBorders>
            <w:vAlign w:val="center"/>
          </w:tcPr>
          <w:p>
            <w:pPr>
              <w:widowControl/>
              <w:jc w:val="left"/>
              <w:rPr>
                <w:rFonts w:ascii="仿宋" w:hAnsi="仿宋" w:eastAsia="仿宋" w:cs="宋体"/>
                <w:b/>
                <w:bCs/>
                <w:kern w:val="0"/>
                <w:sz w:val="20"/>
              </w:rPr>
            </w:pPr>
            <w:r>
              <w:rPr>
                <w:rFonts w:hint="eastAsia" w:ascii="仿宋" w:hAnsi="仿宋" w:eastAsia="仿宋" w:cs="宋体"/>
                <w:b/>
                <w:bCs/>
                <w:kern w:val="0"/>
                <w:sz w:val="20"/>
              </w:rPr>
              <w:t>　</w:t>
            </w:r>
          </w:p>
        </w:tc>
        <w:tc>
          <w:tcPr>
            <w:tcW w:w="665" w:type="dxa"/>
            <w:tcBorders>
              <w:top w:val="nil"/>
              <w:left w:val="nil"/>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　</w:t>
            </w:r>
          </w:p>
        </w:tc>
        <w:tc>
          <w:tcPr>
            <w:tcW w:w="449" w:type="dxa"/>
            <w:tcBorders>
              <w:top w:val="nil"/>
              <w:left w:val="nil"/>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　</w:t>
            </w:r>
          </w:p>
        </w:tc>
        <w:tc>
          <w:tcPr>
            <w:tcW w:w="653" w:type="dxa"/>
            <w:tcBorders>
              <w:top w:val="nil"/>
              <w:left w:val="nil"/>
              <w:bottom w:val="single" w:color="auto" w:sz="4" w:space="0"/>
              <w:right w:val="single" w:color="auto" w:sz="4" w:space="0"/>
            </w:tcBorders>
            <w:vAlign w:val="center"/>
          </w:tcPr>
          <w:p>
            <w:pPr>
              <w:widowControl/>
              <w:jc w:val="right"/>
              <w:rPr>
                <w:rFonts w:ascii="仿宋" w:hAnsi="仿宋" w:eastAsia="仿宋" w:cs="宋体"/>
                <w:b/>
                <w:bCs/>
                <w:kern w:val="0"/>
                <w:sz w:val="20"/>
              </w:rPr>
            </w:pPr>
            <w:r>
              <w:rPr>
                <w:rFonts w:hint="eastAsia" w:ascii="仿宋" w:hAnsi="仿宋" w:eastAsia="仿宋" w:cs="宋体"/>
                <w:b/>
                <w:bCs/>
                <w:kern w:val="0"/>
                <w:sz w:val="20"/>
              </w:rPr>
              <w:t>　</w:t>
            </w:r>
          </w:p>
        </w:tc>
        <w:tc>
          <w:tcPr>
            <w:tcW w:w="807" w:type="dxa"/>
            <w:tcBorders>
              <w:top w:val="nil"/>
              <w:left w:val="nil"/>
              <w:bottom w:val="single" w:color="auto" w:sz="4" w:space="0"/>
              <w:right w:val="single" w:color="auto" w:sz="4" w:space="0"/>
            </w:tcBorders>
            <w:vAlign w:val="center"/>
          </w:tcPr>
          <w:p>
            <w:pPr>
              <w:widowControl/>
              <w:jc w:val="right"/>
              <w:rPr>
                <w:rFonts w:ascii="仿宋" w:hAnsi="仿宋" w:eastAsia="仿宋" w:cs="宋体"/>
                <w:b/>
                <w:bCs/>
                <w:kern w:val="0"/>
                <w:sz w:val="20"/>
              </w:rPr>
            </w:pPr>
            <w:r>
              <w:rPr>
                <w:rFonts w:hint="eastAsia" w:ascii="仿宋" w:hAnsi="仿宋" w:eastAsia="仿宋" w:cs="宋体"/>
                <w:b/>
                <w:bCs/>
                <w:kern w:val="0"/>
                <w:sz w:val="20"/>
              </w:rPr>
              <w:t>　</w:t>
            </w:r>
          </w:p>
        </w:tc>
        <w:tc>
          <w:tcPr>
            <w:tcW w:w="807" w:type="dxa"/>
            <w:tcBorders>
              <w:top w:val="nil"/>
              <w:left w:val="nil"/>
              <w:bottom w:val="single" w:color="auto" w:sz="4" w:space="0"/>
              <w:right w:val="single" w:color="auto" w:sz="4" w:space="0"/>
            </w:tcBorders>
            <w:vAlign w:val="center"/>
          </w:tcPr>
          <w:p>
            <w:pPr>
              <w:widowControl/>
              <w:jc w:val="right"/>
              <w:rPr>
                <w:rFonts w:ascii="仿宋" w:hAnsi="仿宋" w:eastAsia="仿宋" w:cs="宋体"/>
                <w:b/>
                <w:bCs/>
                <w:kern w:val="0"/>
                <w:sz w:val="20"/>
              </w:rPr>
            </w:pPr>
            <w:r>
              <w:rPr>
                <w:rFonts w:hint="eastAsia" w:ascii="仿宋" w:hAnsi="仿宋" w:eastAsia="仿宋" w:cs="宋体"/>
                <w:b/>
                <w:bCs/>
                <w:kern w:val="0"/>
                <w:sz w:val="20"/>
              </w:rPr>
              <w:t>　</w:t>
            </w:r>
          </w:p>
        </w:tc>
        <w:tc>
          <w:tcPr>
            <w:tcW w:w="730" w:type="dxa"/>
            <w:tcBorders>
              <w:top w:val="nil"/>
              <w:left w:val="nil"/>
              <w:bottom w:val="single" w:color="auto" w:sz="4" w:space="0"/>
              <w:right w:val="single" w:color="auto" w:sz="4" w:space="0"/>
            </w:tcBorders>
            <w:vAlign w:val="center"/>
          </w:tcPr>
          <w:p>
            <w:pPr>
              <w:widowControl/>
              <w:jc w:val="right"/>
              <w:rPr>
                <w:rFonts w:ascii="仿宋" w:hAnsi="仿宋" w:eastAsia="仿宋" w:cs="宋体"/>
                <w:b/>
                <w:bCs/>
                <w:kern w:val="0"/>
                <w:sz w:val="20"/>
              </w:rPr>
            </w:pPr>
            <w:r>
              <w:rPr>
                <w:rFonts w:hint="eastAsia" w:ascii="仿宋" w:hAnsi="仿宋" w:eastAsia="仿宋" w:cs="宋体"/>
                <w:b/>
                <w:bCs/>
                <w:kern w:val="0"/>
                <w:sz w:val="20"/>
              </w:rPr>
              <w:t>　</w:t>
            </w:r>
          </w:p>
        </w:tc>
        <w:tc>
          <w:tcPr>
            <w:tcW w:w="697" w:type="dxa"/>
            <w:tcBorders>
              <w:top w:val="nil"/>
              <w:left w:val="nil"/>
              <w:bottom w:val="single" w:color="auto" w:sz="4" w:space="0"/>
              <w:right w:val="single" w:color="auto" w:sz="4" w:space="0"/>
            </w:tcBorders>
            <w:vAlign w:val="center"/>
          </w:tcPr>
          <w:p>
            <w:pPr>
              <w:widowControl/>
              <w:jc w:val="right"/>
              <w:rPr>
                <w:rFonts w:ascii="仿宋" w:hAnsi="仿宋" w:eastAsia="仿宋" w:cs="宋体"/>
                <w:b/>
                <w:bCs/>
                <w:kern w:val="0"/>
                <w:sz w:val="20"/>
              </w:rPr>
            </w:pPr>
            <w:r>
              <w:rPr>
                <w:rFonts w:hint="eastAsia" w:ascii="仿宋" w:hAnsi="仿宋" w:eastAsia="仿宋" w:cs="宋体"/>
                <w:b/>
                <w:bCs/>
                <w:kern w:val="0"/>
                <w:sz w:val="20"/>
              </w:rPr>
              <w:t>　</w:t>
            </w:r>
          </w:p>
        </w:tc>
      </w:tr>
    </w:tbl>
    <w:p/>
    <w:p/>
    <w:p/>
    <w:p/>
    <w:p/>
    <w:p/>
    <w:p/>
    <w:p/>
    <w:p/>
    <w:p>
      <w:pPr>
        <w:widowControl/>
        <w:spacing w:line="580" w:lineRule="atLeast"/>
        <w:jc w:val="both"/>
        <w:rPr>
          <w:rFonts w:hint="eastAsia" w:ascii="宋体" w:hAnsi="宋体" w:eastAsia="宋体" w:cs="宋体"/>
          <w:b/>
          <w:sz w:val="36"/>
          <w:szCs w:val="36"/>
        </w:rPr>
      </w:pPr>
    </w:p>
    <w:p>
      <w:pPr>
        <w:widowControl/>
        <w:spacing w:line="580" w:lineRule="atLeast"/>
        <w:ind w:firstLine="361" w:firstLineChars="100"/>
        <w:jc w:val="both"/>
        <w:rPr>
          <w:rFonts w:hint="eastAsia" w:ascii="宋体" w:hAnsi="宋体" w:eastAsia="宋体" w:cs="宋体"/>
          <w:b/>
          <w:kern w:val="0"/>
          <w:sz w:val="36"/>
          <w:szCs w:val="36"/>
        </w:rPr>
      </w:pPr>
      <w:r>
        <w:rPr>
          <w:rFonts w:hint="eastAsia" w:ascii="宋体" w:hAnsi="宋体" w:eastAsia="宋体" w:cs="宋体"/>
          <w:b/>
          <w:kern w:val="0"/>
          <w:sz w:val="36"/>
          <w:szCs w:val="36"/>
          <w:lang w:eastAsia="zh-CN"/>
        </w:rPr>
        <w:t>七、</w:t>
      </w:r>
      <w:r>
        <w:rPr>
          <w:rFonts w:hint="eastAsia" w:ascii="宋体" w:hAnsi="宋体" w:eastAsia="宋体" w:cs="宋体"/>
          <w:b/>
          <w:kern w:val="0"/>
          <w:sz w:val="36"/>
          <w:szCs w:val="36"/>
        </w:rPr>
        <w:t>国有资产信息情况</w:t>
      </w:r>
    </w:p>
    <w:p>
      <w:pPr>
        <w:ind w:firstLine="640" w:firstLineChars="200"/>
        <w:jc w:val="left"/>
        <w:rPr>
          <w:rFonts w:hint="eastAsia" w:ascii="仿宋" w:hAnsi="仿宋" w:eastAsia="仿宋" w:cs="仿宋"/>
          <w:color w:val="000000"/>
          <w:sz w:val="32"/>
          <w:szCs w:val="32"/>
        </w:rPr>
      </w:pPr>
      <w:r>
        <w:rPr>
          <w:rFonts w:hint="eastAsia" w:ascii="仿宋" w:hAnsi="仿宋" w:eastAsia="仿宋" w:cs="仿宋"/>
          <w:color w:val="000000"/>
          <w:kern w:val="0"/>
          <w:sz w:val="32"/>
          <w:szCs w:val="32"/>
        </w:rPr>
        <w:t>我</w:t>
      </w:r>
      <w:r>
        <w:rPr>
          <w:rFonts w:hint="eastAsia" w:ascii="仿宋" w:hAnsi="仿宋" w:eastAsia="仿宋" w:cs="仿宋"/>
          <w:color w:val="000000"/>
          <w:kern w:val="0"/>
          <w:sz w:val="32"/>
          <w:szCs w:val="32"/>
          <w:lang w:eastAsia="zh-CN"/>
        </w:rPr>
        <w:t>部门</w:t>
      </w:r>
      <w:r>
        <w:rPr>
          <w:rFonts w:hint="eastAsia" w:ascii="仿宋" w:hAnsi="仿宋" w:eastAsia="仿宋" w:cs="仿宋"/>
          <w:color w:val="000000"/>
          <w:kern w:val="0"/>
          <w:sz w:val="32"/>
          <w:szCs w:val="32"/>
        </w:rPr>
        <w:t>20</w:t>
      </w:r>
      <w:r>
        <w:rPr>
          <w:rFonts w:hint="eastAsia" w:ascii="仿宋" w:hAnsi="仿宋" w:eastAsia="仿宋" w:cs="仿宋"/>
          <w:color w:val="000000"/>
          <w:kern w:val="0"/>
          <w:sz w:val="32"/>
          <w:szCs w:val="32"/>
          <w:lang w:val="en-US" w:eastAsia="zh-CN"/>
        </w:rPr>
        <w:t>21</w:t>
      </w:r>
      <w:r>
        <w:rPr>
          <w:rFonts w:hint="eastAsia" w:ascii="仿宋" w:hAnsi="仿宋" w:eastAsia="仿宋" w:cs="仿宋"/>
          <w:color w:val="000000"/>
          <w:kern w:val="0"/>
          <w:sz w:val="32"/>
          <w:szCs w:val="32"/>
        </w:rPr>
        <w:t>年末固定资产金额为</w:t>
      </w:r>
      <w:r>
        <w:rPr>
          <w:rFonts w:hint="eastAsia" w:ascii="仿宋" w:hAnsi="仿宋" w:eastAsia="仿宋" w:cs="仿宋"/>
          <w:color w:val="000000"/>
          <w:kern w:val="0"/>
          <w:sz w:val="32"/>
          <w:szCs w:val="32"/>
          <w:lang w:val="en-US" w:eastAsia="zh-CN"/>
        </w:rPr>
        <w:t xml:space="preserve"> 2.012321</w:t>
      </w:r>
      <w:r>
        <w:rPr>
          <w:rFonts w:hint="eastAsia" w:ascii="仿宋" w:hAnsi="仿宋" w:eastAsia="仿宋" w:cs="仿宋"/>
          <w:color w:val="000000"/>
          <w:sz w:val="32"/>
          <w:szCs w:val="32"/>
        </w:rPr>
        <w:t>万元，详见下表。</w:t>
      </w:r>
    </w:p>
    <w:tbl>
      <w:tblPr>
        <w:tblStyle w:val="5"/>
        <w:tblpPr w:leftFromText="180" w:rightFromText="180" w:vertAnchor="text" w:horzAnchor="page" w:tblpX="1828" w:tblpY="5"/>
        <w:tblOverlap w:val="never"/>
        <w:tblW w:w="9260" w:type="dxa"/>
        <w:tblInd w:w="0" w:type="dxa"/>
        <w:tblLayout w:type="fixed"/>
        <w:tblCellMar>
          <w:top w:w="0" w:type="dxa"/>
          <w:left w:w="108" w:type="dxa"/>
          <w:bottom w:w="0" w:type="dxa"/>
          <w:right w:w="108" w:type="dxa"/>
        </w:tblCellMar>
      </w:tblPr>
      <w:tblGrid>
        <w:gridCol w:w="3231"/>
        <w:gridCol w:w="1621"/>
        <w:gridCol w:w="4408"/>
      </w:tblGrid>
      <w:tr>
        <w:tblPrEx>
          <w:tblCellMar>
            <w:top w:w="0" w:type="dxa"/>
            <w:left w:w="108" w:type="dxa"/>
            <w:bottom w:w="0" w:type="dxa"/>
            <w:right w:w="108" w:type="dxa"/>
          </w:tblCellMar>
        </w:tblPrEx>
        <w:trPr>
          <w:trHeight w:val="513" w:hRule="atLeast"/>
        </w:trPr>
        <w:tc>
          <w:tcPr>
            <w:tcW w:w="323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4"/>
                <w:szCs w:val="24"/>
              </w:rPr>
            </w:pPr>
            <w:r>
              <w:rPr>
                <w:rFonts w:hint="eastAsia" w:ascii="仿宋" w:hAnsi="仿宋" w:eastAsia="仿宋" w:cs="宋体"/>
                <w:b/>
                <w:bCs/>
                <w:kern w:val="0"/>
                <w:sz w:val="24"/>
                <w:szCs w:val="24"/>
              </w:rPr>
              <w:t>项</w:t>
            </w:r>
            <w:r>
              <w:rPr>
                <w:rFonts w:ascii="仿宋" w:hAnsi="仿宋" w:eastAsia="仿宋" w:cs="宋体"/>
                <w:b/>
                <w:bCs/>
                <w:kern w:val="0"/>
                <w:sz w:val="24"/>
                <w:szCs w:val="24"/>
              </w:rPr>
              <w:t xml:space="preserve">   </w:t>
            </w:r>
            <w:r>
              <w:rPr>
                <w:rFonts w:hint="eastAsia" w:ascii="仿宋" w:hAnsi="仿宋" w:eastAsia="仿宋" w:cs="宋体"/>
                <w:b/>
                <w:bCs/>
                <w:kern w:val="0"/>
                <w:sz w:val="24"/>
                <w:szCs w:val="24"/>
              </w:rPr>
              <w:t>目</w:t>
            </w:r>
          </w:p>
        </w:tc>
        <w:tc>
          <w:tcPr>
            <w:tcW w:w="1621" w:type="dxa"/>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宋体"/>
                <w:b/>
                <w:bCs/>
                <w:kern w:val="0"/>
                <w:sz w:val="24"/>
                <w:szCs w:val="24"/>
              </w:rPr>
            </w:pPr>
            <w:r>
              <w:rPr>
                <w:rFonts w:hint="eastAsia" w:ascii="仿宋" w:hAnsi="仿宋" w:eastAsia="仿宋" w:cs="宋体"/>
                <w:b/>
                <w:bCs/>
                <w:kern w:val="0"/>
                <w:sz w:val="24"/>
                <w:szCs w:val="24"/>
              </w:rPr>
              <w:t>数</w:t>
            </w:r>
            <w:r>
              <w:rPr>
                <w:rFonts w:ascii="仿宋" w:hAnsi="仿宋" w:eastAsia="仿宋" w:cs="宋体"/>
                <w:b/>
                <w:bCs/>
                <w:kern w:val="0"/>
                <w:sz w:val="24"/>
                <w:szCs w:val="24"/>
              </w:rPr>
              <w:t xml:space="preserve">  </w:t>
            </w:r>
            <w:r>
              <w:rPr>
                <w:rFonts w:hint="eastAsia" w:ascii="仿宋" w:hAnsi="仿宋" w:eastAsia="仿宋" w:cs="宋体"/>
                <w:b/>
                <w:bCs/>
                <w:kern w:val="0"/>
                <w:sz w:val="24"/>
                <w:szCs w:val="24"/>
              </w:rPr>
              <w:t>量</w:t>
            </w:r>
          </w:p>
        </w:tc>
        <w:tc>
          <w:tcPr>
            <w:tcW w:w="4408" w:type="dxa"/>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宋体"/>
                <w:b/>
                <w:bCs/>
                <w:kern w:val="0"/>
                <w:sz w:val="24"/>
                <w:szCs w:val="24"/>
              </w:rPr>
            </w:pPr>
            <w:r>
              <w:rPr>
                <w:rFonts w:hint="eastAsia" w:ascii="仿宋" w:hAnsi="仿宋" w:eastAsia="仿宋" w:cs="宋体"/>
                <w:b/>
                <w:bCs/>
                <w:kern w:val="0"/>
                <w:sz w:val="24"/>
                <w:szCs w:val="24"/>
              </w:rPr>
              <w:t>价值（金额单位：万元）</w:t>
            </w:r>
          </w:p>
        </w:tc>
      </w:tr>
      <w:tr>
        <w:tblPrEx>
          <w:tblCellMar>
            <w:top w:w="0" w:type="dxa"/>
            <w:left w:w="108" w:type="dxa"/>
            <w:bottom w:w="0" w:type="dxa"/>
            <w:right w:w="108" w:type="dxa"/>
          </w:tblCellMar>
        </w:tblPrEx>
        <w:trPr>
          <w:trHeight w:val="437" w:hRule="atLeast"/>
        </w:trPr>
        <w:tc>
          <w:tcPr>
            <w:tcW w:w="3231" w:type="dxa"/>
            <w:tcBorders>
              <w:top w:val="nil"/>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Cs w:val="21"/>
              </w:rPr>
            </w:pPr>
            <w:r>
              <w:rPr>
                <w:rFonts w:hint="eastAsia" w:ascii="仿宋" w:hAnsi="仿宋" w:eastAsia="仿宋" w:cs="宋体"/>
                <w:b/>
                <w:bCs/>
                <w:kern w:val="0"/>
                <w:szCs w:val="21"/>
              </w:rPr>
              <w:t>固定资产总额</w:t>
            </w:r>
          </w:p>
        </w:tc>
        <w:tc>
          <w:tcPr>
            <w:tcW w:w="1621" w:type="dxa"/>
            <w:tcBorders>
              <w:top w:val="nil"/>
              <w:left w:val="nil"/>
              <w:bottom w:val="single" w:color="auto" w:sz="4" w:space="0"/>
              <w:right w:val="single" w:color="auto" w:sz="4" w:space="0"/>
            </w:tcBorders>
            <w:vAlign w:val="center"/>
          </w:tcPr>
          <w:p>
            <w:pPr>
              <w:widowControl/>
              <w:jc w:val="center"/>
              <w:rPr>
                <w:rFonts w:ascii="仿宋" w:hAnsi="仿宋" w:eastAsia="仿宋" w:cs="宋体"/>
                <w:kern w:val="0"/>
                <w:szCs w:val="21"/>
              </w:rPr>
            </w:pPr>
            <w:r>
              <w:rPr>
                <w:rFonts w:ascii="仿宋" w:hAnsi="仿宋" w:eastAsia="仿宋" w:cs="宋体"/>
                <w:kern w:val="0"/>
                <w:szCs w:val="21"/>
              </w:rPr>
              <w:t>——</w:t>
            </w:r>
          </w:p>
        </w:tc>
        <w:tc>
          <w:tcPr>
            <w:tcW w:w="4408" w:type="dxa"/>
            <w:tcBorders>
              <w:top w:val="nil"/>
              <w:left w:val="nil"/>
              <w:bottom w:val="single" w:color="auto" w:sz="4" w:space="0"/>
              <w:right w:val="single" w:color="auto" w:sz="4" w:space="0"/>
            </w:tcBorders>
            <w:vAlign w:val="center"/>
          </w:tcPr>
          <w:p>
            <w:pPr>
              <w:widowControl/>
              <w:jc w:val="center"/>
              <w:rPr>
                <w:rFonts w:hint="default" w:ascii="仿宋" w:hAnsi="仿宋" w:eastAsia="仿宋" w:cs="宋体"/>
                <w:kern w:val="0"/>
                <w:szCs w:val="21"/>
                <w:lang w:val="en-US" w:eastAsia="zh-CN"/>
              </w:rPr>
            </w:pPr>
            <w:r>
              <w:rPr>
                <w:rFonts w:hint="eastAsia" w:ascii="宋体" w:hAnsi="宋体" w:cs="宋体"/>
                <w:color w:val="000000"/>
                <w:kern w:val="0"/>
                <w:sz w:val="32"/>
                <w:szCs w:val="32"/>
                <w:lang w:val="en-US" w:eastAsia="zh-CN"/>
              </w:rPr>
              <w:t>2.012321</w:t>
            </w:r>
          </w:p>
        </w:tc>
      </w:tr>
      <w:tr>
        <w:tblPrEx>
          <w:tblCellMar>
            <w:top w:w="0" w:type="dxa"/>
            <w:left w:w="108" w:type="dxa"/>
            <w:bottom w:w="0" w:type="dxa"/>
            <w:right w:w="108" w:type="dxa"/>
          </w:tblCellMar>
        </w:tblPrEx>
        <w:trPr>
          <w:trHeight w:val="550" w:hRule="atLeast"/>
        </w:trPr>
        <w:tc>
          <w:tcPr>
            <w:tcW w:w="3231"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Cs w:val="21"/>
              </w:rPr>
            </w:pPr>
            <w:r>
              <w:rPr>
                <w:rFonts w:ascii="仿宋" w:hAnsi="仿宋" w:eastAsia="仿宋" w:cs="宋体"/>
                <w:kern w:val="0"/>
                <w:szCs w:val="21"/>
              </w:rPr>
              <w:t>1.</w:t>
            </w:r>
            <w:r>
              <w:rPr>
                <w:rFonts w:hint="eastAsia" w:ascii="仿宋" w:hAnsi="仿宋" w:eastAsia="仿宋" w:cs="宋体"/>
                <w:kern w:val="0"/>
                <w:szCs w:val="21"/>
              </w:rPr>
              <w:t>房屋（平方米）</w:t>
            </w:r>
          </w:p>
        </w:tc>
        <w:tc>
          <w:tcPr>
            <w:tcW w:w="1621" w:type="dxa"/>
            <w:tcBorders>
              <w:top w:val="single" w:color="000000" w:sz="4" w:space="0"/>
              <w:left w:val="nil"/>
              <w:bottom w:val="single" w:color="000000" w:sz="4" w:space="0"/>
              <w:right w:val="single" w:color="000000" w:sz="8" w:space="0"/>
            </w:tcBorders>
            <w:vAlign w:val="center"/>
          </w:tcPr>
          <w:p>
            <w:pPr>
              <w:widowControl/>
              <w:jc w:val="right"/>
              <w:rPr>
                <w:rFonts w:ascii="仿宋" w:hAnsi="仿宋" w:eastAsia="仿宋" w:cs="宋体"/>
                <w:color w:val="000000"/>
                <w:kern w:val="0"/>
                <w:szCs w:val="21"/>
              </w:rPr>
            </w:pPr>
          </w:p>
        </w:tc>
        <w:tc>
          <w:tcPr>
            <w:tcW w:w="4408" w:type="dxa"/>
            <w:tcBorders>
              <w:top w:val="single" w:color="000000" w:sz="4" w:space="0"/>
              <w:left w:val="nil"/>
              <w:bottom w:val="single" w:color="000000" w:sz="4" w:space="0"/>
              <w:right w:val="single" w:color="000000" w:sz="4" w:space="0"/>
            </w:tcBorders>
            <w:vAlign w:val="center"/>
          </w:tcPr>
          <w:p>
            <w:pPr>
              <w:widowControl/>
              <w:jc w:val="right"/>
              <w:rPr>
                <w:rFonts w:ascii="仿宋" w:hAnsi="仿宋" w:eastAsia="仿宋" w:cs="宋体"/>
                <w:color w:val="000000"/>
                <w:kern w:val="0"/>
                <w:szCs w:val="21"/>
              </w:rPr>
            </w:pPr>
          </w:p>
        </w:tc>
      </w:tr>
      <w:tr>
        <w:tblPrEx>
          <w:tblCellMar>
            <w:top w:w="0" w:type="dxa"/>
            <w:left w:w="108" w:type="dxa"/>
            <w:bottom w:w="0" w:type="dxa"/>
            <w:right w:w="108" w:type="dxa"/>
          </w:tblCellMar>
        </w:tblPrEx>
        <w:trPr>
          <w:trHeight w:val="581" w:hRule="atLeast"/>
        </w:trPr>
        <w:tc>
          <w:tcPr>
            <w:tcW w:w="3231" w:type="dxa"/>
            <w:tcBorders>
              <w:top w:val="nil"/>
              <w:left w:val="single" w:color="auto" w:sz="4" w:space="0"/>
              <w:bottom w:val="single" w:color="auto" w:sz="4" w:space="0"/>
              <w:right w:val="single" w:color="auto" w:sz="4" w:space="0"/>
            </w:tcBorders>
            <w:vAlign w:val="center"/>
          </w:tcPr>
          <w:p>
            <w:pPr>
              <w:widowControl/>
              <w:ind w:firstLine="420" w:firstLineChars="200"/>
              <w:jc w:val="left"/>
              <w:rPr>
                <w:rFonts w:ascii="仿宋" w:hAnsi="仿宋" w:eastAsia="仿宋" w:cs="宋体"/>
                <w:kern w:val="0"/>
                <w:szCs w:val="21"/>
              </w:rPr>
            </w:pPr>
            <w:r>
              <w:rPr>
                <w:rFonts w:hint="eastAsia" w:ascii="仿宋" w:hAnsi="仿宋" w:eastAsia="仿宋" w:cs="宋体"/>
                <w:kern w:val="0"/>
                <w:szCs w:val="21"/>
              </w:rPr>
              <w:t>其中：办公用房</w:t>
            </w:r>
          </w:p>
        </w:tc>
        <w:tc>
          <w:tcPr>
            <w:tcW w:w="1621" w:type="dxa"/>
            <w:tcBorders>
              <w:top w:val="nil"/>
              <w:left w:val="nil"/>
              <w:bottom w:val="single" w:color="000000" w:sz="4" w:space="0"/>
              <w:right w:val="single" w:color="000000" w:sz="8" w:space="0"/>
            </w:tcBorders>
            <w:vAlign w:val="center"/>
          </w:tcPr>
          <w:p>
            <w:pPr>
              <w:widowControl/>
              <w:jc w:val="right"/>
              <w:rPr>
                <w:rFonts w:ascii="仿宋" w:hAnsi="仿宋" w:eastAsia="仿宋" w:cs="宋体"/>
                <w:color w:val="000000"/>
                <w:kern w:val="0"/>
                <w:szCs w:val="21"/>
              </w:rPr>
            </w:pPr>
          </w:p>
        </w:tc>
        <w:tc>
          <w:tcPr>
            <w:tcW w:w="4408" w:type="dxa"/>
            <w:tcBorders>
              <w:top w:val="nil"/>
              <w:left w:val="nil"/>
              <w:bottom w:val="single" w:color="000000" w:sz="4" w:space="0"/>
              <w:right w:val="single" w:color="000000" w:sz="4" w:space="0"/>
            </w:tcBorders>
            <w:vAlign w:val="center"/>
          </w:tcPr>
          <w:p>
            <w:pPr>
              <w:widowControl/>
              <w:jc w:val="right"/>
              <w:rPr>
                <w:rFonts w:ascii="仿宋" w:hAnsi="仿宋" w:eastAsia="仿宋" w:cs="宋体"/>
                <w:color w:val="000000"/>
                <w:kern w:val="0"/>
                <w:szCs w:val="21"/>
              </w:rPr>
            </w:pPr>
          </w:p>
        </w:tc>
      </w:tr>
      <w:tr>
        <w:tblPrEx>
          <w:tblCellMar>
            <w:top w:w="0" w:type="dxa"/>
            <w:left w:w="108" w:type="dxa"/>
            <w:bottom w:w="0" w:type="dxa"/>
            <w:right w:w="108" w:type="dxa"/>
          </w:tblCellMar>
        </w:tblPrEx>
        <w:trPr>
          <w:trHeight w:val="587" w:hRule="atLeast"/>
        </w:trPr>
        <w:tc>
          <w:tcPr>
            <w:tcW w:w="3231"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Cs w:val="21"/>
              </w:rPr>
            </w:pPr>
            <w:r>
              <w:rPr>
                <w:rFonts w:ascii="仿宋" w:hAnsi="仿宋" w:eastAsia="仿宋" w:cs="宋体"/>
                <w:kern w:val="0"/>
                <w:szCs w:val="21"/>
              </w:rPr>
              <w:t>2.</w:t>
            </w:r>
            <w:r>
              <w:rPr>
                <w:rFonts w:hint="eastAsia" w:ascii="仿宋" w:hAnsi="仿宋" w:eastAsia="仿宋" w:cs="宋体"/>
                <w:kern w:val="0"/>
                <w:szCs w:val="21"/>
              </w:rPr>
              <w:t>车辆（台、辆）</w:t>
            </w:r>
          </w:p>
        </w:tc>
        <w:tc>
          <w:tcPr>
            <w:tcW w:w="1621" w:type="dxa"/>
            <w:tcBorders>
              <w:top w:val="single" w:color="auto" w:sz="4" w:space="0"/>
              <w:left w:val="nil"/>
              <w:bottom w:val="single" w:color="auto" w:sz="4" w:space="0"/>
              <w:right w:val="single" w:color="auto" w:sz="4" w:space="0"/>
            </w:tcBorders>
            <w:vAlign w:val="center"/>
          </w:tcPr>
          <w:p>
            <w:pPr>
              <w:widowControl/>
              <w:jc w:val="right"/>
              <w:rPr>
                <w:rFonts w:ascii="仿宋" w:hAnsi="仿宋" w:eastAsia="仿宋" w:cs="宋体"/>
                <w:kern w:val="0"/>
                <w:szCs w:val="21"/>
              </w:rPr>
            </w:pPr>
          </w:p>
        </w:tc>
        <w:tc>
          <w:tcPr>
            <w:tcW w:w="4408" w:type="dxa"/>
            <w:tcBorders>
              <w:top w:val="nil"/>
              <w:left w:val="nil"/>
              <w:bottom w:val="single" w:color="000000" w:sz="4" w:space="0"/>
              <w:right w:val="single" w:color="000000" w:sz="4" w:space="0"/>
            </w:tcBorders>
            <w:vAlign w:val="center"/>
          </w:tcPr>
          <w:p>
            <w:pPr>
              <w:widowControl/>
              <w:jc w:val="right"/>
              <w:rPr>
                <w:rFonts w:ascii="仿宋" w:hAnsi="仿宋" w:eastAsia="仿宋" w:cs="宋体"/>
                <w:color w:val="000000"/>
                <w:kern w:val="0"/>
                <w:szCs w:val="21"/>
              </w:rPr>
            </w:pPr>
          </w:p>
        </w:tc>
      </w:tr>
      <w:tr>
        <w:tblPrEx>
          <w:tblCellMar>
            <w:top w:w="0" w:type="dxa"/>
            <w:left w:w="108" w:type="dxa"/>
            <w:bottom w:w="0" w:type="dxa"/>
            <w:right w:w="108" w:type="dxa"/>
          </w:tblCellMar>
        </w:tblPrEx>
        <w:trPr>
          <w:trHeight w:val="581" w:hRule="atLeast"/>
        </w:trPr>
        <w:tc>
          <w:tcPr>
            <w:tcW w:w="3231"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Cs w:val="21"/>
              </w:rPr>
            </w:pPr>
            <w:r>
              <w:rPr>
                <w:rFonts w:ascii="仿宋" w:hAnsi="仿宋" w:eastAsia="仿宋" w:cs="宋体"/>
                <w:kern w:val="0"/>
                <w:szCs w:val="21"/>
              </w:rPr>
              <w:t>3.</w:t>
            </w:r>
            <w:r>
              <w:rPr>
                <w:rFonts w:hint="eastAsia" w:ascii="仿宋" w:hAnsi="仿宋" w:eastAsia="仿宋" w:cs="宋体"/>
                <w:kern w:val="0"/>
                <w:szCs w:val="21"/>
              </w:rPr>
              <w:t>单价在</w:t>
            </w:r>
            <w:r>
              <w:rPr>
                <w:rFonts w:ascii="仿宋" w:hAnsi="仿宋" w:eastAsia="仿宋" w:cs="宋体"/>
                <w:kern w:val="0"/>
                <w:szCs w:val="21"/>
              </w:rPr>
              <w:t>50</w:t>
            </w:r>
            <w:r>
              <w:rPr>
                <w:rFonts w:hint="eastAsia" w:ascii="仿宋" w:hAnsi="仿宋" w:eastAsia="仿宋" w:cs="宋体"/>
                <w:kern w:val="0"/>
                <w:szCs w:val="21"/>
              </w:rPr>
              <w:t>万元以上的设备（台、套）</w:t>
            </w:r>
          </w:p>
        </w:tc>
        <w:tc>
          <w:tcPr>
            <w:tcW w:w="1621" w:type="dxa"/>
            <w:tcBorders>
              <w:top w:val="single" w:color="auto" w:sz="4" w:space="0"/>
              <w:left w:val="nil"/>
              <w:bottom w:val="single" w:color="auto" w:sz="4" w:space="0"/>
              <w:right w:val="single" w:color="auto" w:sz="4" w:space="0"/>
            </w:tcBorders>
            <w:vAlign w:val="center"/>
          </w:tcPr>
          <w:p>
            <w:pPr>
              <w:widowControl/>
              <w:jc w:val="left"/>
              <w:rPr>
                <w:rFonts w:ascii="仿宋" w:hAnsi="仿宋" w:eastAsia="仿宋" w:cs="宋体"/>
                <w:kern w:val="0"/>
                <w:szCs w:val="21"/>
              </w:rPr>
            </w:pPr>
            <w:r>
              <w:rPr>
                <w:rFonts w:hint="eastAsia" w:ascii="仿宋" w:hAnsi="仿宋" w:eastAsia="仿宋" w:cs="宋体"/>
                <w:kern w:val="0"/>
                <w:szCs w:val="21"/>
              </w:rPr>
              <w:t>　</w:t>
            </w:r>
          </w:p>
        </w:tc>
        <w:tc>
          <w:tcPr>
            <w:tcW w:w="4408" w:type="dxa"/>
            <w:tcBorders>
              <w:top w:val="single" w:color="auto" w:sz="4" w:space="0"/>
              <w:left w:val="nil"/>
              <w:bottom w:val="single" w:color="auto" w:sz="4" w:space="0"/>
              <w:right w:val="single" w:color="auto" w:sz="4" w:space="0"/>
            </w:tcBorders>
            <w:vAlign w:val="center"/>
          </w:tcPr>
          <w:p>
            <w:pPr>
              <w:widowControl/>
              <w:jc w:val="right"/>
              <w:rPr>
                <w:rFonts w:ascii="仿宋" w:hAnsi="仿宋" w:eastAsia="仿宋" w:cs="宋体"/>
                <w:kern w:val="0"/>
                <w:szCs w:val="21"/>
              </w:rPr>
            </w:pPr>
          </w:p>
        </w:tc>
      </w:tr>
      <w:tr>
        <w:tblPrEx>
          <w:tblCellMar>
            <w:top w:w="0" w:type="dxa"/>
            <w:left w:w="108" w:type="dxa"/>
            <w:bottom w:w="0" w:type="dxa"/>
            <w:right w:w="108" w:type="dxa"/>
          </w:tblCellMar>
        </w:tblPrEx>
        <w:trPr>
          <w:trHeight w:val="601" w:hRule="atLeast"/>
        </w:trPr>
        <w:tc>
          <w:tcPr>
            <w:tcW w:w="3231"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Cs w:val="21"/>
              </w:rPr>
            </w:pPr>
            <w:r>
              <w:rPr>
                <w:rFonts w:ascii="仿宋" w:hAnsi="仿宋" w:eastAsia="仿宋" w:cs="宋体"/>
                <w:kern w:val="0"/>
                <w:szCs w:val="21"/>
              </w:rPr>
              <w:t>4.</w:t>
            </w:r>
            <w:r>
              <w:rPr>
                <w:rFonts w:hint="eastAsia" w:ascii="仿宋" w:hAnsi="仿宋" w:eastAsia="仿宋" w:cs="宋体"/>
                <w:kern w:val="0"/>
                <w:szCs w:val="21"/>
              </w:rPr>
              <w:t>其他固定资产</w:t>
            </w:r>
          </w:p>
        </w:tc>
        <w:tc>
          <w:tcPr>
            <w:tcW w:w="1621" w:type="dxa"/>
            <w:tcBorders>
              <w:top w:val="nil"/>
              <w:left w:val="nil"/>
              <w:bottom w:val="single" w:color="auto" w:sz="4" w:space="0"/>
              <w:right w:val="single" w:color="auto" w:sz="4" w:space="0"/>
            </w:tcBorders>
            <w:vAlign w:val="center"/>
          </w:tcPr>
          <w:p>
            <w:pPr>
              <w:widowControl/>
              <w:rPr>
                <w:rFonts w:ascii="仿宋" w:hAnsi="仿宋" w:eastAsia="仿宋" w:cs="宋体"/>
                <w:kern w:val="0"/>
                <w:szCs w:val="21"/>
              </w:rPr>
            </w:pPr>
            <w:r>
              <w:rPr>
                <w:rFonts w:ascii="仿宋" w:hAnsi="仿宋" w:eastAsia="仿宋" w:cs="宋体"/>
                <w:kern w:val="0"/>
                <w:szCs w:val="21"/>
              </w:rPr>
              <w:t>---</w:t>
            </w:r>
          </w:p>
        </w:tc>
        <w:tc>
          <w:tcPr>
            <w:tcW w:w="4408" w:type="dxa"/>
            <w:tcBorders>
              <w:top w:val="single" w:color="000000" w:sz="4" w:space="0"/>
              <w:left w:val="nil"/>
              <w:bottom w:val="single" w:color="000000" w:sz="4" w:space="0"/>
              <w:right w:val="single" w:color="000000" w:sz="4" w:space="0"/>
            </w:tcBorders>
            <w:vAlign w:val="center"/>
          </w:tcPr>
          <w:p>
            <w:pPr>
              <w:widowControl/>
              <w:jc w:val="center"/>
              <w:rPr>
                <w:rFonts w:hint="eastAsia" w:ascii="仿宋" w:hAnsi="仿宋" w:eastAsia="仿宋" w:cs="宋体"/>
                <w:color w:val="000000"/>
                <w:kern w:val="0"/>
                <w:szCs w:val="21"/>
                <w:lang w:val="en-US" w:eastAsia="zh-CN"/>
              </w:rPr>
            </w:pPr>
            <w:r>
              <w:rPr>
                <w:rFonts w:hint="eastAsia" w:ascii="宋体" w:hAnsi="宋体" w:cs="宋体"/>
                <w:color w:val="000000"/>
                <w:kern w:val="0"/>
                <w:sz w:val="32"/>
                <w:szCs w:val="32"/>
                <w:lang w:val="en-US" w:eastAsia="zh-CN"/>
              </w:rPr>
              <w:t>2.012321</w:t>
            </w:r>
          </w:p>
        </w:tc>
      </w:tr>
    </w:tbl>
    <w:p>
      <w:pPr>
        <w:widowControl/>
        <w:spacing w:line="580" w:lineRule="atLeast"/>
        <w:ind w:firstLine="640" w:firstLineChars="200"/>
        <w:jc w:val="left"/>
        <w:rPr>
          <w:rFonts w:hint="eastAsia" w:ascii="仿宋" w:hAnsi="仿宋" w:eastAsia="仿宋" w:cs="仿宋"/>
          <w:color w:val="000000"/>
          <w:kern w:val="0"/>
          <w:sz w:val="32"/>
          <w:szCs w:val="32"/>
        </w:rPr>
      </w:pPr>
    </w:p>
    <w:p>
      <w:pPr>
        <w:pStyle w:val="4"/>
        <w:ind w:left="0" w:leftChars="0" w:firstLine="0" w:firstLineChars="0"/>
      </w:pPr>
    </w:p>
    <w:p>
      <w:pPr>
        <w:pStyle w:val="4"/>
        <w:ind w:left="0" w:leftChars="0" w:firstLine="0" w:firstLineChars="0"/>
      </w:pPr>
    </w:p>
    <w:p>
      <w:pPr>
        <w:numPr>
          <w:ilvl w:val="0"/>
          <w:numId w:val="3"/>
        </w:numPr>
        <w:ind w:firstLine="723" w:firstLineChars="200"/>
        <w:rPr>
          <w:rFonts w:hint="eastAsia" w:ascii="宋体" w:hAnsi="宋体" w:eastAsia="宋体" w:cs="宋体"/>
          <w:b/>
          <w:bCs/>
          <w:kern w:val="0"/>
          <w:sz w:val="36"/>
          <w:szCs w:val="36"/>
        </w:rPr>
      </w:pPr>
    </w:p>
    <w:p>
      <w:pPr>
        <w:numPr>
          <w:ilvl w:val="0"/>
          <w:numId w:val="3"/>
        </w:numPr>
        <w:ind w:firstLine="723" w:firstLineChars="200"/>
        <w:rPr>
          <w:rFonts w:hint="eastAsia" w:ascii="宋体" w:hAnsi="宋体" w:eastAsia="宋体" w:cs="宋体"/>
          <w:b/>
          <w:bCs/>
          <w:kern w:val="0"/>
          <w:sz w:val="36"/>
          <w:szCs w:val="36"/>
        </w:rPr>
      </w:pPr>
    </w:p>
    <w:p>
      <w:pPr>
        <w:numPr>
          <w:ilvl w:val="0"/>
          <w:numId w:val="3"/>
        </w:numPr>
        <w:ind w:firstLine="723" w:firstLineChars="200"/>
        <w:rPr>
          <w:rFonts w:hint="eastAsia" w:ascii="宋体" w:hAnsi="宋体" w:eastAsia="宋体" w:cs="宋体"/>
          <w:b/>
          <w:bCs/>
          <w:kern w:val="0"/>
          <w:sz w:val="36"/>
          <w:szCs w:val="36"/>
        </w:rPr>
      </w:pPr>
    </w:p>
    <w:p>
      <w:pPr>
        <w:numPr>
          <w:ilvl w:val="0"/>
          <w:numId w:val="3"/>
        </w:numPr>
        <w:ind w:firstLine="723" w:firstLineChars="200"/>
        <w:rPr>
          <w:rFonts w:hint="eastAsia" w:ascii="宋体" w:hAnsi="宋体" w:eastAsia="宋体" w:cs="宋体"/>
          <w:b/>
          <w:bCs/>
          <w:kern w:val="0"/>
          <w:sz w:val="36"/>
          <w:szCs w:val="36"/>
        </w:rPr>
      </w:pPr>
    </w:p>
    <w:p>
      <w:pPr>
        <w:numPr>
          <w:ilvl w:val="0"/>
          <w:numId w:val="3"/>
        </w:numPr>
        <w:ind w:firstLine="723" w:firstLineChars="200"/>
        <w:rPr>
          <w:rFonts w:hint="eastAsia" w:ascii="宋体" w:hAnsi="宋体" w:eastAsia="宋体" w:cs="宋体"/>
          <w:b/>
          <w:bCs/>
          <w:kern w:val="0"/>
          <w:sz w:val="36"/>
          <w:szCs w:val="36"/>
        </w:rPr>
      </w:pPr>
    </w:p>
    <w:p>
      <w:pPr>
        <w:numPr>
          <w:ilvl w:val="0"/>
          <w:numId w:val="3"/>
        </w:numPr>
        <w:ind w:firstLine="723" w:firstLineChars="200"/>
        <w:rPr>
          <w:rFonts w:hint="eastAsia" w:ascii="宋体" w:hAnsi="宋体" w:eastAsia="宋体" w:cs="宋体"/>
          <w:b/>
          <w:bCs/>
          <w:kern w:val="0"/>
          <w:sz w:val="36"/>
          <w:szCs w:val="36"/>
        </w:rPr>
      </w:pPr>
    </w:p>
    <w:p>
      <w:pPr>
        <w:numPr>
          <w:ilvl w:val="0"/>
          <w:numId w:val="0"/>
        </w:numPr>
        <w:ind w:firstLine="361" w:firstLineChars="100"/>
        <w:rPr>
          <w:rFonts w:hint="eastAsia" w:ascii="宋体" w:hAnsi="宋体" w:eastAsia="宋体" w:cs="宋体"/>
          <w:b/>
          <w:bCs/>
          <w:kern w:val="0"/>
          <w:sz w:val="36"/>
          <w:szCs w:val="36"/>
        </w:rPr>
      </w:pPr>
      <w:r>
        <w:rPr>
          <w:rFonts w:hint="eastAsia" w:ascii="宋体" w:hAnsi="宋体" w:eastAsia="宋体" w:cs="宋体"/>
          <w:b/>
          <w:bCs/>
          <w:kern w:val="0"/>
          <w:sz w:val="36"/>
          <w:szCs w:val="36"/>
          <w:lang w:eastAsia="zh-CN"/>
        </w:rPr>
        <w:t>八、</w:t>
      </w:r>
      <w:r>
        <w:rPr>
          <w:rFonts w:hint="eastAsia" w:ascii="宋体" w:hAnsi="宋体" w:eastAsia="宋体" w:cs="宋体"/>
          <w:b/>
          <w:bCs/>
          <w:kern w:val="0"/>
          <w:sz w:val="36"/>
          <w:szCs w:val="36"/>
        </w:rPr>
        <w:t>名词解释</w:t>
      </w:r>
    </w:p>
    <w:p>
      <w:pPr>
        <w:ind w:firstLine="560"/>
        <w:rPr>
          <w:rFonts w:ascii="仿宋" w:hAnsi="仿宋" w:eastAsia="仿宋"/>
          <w:sz w:val="32"/>
          <w:szCs w:val="32"/>
        </w:rPr>
      </w:pPr>
      <w:r>
        <w:rPr>
          <w:rFonts w:ascii="仿宋" w:hAnsi="仿宋" w:eastAsia="仿宋"/>
          <w:color w:val="000000"/>
          <w:sz w:val="32"/>
          <w:szCs w:val="32"/>
        </w:rPr>
        <w:t>1、一般公共预算拨款收入：指</w:t>
      </w:r>
      <w:r>
        <w:rPr>
          <w:rFonts w:hint="eastAsia" w:ascii="仿宋" w:hAnsi="仿宋" w:eastAsia="仿宋"/>
          <w:color w:val="000000"/>
          <w:sz w:val="32"/>
          <w:szCs w:val="32"/>
        </w:rPr>
        <w:t>本</w:t>
      </w:r>
      <w:r>
        <w:rPr>
          <w:rFonts w:ascii="仿宋" w:hAnsi="仿宋" w:eastAsia="仿宋"/>
          <w:color w:val="000000"/>
          <w:sz w:val="32"/>
          <w:szCs w:val="32"/>
        </w:rPr>
        <w:t>级财政当年拨付的资金。</w:t>
      </w:r>
    </w:p>
    <w:p>
      <w:pPr>
        <w:ind w:firstLine="560"/>
        <w:rPr>
          <w:rFonts w:ascii="仿宋" w:hAnsi="仿宋" w:eastAsia="仿宋"/>
          <w:sz w:val="32"/>
          <w:szCs w:val="32"/>
        </w:rPr>
      </w:pPr>
      <w:r>
        <w:rPr>
          <w:rFonts w:ascii="仿宋" w:hAnsi="仿宋" w:eastAsia="仿宋"/>
          <w:color w:val="000000"/>
          <w:sz w:val="32"/>
          <w:szCs w:val="32"/>
        </w:rPr>
        <w:t>2、事业收入：指事业单位开展专业业务活动及辅助活动所取得的收入。</w:t>
      </w:r>
    </w:p>
    <w:p>
      <w:pPr>
        <w:ind w:firstLine="560"/>
        <w:rPr>
          <w:rFonts w:ascii="仿宋" w:hAnsi="仿宋" w:eastAsia="仿宋"/>
          <w:sz w:val="32"/>
          <w:szCs w:val="32"/>
        </w:rPr>
      </w:pPr>
      <w:r>
        <w:rPr>
          <w:rFonts w:ascii="仿宋" w:hAnsi="仿宋" w:eastAsia="仿宋"/>
          <w:color w:val="000000"/>
          <w:sz w:val="32"/>
          <w:szCs w:val="32"/>
        </w:rPr>
        <w:t>3、其他收入：指除“一般公共预算拨款收入”、“事业收入”等以外的收入。主要是按规定动用的租房收入、存款利息收入等。</w:t>
      </w:r>
    </w:p>
    <w:p>
      <w:pPr>
        <w:ind w:firstLine="560"/>
        <w:rPr>
          <w:rFonts w:ascii="仿宋" w:hAnsi="仿宋" w:eastAsia="仿宋"/>
          <w:sz w:val="32"/>
          <w:szCs w:val="32"/>
        </w:rPr>
      </w:pPr>
      <w:r>
        <w:rPr>
          <w:rFonts w:ascii="仿宋" w:hAnsi="仿宋" w:eastAsia="仿宋"/>
          <w:color w:val="000000"/>
          <w:sz w:val="32"/>
          <w:szCs w:val="32"/>
        </w:rPr>
        <w:t>4、基本支出：指为保障机构正常运转、完成日常工作任务而发生的人员支出和公用支出。</w:t>
      </w:r>
    </w:p>
    <w:p>
      <w:pPr>
        <w:ind w:firstLine="560"/>
        <w:rPr>
          <w:rFonts w:ascii="仿宋" w:hAnsi="仿宋" w:eastAsia="仿宋"/>
          <w:sz w:val="32"/>
          <w:szCs w:val="32"/>
        </w:rPr>
      </w:pPr>
      <w:r>
        <w:rPr>
          <w:rFonts w:ascii="仿宋" w:hAnsi="仿宋" w:eastAsia="仿宋"/>
          <w:color w:val="000000"/>
          <w:sz w:val="32"/>
          <w:szCs w:val="32"/>
        </w:rPr>
        <w:t>5、项目支出：指在基本支出之外为完成特定行政任务和事业发展目标所发生的支出。</w:t>
      </w:r>
    </w:p>
    <w:p>
      <w:pPr>
        <w:ind w:firstLine="560"/>
        <w:rPr>
          <w:rFonts w:ascii="仿宋" w:hAnsi="仿宋" w:eastAsia="仿宋"/>
          <w:sz w:val="32"/>
          <w:szCs w:val="32"/>
        </w:rPr>
      </w:pPr>
      <w:r>
        <w:rPr>
          <w:rFonts w:ascii="仿宋" w:hAnsi="仿宋" w:eastAsia="仿宋"/>
          <w:color w:val="000000"/>
          <w:sz w:val="32"/>
          <w:szCs w:val="32"/>
        </w:rPr>
        <w:t>6、上缴上级支出：指下级单位上缴上级的支出。</w:t>
      </w:r>
    </w:p>
    <w:p>
      <w:pPr>
        <w:ind w:firstLine="560"/>
        <w:rPr>
          <w:rFonts w:ascii="仿宋" w:hAnsi="仿宋" w:eastAsia="仿宋"/>
          <w:sz w:val="32"/>
          <w:szCs w:val="32"/>
        </w:rPr>
      </w:pPr>
      <w:r>
        <w:rPr>
          <w:rFonts w:ascii="仿宋" w:hAnsi="仿宋" w:eastAsia="仿宋"/>
          <w:color w:val="000000"/>
          <w:sz w:val="32"/>
          <w:szCs w:val="32"/>
        </w:rPr>
        <w:t>7、“三公”经费：纳入</w:t>
      </w:r>
      <w:r>
        <w:rPr>
          <w:rFonts w:hint="eastAsia" w:ascii="仿宋" w:hAnsi="仿宋" w:eastAsia="仿宋"/>
          <w:color w:val="000000"/>
          <w:sz w:val="32"/>
          <w:szCs w:val="32"/>
        </w:rPr>
        <w:t>本</w:t>
      </w:r>
      <w:r>
        <w:rPr>
          <w:rFonts w:ascii="仿宋" w:hAnsi="仿宋" w:eastAsia="仿宋"/>
          <w:color w:val="000000"/>
          <w:sz w:val="32"/>
          <w:szCs w:val="32"/>
        </w:rPr>
        <w:t>级财政预算管理的“三公”经费，是指</w:t>
      </w:r>
      <w:r>
        <w:rPr>
          <w:rFonts w:hint="eastAsia" w:ascii="仿宋" w:hAnsi="仿宋" w:eastAsia="仿宋"/>
          <w:color w:val="000000"/>
          <w:sz w:val="32"/>
          <w:szCs w:val="32"/>
        </w:rPr>
        <w:t>县</w:t>
      </w:r>
      <w:r>
        <w:rPr>
          <w:rFonts w:ascii="仿宋" w:hAnsi="仿宋" w:eastAsia="仿宋"/>
          <w:color w:val="000000"/>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560"/>
        <w:rPr>
          <w:rFonts w:ascii="仿宋" w:hAnsi="仿宋" w:eastAsia="仿宋"/>
          <w:sz w:val="32"/>
          <w:szCs w:val="32"/>
        </w:rPr>
      </w:pPr>
      <w:r>
        <w:rPr>
          <w:rFonts w:ascii="仿宋" w:hAnsi="仿宋" w:eastAsia="仿宋"/>
          <w:color w:val="000000"/>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560"/>
        <w:rPr>
          <w:rFonts w:ascii="仿宋" w:hAnsi="仿宋" w:eastAsia="仿宋"/>
          <w:sz w:val="32"/>
          <w:szCs w:val="32"/>
        </w:rPr>
      </w:pPr>
      <w:r>
        <w:rPr>
          <w:rFonts w:ascii="仿宋" w:hAnsi="仿宋" w:eastAsia="仿宋"/>
          <w:color w:val="000000"/>
          <w:sz w:val="32"/>
          <w:szCs w:val="32"/>
        </w:rPr>
        <w:t>9、上年结转：指以前年度尚未完成、结转到本年仍按原规定用途继续使用的资金。</w:t>
      </w:r>
    </w:p>
    <w:p>
      <w:pPr>
        <w:ind w:firstLine="560"/>
        <w:rPr>
          <w:rFonts w:ascii="仿宋" w:hAnsi="仿宋" w:eastAsia="仿宋"/>
          <w:sz w:val="32"/>
          <w:szCs w:val="32"/>
        </w:rPr>
      </w:pPr>
      <w:r>
        <w:rPr>
          <w:rFonts w:ascii="仿宋" w:hAnsi="仿宋" w:eastAsia="仿宋"/>
          <w:color w:val="000000"/>
          <w:sz w:val="32"/>
          <w:szCs w:val="32"/>
        </w:rPr>
        <w:t>10、事业单位经营支出：指事业单位在专业业务活动及其辅助活动之外开展非独立核算经营活动发生的支出。</w:t>
      </w:r>
    </w:p>
    <w:p>
      <w:pPr>
        <w:spacing w:before="10" w:after="10"/>
        <w:ind w:firstLine="640"/>
        <w:outlineLvl w:val="2"/>
        <w:rPr>
          <w:rFonts w:ascii="黑体" w:hAnsi="黑体" w:eastAsia="黑体"/>
          <w:sz w:val="32"/>
          <w:szCs w:val="32"/>
        </w:rPr>
      </w:pPr>
      <w:bookmarkStart w:id="4" w:name="_Toc_3_3_0000000018"/>
      <w:r>
        <w:rPr>
          <w:rFonts w:ascii="黑体" w:hAnsi="黑体" w:eastAsia="黑体" w:cs="黑体"/>
          <w:color w:val="000000"/>
          <w:sz w:val="32"/>
          <w:szCs w:val="32"/>
        </w:rPr>
        <w:t>九、其他需要说明的事项</w:t>
      </w:r>
      <w:bookmarkEnd w:id="4"/>
    </w:p>
    <w:p>
      <w:pPr>
        <w:ind w:firstLine="560"/>
        <w:rPr>
          <w:rFonts w:ascii="仿宋" w:hAnsi="仿宋" w:eastAsia="仿宋"/>
          <w:sz w:val="32"/>
          <w:szCs w:val="32"/>
        </w:rPr>
      </w:pPr>
      <w:r>
        <w:rPr>
          <w:rFonts w:ascii="仿宋" w:hAnsi="仿宋" w:eastAsia="仿宋"/>
          <w:color w:val="000000"/>
          <w:sz w:val="32"/>
          <w:szCs w:val="32"/>
        </w:rPr>
        <w:t>我部门无其他需要说明的事项。</w:t>
      </w:r>
    </w:p>
    <w:p>
      <w:pPr>
        <w:pStyle w:val="4"/>
        <w:ind w:left="0" w:leftChars="0" w:firstLine="0" w:firstLineChars="0"/>
      </w:pPr>
    </w:p>
    <w:p>
      <w:pPr>
        <w:pStyle w:val="4"/>
        <w:ind w:left="0" w:leftChars="0" w:firstLine="0" w:firstLineChars="0"/>
      </w:pPr>
    </w:p>
    <w:p>
      <w:pPr>
        <w:pStyle w:val="4"/>
        <w:ind w:left="0" w:leftChars="0" w:firstLine="0" w:firstLineChars="0"/>
      </w:pPr>
    </w:p>
    <w:p>
      <w:pPr>
        <w:pStyle w:val="4"/>
        <w:ind w:left="0" w:leftChars="0" w:firstLine="0" w:firstLineChars="0"/>
      </w:pPr>
    </w:p>
    <w:p>
      <w:pPr>
        <w:pStyle w:val="4"/>
        <w:ind w:left="0" w:leftChars="0" w:firstLine="0" w:firstLineChars="0"/>
      </w:pPr>
    </w:p>
    <w:p>
      <w:pPr>
        <w:pStyle w:val="4"/>
        <w:ind w:left="0" w:leftChars="0" w:firstLine="0" w:firstLineChars="0"/>
      </w:pPr>
    </w:p>
    <w:p>
      <w:pPr>
        <w:pStyle w:val="4"/>
        <w:ind w:left="0" w:leftChars="0" w:firstLine="0" w:firstLineChars="0"/>
      </w:pPr>
    </w:p>
    <w:p>
      <w:pPr>
        <w:pStyle w:val="4"/>
        <w:ind w:left="0" w:leftChars="0" w:firstLine="0" w:firstLineChars="0"/>
      </w:pPr>
    </w:p>
    <w:p>
      <w:pPr>
        <w:pStyle w:val="4"/>
        <w:ind w:left="0" w:leftChars="0" w:firstLine="0" w:firstLineChars="0"/>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2160" w:firstLineChars="300"/>
        <w:jc w:val="both"/>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36"/>
        <w:gridCol w:w="4199"/>
        <w:gridCol w:w="1121"/>
        <w:gridCol w:w="6025"/>
        <w:gridCol w:w="17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5000" w:type="pct"/>
            <w:gridSpan w:val="5"/>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单位预算收支总表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982" w:type="pct"/>
            <w:gridSpan w:val="3"/>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w:t>
            </w:r>
            <w:r>
              <w:rPr>
                <w:rFonts w:hint="eastAsia" w:ascii="宋体" w:hAnsi="宋体" w:eastAsia="宋体" w:cs="宋体"/>
                <w:i w:val="0"/>
                <w:iCs w:val="0"/>
                <w:color w:val="000000"/>
                <w:kern w:val="0"/>
                <w:sz w:val="22"/>
                <w:szCs w:val="22"/>
                <w:u w:val="single"/>
                <w:lang w:val="en-US" w:eastAsia="zh-CN" w:bidi="ar"/>
              </w:rPr>
              <w:t>[721001]宁晋县文学艺术界联合会本级</w:t>
            </w:r>
          </w:p>
        </w:tc>
        <w:tc>
          <w:tcPr>
            <w:tcW w:w="2308" w:type="pct"/>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709" w:type="pct"/>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71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30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一、一般公共预算拨款收入</w:t>
            </w: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一、一般公共服务支出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二、政府性基金预算拨款收入</w:t>
            </w: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二、外交支出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三、国有资本经营预算拨款收入</w:t>
            </w: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三、国防支出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四、财政专户管理资金收入</w:t>
            </w: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四、公共安全支出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五、事业收入</w:t>
            </w: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五、教育支出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六、事业单位经营收入</w:t>
            </w: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六、科学技术支出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七、上级补助收入</w:t>
            </w: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七、文化旅游体育与传媒支出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八、附属单位上缴收入</w:t>
            </w: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八、社会保障和就业支出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九、其他收入</w:t>
            </w: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九、社会保险基金支出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十、卫生健康支出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十一、节能环保支出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十二、城乡社区支出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十三、农林水支出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十四、交通运输支出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十五、资源勘探工业信息等支出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十六、商业服务业等支出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十七、金融支出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十八、援助其他地区支出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十九、自然资源海洋气象等支出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二十、住房保障支出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二十一、粮油物资储备支出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二十二、国有资本经营预算支出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二十三、灾害防治及应急管理支出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二十四、预备费</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二十五、其他支出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二十六、转移性支出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二十七、灾害防治及应急管理共同财政事权转移支付支出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二十八、债务还本支出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二十九、债务付息支出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三十、债务发行费用支出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三十一、抗疫特别国债安排的支出</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本年收入合计</w:t>
            </w: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本年支出合计</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33</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上年结转结余</w:t>
            </w: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年终结转结余</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w:t>
            </w:r>
          </w:p>
        </w:tc>
        <w:tc>
          <w:tcPr>
            <w:tcW w:w="1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收入总计</w:t>
            </w: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230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支出总计</w:t>
            </w:r>
          </w:p>
        </w:tc>
        <w:tc>
          <w:tcPr>
            <w:tcW w:w="7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r>
    </w:tbl>
    <w:p/>
    <w:p/>
    <w:p/>
    <w:p/>
    <w:p/>
    <w:p/>
    <w:p/>
    <w:p/>
    <w:p/>
    <w:p/>
    <w:p/>
    <w:p/>
    <w:p/>
    <w:p/>
    <w:p/>
    <w:p/>
    <w:p/>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35"/>
        <w:gridCol w:w="856"/>
        <w:gridCol w:w="2775"/>
        <w:gridCol w:w="662"/>
        <w:gridCol w:w="662"/>
        <w:gridCol w:w="1176"/>
        <w:gridCol w:w="1176"/>
        <w:gridCol w:w="856"/>
        <w:gridCol w:w="856"/>
        <w:gridCol w:w="1176"/>
        <w:gridCol w:w="1496"/>
        <w:gridCol w:w="856"/>
        <w:gridCol w:w="8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5000" w:type="pct"/>
            <w:gridSpan w:val="13"/>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单位预算收入总表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425" w:type="pct"/>
            <w:gridSpan w:val="9"/>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w:t>
            </w:r>
            <w:r>
              <w:rPr>
                <w:rFonts w:hint="eastAsia" w:ascii="宋体" w:hAnsi="宋体" w:eastAsia="宋体" w:cs="宋体"/>
                <w:i w:val="0"/>
                <w:iCs w:val="0"/>
                <w:color w:val="000000"/>
                <w:kern w:val="0"/>
                <w:sz w:val="22"/>
                <w:szCs w:val="22"/>
                <w:u w:val="single"/>
                <w:lang w:val="en-US" w:eastAsia="zh-CN" w:bidi="ar"/>
              </w:rPr>
              <w:t>[721001]宁晋县文学艺术界联合会本级</w:t>
            </w:r>
          </w:p>
        </w:tc>
        <w:tc>
          <w:tcPr>
            <w:tcW w:w="969" w:type="pct"/>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605" w:type="pct"/>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8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33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w:t>
            </w:r>
          </w:p>
        </w:tc>
        <w:tc>
          <w:tcPr>
            <w:tcW w:w="228"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2953" w:type="pct"/>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30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上年结转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8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财政拨款收入</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财政专户收入</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事业收入</w:t>
            </w: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经营收入</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上级补助收入</w:t>
            </w: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附属单位上缴收入</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其他收入</w:t>
            </w:r>
          </w:p>
        </w:tc>
        <w:tc>
          <w:tcPr>
            <w:tcW w:w="30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文化旅游体育与传媒支出</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20701</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文化和旅游</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2070101</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60.94</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60.94</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60.94</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2070102</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一般行政管理事务</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10.08</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10.08</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10.08</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9.91</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9.91</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9.91</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行政单位离退休</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5.51</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5.51</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5.51</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103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42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bl>
    <w:p/>
    <w:p/>
    <w:p/>
    <w:p/>
    <w:p/>
    <w:p/>
    <w:p/>
    <w:p/>
    <w:p/>
    <w:p/>
    <w:p/>
    <w:p/>
    <w:p/>
    <w:p/>
    <w:p/>
    <w:p/>
    <w:p/>
    <w:p/>
    <w:p/>
    <w:p/>
    <w:p/>
    <w:p/>
    <w:p/>
    <w:p/>
    <w:p/>
    <w:p/>
    <w:p/>
    <w:p/>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43"/>
        <w:gridCol w:w="1073"/>
        <w:gridCol w:w="3643"/>
        <w:gridCol w:w="1501"/>
        <w:gridCol w:w="1073"/>
        <w:gridCol w:w="1073"/>
        <w:gridCol w:w="1073"/>
        <w:gridCol w:w="1715"/>
        <w:gridCol w:w="21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5000" w:type="pct"/>
            <w:gridSpan w:val="9"/>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单位预算支出总表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613" w:type="pct"/>
            <w:gridSpan w:val="7"/>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w:t>
            </w:r>
            <w:r>
              <w:rPr>
                <w:rFonts w:hint="eastAsia" w:ascii="宋体" w:hAnsi="宋体" w:eastAsia="宋体" w:cs="宋体"/>
                <w:i w:val="0"/>
                <w:iCs w:val="0"/>
                <w:color w:val="000000"/>
                <w:kern w:val="0"/>
                <w:sz w:val="22"/>
                <w:szCs w:val="22"/>
                <w:u w:val="single"/>
                <w:lang w:val="en-US" w:eastAsia="zh-CN" w:bidi="ar"/>
              </w:rPr>
              <w:t>[721001]宁晋县文学艺术界联合会本级</w:t>
            </w:r>
          </w:p>
        </w:tc>
        <w:tc>
          <w:tcPr>
            <w:tcW w:w="615" w:type="pct"/>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770" w:type="pct"/>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2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69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538"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38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38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38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经营支出</w:t>
            </w:r>
          </w:p>
        </w:tc>
        <w:tc>
          <w:tcPr>
            <w:tcW w:w="61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上缴上级支出</w:t>
            </w:r>
          </w:p>
        </w:tc>
        <w:tc>
          <w:tcPr>
            <w:tcW w:w="77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53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61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77.63</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文化旅游体育与传媒支出</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60.94</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20701</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文化和旅游</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60.94</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2070101</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60.94</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60.94</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2070102</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一般行政管理事务</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10.08</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10.08</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9.91</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9.91</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行政单位离退休</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5.51</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5.51</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2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130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1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bl>
    <w:p/>
    <w:p/>
    <w:p/>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30"/>
        <w:gridCol w:w="2105"/>
        <w:gridCol w:w="655"/>
        <w:gridCol w:w="4151"/>
        <w:gridCol w:w="655"/>
        <w:gridCol w:w="1790"/>
        <w:gridCol w:w="1947"/>
        <w:gridCol w:w="210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单位预算财政拨款收支总表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539" w:type="pct"/>
            <w:gridSpan w:val="6"/>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w:t>
            </w:r>
            <w:r>
              <w:rPr>
                <w:rFonts w:hint="eastAsia" w:ascii="宋体" w:hAnsi="宋体" w:eastAsia="宋体" w:cs="宋体"/>
                <w:i w:val="0"/>
                <w:iCs w:val="0"/>
                <w:color w:val="000000"/>
                <w:kern w:val="0"/>
                <w:sz w:val="22"/>
                <w:szCs w:val="22"/>
                <w:u w:val="single"/>
                <w:lang w:val="en-US" w:eastAsia="zh-CN" w:bidi="ar"/>
              </w:rPr>
              <w:t>[721001]宁晋县文学艺术界联合会本级</w:t>
            </w:r>
          </w:p>
        </w:tc>
        <w:tc>
          <w:tcPr>
            <w:tcW w:w="700" w:type="pct"/>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760" w:type="pct"/>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98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3845"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政府性基金预算财政拨款</w:t>
            </w: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一、一般公共服务支出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二、外交支出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三、国防支出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四、公共安全支出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五、教育支出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六、科学技术支出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七、文化旅游体育与传媒支出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八、社会保障和就业支出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10.08</w:t>
            </w: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10.08</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九、社会保险基金支出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十、卫生健康支出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十一、节能环保支出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十二、城乡社区支出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十三、农林水支出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十四、交通运输支出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十五、资源勘探工业信息等支出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十六、商业服务业等支出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十七、金融支出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十八、援助其他地区支出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十九、自然资源海洋气象等支出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二十、住房保障支出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二十一、粮油物资储备支出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二十二、国有资本经营预算支出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二十三、灾害防治及应急管理支出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二十四、预备费</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二十五、其他支出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二十六、转移性支出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二十七、灾害防治及应急管理共同财政事权转移支付支出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二十八、债务还本支出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二十九、债务付息支出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三十、债务发行费用支出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三十一、抗疫特别国债安排的支出</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本年收入合计</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本年支出合计</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33</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年初财政拨款结转和结余</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年末财政拨款结转和结余</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37</w:t>
            </w:r>
          </w:p>
        </w:tc>
        <w:tc>
          <w:tcPr>
            <w:tcW w:w="759"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收入总计</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15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支出总计</w:t>
            </w:r>
          </w:p>
        </w:tc>
        <w:tc>
          <w:tcPr>
            <w:tcW w:w="22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643"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6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bl>
    <w:p/>
    <w:p/>
    <w:tbl>
      <w:tblPr>
        <w:tblStyle w:val="5"/>
        <w:tblW w:w="1219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87"/>
        <w:gridCol w:w="1148"/>
        <w:gridCol w:w="3913"/>
        <w:gridCol w:w="869"/>
        <w:gridCol w:w="752"/>
        <w:gridCol w:w="1148"/>
        <w:gridCol w:w="1839"/>
        <w:gridCol w:w="184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2197"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单位预算一般公共预算财政拨款支出表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6"/>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w:t>
            </w:r>
            <w:r>
              <w:rPr>
                <w:rFonts w:hint="eastAsia" w:ascii="宋体" w:hAnsi="宋体" w:eastAsia="宋体" w:cs="宋体"/>
                <w:i w:val="0"/>
                <w:iCs w:val="0"/>
                <w:color w:val="000000"/>
                <w:kern w:val="0"/>
                <w:sz w:val="22"/>
                <w:szCs w:val="22"/>
                <w:u w:val="single"/>
                <w:lang w:val="en-US" w:eastAsia="zh-CN" w:bidi="ar"/>
              </w:rPr>
              <w:t>[721001]宁晋县文学艺术界联合会本级</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126.47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77.63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69.36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52.67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文化和旅游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109.78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52.67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2070101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52.67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2070102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bl>
    <w:p/>
    <w:p/>
    <w:p/>
    <w:p/>
    <w:p/>
    <w:p/>
    <w:tbl>
      <w:tblPr>
        <w:tblStyle w:val="5"/>
        <w:tblW w:w="1020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21"/>
        <w:gridCol w:w="1205"/>
        <w:gridCol w:w="3624"/>
        <w:gridCol w:w="790"/>
        <w:gridCol w:w="1931"/>
        <w:gridCol w:w="193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0202" w:type="dxa"/>
            <w:gridSpan w:val="6"/>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单位预算一般公共预算财政拨款基本支出表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4"/>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w:t>
            </w:r>
            <w:r>
              <w:rPr>
                <w:rFonts w:hint="eastAsia" w:ascii="宋体" w:hAnsi="宋体" w:eastAsia="宋体" w:cs="宋体"/>
                <w:i w:val="0"/>
                <w:iCs w:val="0"/>
                <w:color w:val="000000"/>
                <w:kern w:val="0"/>
                <w:sz w:val="22"/>
                <w:szCs w:val="22"/>
                <w:u w:val="single"/>
                <w:lang w:val="en-US" w:eastAsia="zh-CN" w:bidi="ar"/>
              </w:rPr>
              <w:t>[721001]宁晋县文学艺术界联合会本级</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支出部门经济分类科目</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77.63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69.36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工资福利支出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64.96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64.96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基本工资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津贴补贴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14.63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14.63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奖金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绩效奖金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城镇职工基本医疗保险缴费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其他社会保障缴费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办公费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邮电费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工会经费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福利费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其他交通费用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对个人和家庭的补助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退休费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bl>
    <w:p/>
    <w:p/>
    <w:p/>
    <w:p/>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02"/>
        <w:gridCol w:w="2174"/>
        <w:gridCol w:w="2177"/>
        <w:gridCol w:w="1307"/>
        <w:gridCol w:w="3487"/>
        <w:gridCol w:w="349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5000" w:type="pct"/>
            <w:gridSpan w:val="6"/>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单位预算政府基金预算财政拨款支出表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496"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w:t>
            </w:r>
            <w:r>
              <w:rPr>
                <w:rFonts w:hint="eastAsia" w:ascii="宋体" w:hAnsi="宋体" w:eastAsia="宋体" w:cs="宋体"/>
                <w:i w:val="0"/>
                <w:iCs w:val="0"/>
                <w:color w:val="000000"/>
                <w:kern w:val="0"/>
                <w:sz w:val="22"/>
                <w:szCs w:val="22"/>
                <w:u w:val="single"/>
                <w:lang w:val="en-US" w:eastAsia="zh-CN" w:bidi="ar"/>
              </w:rPr>
              <w:t>[721001]宁晋县文学艺术界联合会本级</w:t>
            </w: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56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46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25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25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7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7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46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5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5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7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7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Calibri" w:hAnsi="Calibri" w:eastAsia="宋体" w:cs="Calibri"/>
                <w:i w:val="0"/>
                <w:iCs w:val="0"/>
                <w:color w:val="000000"/>
                <w:sz w:val="22"/>
                <w:szCs w:val="22"/>
                <w:u w:val="none"/>
              </w:rPr>
            </w:pPr>
          </w:p>
        </w:tc>
        <w:tc>
          <w:tcPr>
            <w:tcW w:w="7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7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000" w:type="pct"/>
            <w:gridSpan w:val="6"/>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无政府基金预算财政拨款预算，空表列示。</w:t>
            </w:r>
          </w:p>
        </w:tc>
      </w:tr>
    </w:tbl>
    <w:p/>
    <w:p/>
    <w:p/>
    <w:p/>
    <w:p/>
    <w:p/>
    <w:p/>
    <w:p/>
    <w:p/>
    <w:p/>
    <w:p/>
    <w:p/>
    <w:p/>
    <w:p/>
    <w:p/>
    <w:p/>
    <w:p/>
    <w:p/>
    <w:p/>
    <w:p/>
    <w:p/>
    <w:p/>
    <w:p/>
    <w:p/>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02"/>
        <w:gridCol w:w="2174"/>
        <w:gridCol w:w="2180"/>
        <w:gridCol w:w="1307"/>
        <w:gridCol w:w="3487"/>
        <w:gridCol w:w="34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5000" w:type="pct"/>
            <w:gridSpan w:val="6"/>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单位预算国有资本经营预算财政拨款支出表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497"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w:t>
            </w:r>
            <w:r>
              <w:rPr>
                <w:rFonts w:hint="eastAsia" w:ascii="宋体" w:hAnsi="宋体" w:eastAsia="宋体" w:cs="宋体"/>
                <w:i w:val="0"/>
                <w:iCs w:val="0"/>
                <w:color w:val="000000"/>
                <w:kern w:val="0"/>
                <w:sz w:val="22"/>
                <w:szCs w:val="22"/>
                <w:u w:val="single"/>
                <w:lang w:val="en-US" w:eastAsia="zh-CN" w:bidi="ar"/>
              </w:rPr>
              <w:t>[721001]宁晋县文学艺术界联合会本级</w:t>
            </w: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56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46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25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25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7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46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5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5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7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Calibri" w:hAnsi="Calibri" w:eastAsia="宋体" w:cs="Calibri"/>
                <w:i w:val="0"/>
                <w:iCs w:val="0"/>
                <w:color w:val="000000"/>
                <w:sz w:val="22"/>
                <w:szCs w:val="22"/>
                <w:u w:val="none"/>
              </w:rPr>
            </w:pPr>
          </w:p>
        </w:tc>
        <w:tc>
          <w:tcPr>
            <w:tcW w:w="780"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5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000" w:type="pct"/>
            <w:gridSpan w:val="6"/>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无国有资本经营预算财政拨款预算，空表列示。</w:t>
            </w:r>
          </w:p>
        </w:tc>
      </w:tr>
    </w:tbl>
    <w:p/>
    <w:p/>
    <w:p/>
    <w:p/>
    <w:p/>
    <w:p/>
    <w:p/>
    <w:p/>
    <w:p/>
    <w:p/>
    <w:p/>
    <w:p/>
    <w:p/>
    <w:p/>
    <w:p/>
    <w:p/>
    <w:p/>
    <w:p/>
    <w:p/>
    <w:p/>
    <w:p/>
    <w:p/>
    <w:p/>
    <w:p/>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67"/>
        <w:gridCol w:w="967"/>
        <w:gridCol w:w="967"/>
        <w:gridCol w:w="3574"/>
        <w:gridCol w:w="3242"/>
        <w:gridCol w:w="422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单位预算财政拨款“三公”经费支出表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323"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w:t>
            </w:r>
            <w:r>
              <w:rPr>
                <w:rFonts w:hint="eastAsia" w:ascii="宋体" w:hAnsi="宋体" w:eastAsia="宋体" w:cs="宋体"/>
                <w:i w:val="0"/>
                <w:iCs w:val="0"/>
                <w:color w:val="000000"/>
                <w:kern w:val="0"/>
                <w:sz w:val="22"/>
                <w:szCs w:val="22"/>
                <w:u w:val="single"/>
                <w:lang w:val="en-US" w:eastAsia="zh-CN" w:bidi="ar"/>
              </w:rPr>
              <w:t>[721001]宁晋县文学艺术界联合会本级</w:t>
            </w:r>
          </w:p>
        </w:tc>
        <w:tc>
          <w:tcPr>
            <w:tcW w:w="11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1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4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34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4305"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资金性质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4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4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2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11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政府性基金财政拨款</w:t>
            </w:r>
          </w:p>
        </w:tc>
        <w:tc>
          <w:tcPr>
            <w:tcW w:w="1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1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47" w:type="pct"/>
            <w:tcBorders>
              <w:top w:val="nil"/>
              <w:left w:val="nil"/>
              <w:bottom w:val="nil"/>
              <w:right w:val="nil"/>
            </w:tcBorders>
            <w:shd w:val="clear" w:color="auto" w:fill="auto"/>
            <w:noWrap/>
            <w:vAlign w:val="top"/>
          </w:tcPr>
          <w:p>
            <w:pPr>
              <w:jc w:val="center"/>
              <w:rPr>
                <w:rFonts w:hint="eastAsia" w:ascii="Calibri" w:hAnsi="Calibri" w:eastAsia="宋体" w:cs="Calibri"/>
                <w:i w:val="0"/>
                <w:iCs w:val="0"/>
                <w:color w:val="000000"/>
                <w:sz w:val="22"/>
                <w:szCs w:val="22"/>
                <w:u w:val="none"/>
              </w:rPr>
            </w:pPr>
          </w:p>
        </w:tc>
        <w:tc>
          <w:tcPr>
            <w:tcW w:w="347" w:type="pct"/>
            <w:tcBorders>
              <w:top w:val="nil"/>
              <w:left w:val="nil"/>
              <w:bottom w:val="nil"/>
              <w:right w:val="nil"/>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47" w:type="pct"/>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0" w:type="pct"/>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163" w:type="pct"/>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513" w:type="pct"/>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000" w:type="pct"/>
            <w:gridSpan w:val="6"/>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无“三公”经费预算财政财政拨款预算，空表列示。</w:t>
            </w:r>
          </w:p>
        </w:tc>
      </w:tr>
    </w:tbl>
    <w:p/>
    <w:p/>
    <w:p/>
    <w:p/>
    <w:p/>
    <w:p/>
    <w:p/>
    <w:p/>
    <w:p/>
    <w:p/>
    <w:p/>
    <w:p/>
    <w:p/>
    <w:p/>
    <w:p/>
    <w:p/>
    <w:p/>
    <w:p/>
    <w:p/>
    <w:p/>
    <w:p>
      <w:pPr>
        <w:spacing w:line="560" w:lineRule="exact"/>
        <w:jc w:val="center"/>
        <w:rPr>
          <w:rFonts w:hint="eastAsia" w:asciiTheme="minorEastAsia" w:hAnsiTheme="minorEastAsia" w:eastAsiaTheme="minorEastAsia" w:cstheme="minorEastAsia"/>
          <w:b w:val="0"/>
          <w:bCs/>
          <w:sz w:val="44"/>
          <w:szCs w:val="44"/>
          <w:lang w:eastAsia="zh-CN"/>
        </w:rPr>
      </w:pPr>
    </w:p>
    <w:p>
      <w:pPr>
        <w:spacing w:line="560" w:lineRule="exact"/>
        <w:jc w:val="center"/>
        <w:rPr>
          <w:rFonts w:hint="eastAsia" w:asciiTheme="minorEastAsia" w:hAnsiTheme="minorEastAsia" w:eastAsiaTheme="minorEastAsia" w:cstheme="minorEastAsia"/>
          <w:b w:val="0"/>
          <w:bCs/>
          <w:sz w:val="44"/>
          <w:szCs w:val="44"/>
          <w:lang w:eastAsia="zh-CN"/>
        </w:rPr>
      </w:pPr>
    </w:p>
    <w:p>
      <w:pPr>
        <w:spacing w:line="560" w:lineRule="exact"/>
        <w:jc w:val="center"/>
        <w:rPr>
          <w:rFonts w:hint="eastAsia" w:asciiTheme="minorEastAsia" w:hAnsiTheme="minorEastAsia" w:eastAsiaTheme="minorEastAsia" w:cstheme="minorEastAsia"/>
          <w:b w:val="0"/>
          <w:bCs/>
          <w:sz w:val="44"/>
          <w:szCs w:val="44"/>
          <w:lang w:eastAsia="zh-CN"/>
        </w:rPr>
      </w:pPr>
      <w:r>
        <w:rPr>
          <w:rFonts w:hint="eastAsia" w:asciiTheme="minorEastAsia" w:hAnsiTheme="minorEastAsia" w:eastAsiaTheme="minorEastAsia" w:cstheme="minorEastAsia"/>
          <w:b w:val="0"/>
          <w:bCs/>
          <w:sz w:val="44"/>
          <w:szCs w:val="44"/>
          <w:lang w:eastAsia="zh-CN"/>
        </w:rPr>
        <w:t>河北省宁晋县文学艺术界联合会</w:t>
      </w:r>
      <w:r>
        <w:rPr>
          <w:rFonts w:hint="eastAsia" w:asciiTheme="minorEastAsia" w:hAnsiTheme="minorEastAsia" w:cstheme="minorEastAsia"/>
          <w:b w:val="0"/>
          <w:bCs/>
          <w:sz w:val="44"/>
          <w:szCs w:val="44"/>
          <w:lang w:eastAsia="zh-CN"/>
        </w:rPr>
        <w:t>本级</w:t>
      </w:r>
    </w:p>
    <w:p>
      <w:pPr>
        <w:spacing w:line="560" w:lineRule="exact"/>
        <w:jc w:val="center"/>
        <w:rPr>
          <w:rFonts w:hint="eastAsia" w:asciiTheme="minorEastAsia" w:hAnsiTheme="minorEastAsia" w:eastAsiaTheme="minorEastAsia" w:cstheme="minorEastAsia"/>
          <w:b w:val="0"/>
          <w:bCs/>
          <w:sz w:val="44"/>
          <w:szCs w:val="44"/>
        </w:rPr>
      </w:pPr>
      <w:r>
        <w:rPr>
          <w:rFonts w:hint="eastAsia" w:asciiTheme="minorEastAsia" w:hAnsiTheme="minorEastAsia" w:eastAsiaTheme="minorEastAsia" w:cstheme="minorEastAsia"/>
          <w:b w:val="0"/>
          <w:bCs/>
          <w:sz w:val="44"/>
          <w:szCs w:val="44"/>
        </w:rPr>
        <w:t>20</w:t>
      </w:r>
      <w:r>
        <w:rPr>
          <w:rFonts w:hint="eastAsia" w:asciiTheme="minorEastAsia" w:hAnsiTheme="minorEastAsia" w:eastAsiaTheme="minorEastAsia" w:cstheme="minorEastAsia"/>
          <w:b w:val="0"/>
          <w:bCs/>
          <w:sz w:val="44"/>
          <w:szCs w:val="44"/>
          <w:lang w:val="en-US" w:eastAsia="zh-CN"/>
        </w:rPr>
        <w:t>22</w:t>
      </w:r>
      <w:r>
        <w:rPr>
          <w:rFonts w:hint="eastAsia" w:asciiTheme="minorEastAsia" w:hAnsiTheme="minorEastAsia" w:eastAsiaTheme="minorEastAsia" w:cstheme="minorEastAsia"/>
          <w:b w:val="0"/>
          <w:bCs/>
          <w:sz w:val="44"/>
          <w:szCs w:val="44"/>
        </w:rPr>
        <w:t>年</w:t>
      </w:r>
      <w:r>
        <w:rPr>
          <w:rFonts w:hint="eastAsia" w:asciiTheme="minorEastAsia" w:hAnsiTheme="minorEastAsia" w:eastAsiaTheme="minorEastAsia" w:cstheme="minorEastAsia"/>
          <w:b w:val="0"/>
          <w:bCs/>
          <w:sz w:val="44"/>
          <w:szCs w:val="44"/>
          <w:lang w:eastAsia="zh-CN"/>
        </w:rPr>
        <w:t>单位</w:t>
      </w:r>
      <w:r>
        <w:rPr>
          <w:rFonts w:hint="eastAsia" w:asciiTheme="minorEastAsia" w:hAnsiTheme="minorEastAsia" w:eastAsiaTheme="minorEastAsia" w:cstheme="minorEastAsia"/>
          <w:b w:val="0"/>
          <w:bCs/>
          <w:sz w:val="44"/>
          <w:szCs w:val="44"/>
        </w:rPr>
        <w:t>预算</w:t>
      </w:r>
      <w:r>
        <w:rPr>
          <w:rFonts w:hint="eastAsia" w:asciiTheme="minorEastAsia" w:hAnsiTheme="minorEastAsia" w:eastAsiaTheme="minorEastAsia" w:cstheme="minorEastAsia"/>
          <w:b w:val="0"/>
          <w:bCs/>
          <w:sz w:val="44"/>
          <w:szCs w:val="44"/>
          <w:lang w:eastAsia="zh-CN"/>
        </w:rPr>
        <w:t>信息公开</w:t>
      </w:r>
      <w:r>
        <w:rPr>
          <w:rFonts w:hint="eastAsia" w:asciiTheme="minorEastAsia" w:hAnsiTheme="minorEastAsia" w:eastAsiaTheme="minorEastAsia" w:cstheme="minorEastAsia"/>
          <w:b w:val="0"/>
          <w:bCs/>
          <w:sz w:val="44"/>
          <w:szCs w:val="44"/>
        </w:rPr>
        <w:t>情况说明</w:t>
      </w:r>
    </w:p>
    <w:p>
      <w:pPr>
        <w:widowControl/>
        <w:spacing w:line="600" w:lineRule="atLeast"/>
        <w:ind w:firstLine="640"/>
        <w:jc w:val="left"/>
        <w:rPr>
          <w:rFonts w:hint="eastAsia" w:ascii="宋体" w:eastAsia="宋体" w:cs="宋体"/>
          <w:color w:val="000000"/>
          <w:kern w:val="0"/>
          <w:sz w:val="32"/>
          <w:szCs w:val="32"/>
          <w:lang w:val="en-US" w:eastAsia="zh-CN"/>
        </w:rPr>
      </w:pPr>
    </w:p>
    <w:p>
      <w:pPr>
        <w:widowControl/>
        <w:spacing w:line="600" w:lineRule="exact"/>
        <w:ind w:firstLine="640"/>
        <w:jc w:val="left"/>
        <w:rPr>
          <w:rFonts w:hint="eastAsia" w:ascii="仿宋" w:hAnsi="仿宋" w:eastAsia="仿宋" w:cs="仿宋"/>
          <w:sz w:val="32"/>
          <w:szCs w:val="32"/>
        </w:rPr>
      </w:pPr>
      <w:r>
        <w:rPr>
          <w:rFonts w:ascii="仿宋" w:hAnsi="仿宋" w:eastAsia="仿宋" w:cs="宋体"/>
          <w:color w:val="000000"/>
          <w:kern w:val="0"/>
          <w:sz w:val="32"/>
          <w:szCs w:val="32"/>
        </w:rPr>
        <w:t xml:space="preserve"> </w:t>
      </w:r>
      <w:r>
        <w:rPr>
          <w:rFonts w:hint="eastAsia" w:ascii="仿宋" w:hAnsi="仿宋" w:eastAsia="仿宋" w:cs="仿宋"/>
          <w:color w:val="000000"/>
          <w:kern w:val="0"/>
          <w:sz w:val="32"/>
          <w:szCs w:val="32"/>
        </w:rPr>
        <w:t>按照</w:t>
      </w:r>
      <w:r>
        <w:rPr>
          <w:rFonts w:hint="eastAsia" w:ascii="仿宋" w:hAnsi="仿宋" w:eastAsia="仿宋" w:cs="仿宋"/>
          <w:color w:val="000000"/>
          <w:kern w:val="0"/>
          <w:sz w:val="32"/>
          <w:szCs w:val="32"/>
          <w:lang w:eastAsia="zh-CN"/>
        </w:rPr>
        <w:t>《中华人民共和国预算法》</w:t>
      </w:r>
      <w:r>
        <w:rPr>
          <w:rFonts w:hint="eastAsia" w:ascii="仿宋" w:hAnsi="仿宋" w:eastAsia="仿宋" w:cs="仿宋"/>
          <w:color w:val="000000"/>
          <w:kern w:val="0"/>
          <w:sz w:val="32"/>
          <w:szCs w:val="32"/>
        </w:rPr>
        <w:t>、《地方预决算公开操作规程》和《河北省省级预算公开办法》规定，现</w:t>
      </w:r>
      <w:r>
        <w:rPr>
          <w:rFonts w:hint="eastAsia" w:ascii="仿宋" w:hAnsi="仿宋" w:eastAsia="仿宋" w:cs="仿宋"/>
          <w:color w:val="000000"/>
          <w:kern w:val="0"/>
          <w:sz w:val="32"/>
          <w:szCs w:val="32"/>
          <w:lang w:eastAsia="zh-CN"/>
        </w:rPr>
        <w:t>将</w:t>
      </w:r>
      <w:r>
        <w:rPr>
          <w:rFonts w:hint="eastAsia" w:ascii="仿宋" w:hAnsi="仿宋" w:eastAsia="仿宋" w:cs="仿宋"/>
          <w:kern w:val="0"/>
          <w:sz w:val="32"/>
          <w:szCs w:val="32"/>
          <w:lang w:eastAsia="zh-CN"/>
        </w:rPr>
        <w:t>河北省宁晋县文学艺术界联合会本级</w:t>
      </w:r>
      <w:r>
        <w:rPr>
          <w:rFonts w:hint="eastAsia" w:ascii="仿宋" w:hAnsi="仿宋" w:eastAsia="仿宋" w:cs="仿宋"/>
          <w:kern w:val="0"/>
          <w:sz w:val="32"/>
          <w:szCs w:val="32"/>
        </w:rPr>
        <w:t>20</w:t>
      </w:r>
      <w:r>
        <w:rPr>
          <w:rFonts w:hint="eastAsia" w:ascii="仿宋" w:hAnsi="仿宋" w:eastAsia="仿宋" w:cs="仿宋"/>
          <w:kern w:val="0"/>
          <w:sz w:val="32"/>
          <w:szCs w:val="32"/>
          <w:lang w:val="en-US" w:eastAsia="zh-CN"/>
        </w:rPr>
        <w:t>22</w:t>
      </w:r>
      <w:r>
        <w:rPr>
          <w:rFonts w:hint="eastAsia" w:ascii="仿宋" w:hAnsi="仿宋" w:eastAsia="仿宋" w:cs="仿宋"/>
          <w:color w:val="000000"/>
          <w:kern w:val="0"/>
          <w:sz w:val="32"/>
          <w:szCs w:val="32"/>
        </w:rPr>
        <w:t>年</w:t>
      </w:r>
      <w:r>
        <w:rPr>
          <w:rFonts w:hint="eastAsia" w:ascii="仿宋" w:hAnsi="仿宋" w:eastAsia="仿宋" w:cs="仿宋"/>
          <w:color w:val="000000"/>
          <w:kern w:val="0"/>
          <w:sz w:val="32"/>
          <w:szCs w:val="32"/>
          <w:lang w:eastAsia="zh-CN"/>
        </w:rPr>
        <w:t>单位</w:t>
      </w:r>
      <w:r>
        <w:rPr>
          <w:rFonts w:hint="eastAsia" w:ascii="仿宋" w:hAnsi="仿宋" w:eastAsia="仿宋" w:cs="仿宋"/>
          <w:color w:val="000000"/>
          <w:kern w:val="0"/>
          <w:sz w:val="32"/>
          <w:szCs w:val="32"/>
        </w:rPr>
        <w:t>预算公开如下：</w:t>
      </w:r>
    </w:p>
    <w:p>
      <w:pPr>
        <w:widowControl/>
        <w:spacing w:line="600" w:lineRule="exact"/>
        <w:ind w:firstLine="640"/>
        <w:jc w:val="left"/>
        <w:rPr>
          <w:rFonts w:hint="eastAsia" w:ascii="宋体" w:hAnsi="宋体" w:eastAsia="宋体" w:cs="宋体"/>
          <w:b/>
          <w:bCs w:val="0"/>
          <w:sz w:val="32"/>
          <w:szCs w:val="32"/>
        </w:rPr>
      </w:pPr>
      <w:r>
        <w:rPr>
          <w:rFonts w:hint="eastAsia" w:ascii="宋体" w:hAnsi="宋体" w:eastAsia="宋体" w:cs="宋体"/>
          <w:b/>
          <w:bCs w:val="0"/>
          <w:kern w:val="0"/>
          <w:sz w:val="32"/>
          <w:szCs w:val="32"/>
        </w:rPr>
        <w:t>一、</w:t>
      </w:r>
      <w:r>
        <w:rPr>
          <w:rFonts w:hint="eastAsia" w:ascii="宋体" w:hAnsi="宋体" w:cs="宋体"/>
          <w:b/>
          <w:bCs w:val="0"/>
          <w:kern w:val="0"/>
          <w:sz w:val="32"/>
          <w:szCs w:val="32"/>
          <w:lang w:eastAsia="zh-CN"/>
        </w:rPr>
        <w:t>单位</w:t>
      </w:r>
      <w:r>
        <w:rPr>
          <w:rFonts w:hint="eastAsia" w:ascii="宋体" w:hAnsi="宋体" w:eastAsia="宋体" w:cs="宋体"/>
          <w:b/>
          <w:bCs w:val="0"/>
          <w:kern w:val="0"/>
          <w:sz w:val="32"/>
          <w:szCs w:val="32"/>
        </w:rPr>
        <w:t>职责、机构设置等基本情况</w:t>
      </w:r>
    </w:p>
    <w:p>
      <w:pPr>
        <w:widowControl/>
        <w:spacing w:line="600" w:lineRule="exact"/>
        <w:ind w:firstLine="640"/>
        <w:jc w:val="left"/>
        <w:rPr>
          <w:rFonts w:hint="eastAsia" w:ascii="宋体" w:hAnsi="宋体" w:eastAsia="宋体" w:cs="宋体"/>
          <w:b/>
          <w:bCs w:val="0"/>
          <w:kern w:val="0"/>
          <w:sz w:val="32"/>
          <w:szCs w:val="32"/>
        </w:rPr>
      </w:pPr>
      <w:r>
        <w:rPr>
          <w:rFonts w:hint="eastAsia" w:ascii="宋体" w:hAnsi="宋体" w:eastAsia="宋体" w:cs="宋体"/>
          <w:b/>
          <w:bCs w:val="0"/>
          <w:sz w:val="32"/>
          <w:szCs w:val="32"/>
        </w:rPr>
        <w:t xml:space="preserve"> </w:t>
      </w:r>
      <w:r>
        <w:rPr>
          <w:rFonts w:hint="eastAsia" w:ascii="宋体" w:hAnsi="宋体" w:cs="宋体"/>
          <w:b/>
          <w:bCs w:val="0"/>
          <w:kern w:val="0"/>
          <w:sz w:val="32"/>
          <w:szCs w:val="32"/>
          <w:lang w:eastAsia="zh-CN"/>
        </w:rPr>
        <w:t>单位</w:t>
      </w:r>
      <w:r>
        <w:rPr>
          <w:rFonts w:hint="eastAsia" w:ascii="宋体" w:hAnsi="宋体" w:eastAsia="宋体" w:cs="宋体"/>
          <w:b/>
          <w:bCs w:val="0"/>
          <w:kern w:val="0"/>
          <w:sz w:val="32"/>
          <w:szCs w:val="32"/>
        </w:rPr>
        <w:t>职责</w:t>
      </w:r>
    </w:p>
    <w:p>
      <w:pPr>
        <w:widowControl/>
        <w:spacing w:line="600" w:lineRule="exact"/>
        <w:ind w:firstLine="640"/>
        <w:jc w:val="left"/>
        <w:rPr>
          <w:rFonts w:hint="eastAsia" w:ascii="仿宋" w:hAnsi="仿宋" w:eastAsia="仿宋" w:cs="仿宋"/>
          <w:kern w:val="0"/>
          <w:sz w:val="32"/>
          <w:szCs w:val="32"/>
        </w:rPr>
      </w:pPr>
      <w:r>
        <w:rPr>
          <w:rFonts w:hint="eastAsia" w:ascii="仿宋" w:hAnsi="仿宋" w:eastAsia="仿宋" w:cs="仿宋"/>
          <w:kern w:val="0"/>
          <w:sz w:val="32"/>
          <w:szCs w:val="32"/>
        </w:rPr>
        <w:t>根据《</w:t>
      </w:r>
      <w:r>
        <w:rPr>
          <w:rFonts w:hint="eastAsia" w:ascii="仿宋" w:hAnsi="仿宋" w:eastAsia="仿宋" w:cs="仿宋"/>
          <w:kern w:val="0"/>
          <w:sz w:val="32"/>
          <w:szCs w:val="32"/>
          <w:lang w:eastAsia="zh-CN"/>
        </w:rPr>
        <w:t>河北省宁晋县文学艺术界联合会</w:t>
      </w:r>
      <w:r>
        <w:rPr>
          <w:rFonts w:hint="eastAsia" w:ascii="仿宋" w:hAnsi="仿宋" w:eastAsia="仿宋" w:cs="仿宋"/>
          <w:kern w:val="0"/>
          <w:sz w:val="32"/>
          <w:szCs w:val="32"/>
        </w:rPr>
        <w:t>主要职责内设机构和人员编制方案》规定，</w:t>
      </w:r>
      <w:r>
        <w:rPr>
          <w:rFonts w:hint="eastAsia" w:ascii="仿宋" w:hAnsi="仿宋" w:eastAsia="仿宋" w:cs="仿宋"/>
          <w:kern w:val="0"/>
          <w:sz w:val="32"/>
          <w:szCs w:val="32"/>
          <w:lang w:eastAsia="zh-CN"/>
        </w:rPr>
        <w:t>河北省宁晋县文学艺术界联合会</w:t>
      </w:r>
      <w:r>
        <w:rPr>
          <w:rFonts w:hint="eastAsia" w:ascii="仿宋" w:hAnsi="仿宋" w:eastAsia="仿宋" w:cs="仿宋"/>
          <w:kern w:val="0"/>
          <w:sz w:val="32"/>
          <w:szCs w:val="32"/>
        </w:rPr>
        <w:t>主要职责是：</w:t>
      </w:r>
    </w:p>
    <w:p>
      <w:pPr>
        <w:pStyle w:val="12"/>
        <w:widowControl/>
        <w:spacing w:beforeLines="0" w:afterLines="0"/>
        <w:rPr>
          <w:rFonts w:hint="eastAsia" w:ascii="仿宋" w:hAnsi="仿宋" w:eastAsia="仿宋" w:cs="仿宋"/>
          <w:kern w:val="0"/>
          <w:sz w:val="32"/>
          <w:szCs w:val="32"/>
          <w:lang w:val="en-US" w:eastAsia="zh-CN" w:bidi="ar-SA"/>
        </w:rPr>
      </w:pPr>
      <w:r>
        <w:rPr>
          <w:rFonts w:hint="eastAsia" w:ascii="仿宋" w:hAnsi="仿宋" w:eastAsia="仿宋" w:cs="仿宋"/>
          <w:sz w:val="32"/>
          <w:szCs w:val="32"/>
        </w:rPr>
        <w:t xml:space="preserve">    （</w:t>
      </w:r>
      <w:r>
        <w:rPr>
          <w:rFonts w:hint="eastAsia" w:ascii="仿宋" w:hAnsi="仿宋" w:eastAsia="仿宋" w:cs="仿宋"/>
          <w:kern w:val="0"/>
          <w:sz w:val="32"/>
          <w:szCs w:val="32"/>
          <w:lang w:val="en-US" w:eastAsia="zh-CN" w:bidi="ar-SA"/>
        </w:rPr>
        <w:t>一）贯彻落实党的文艺工作方针，为全县文艺家协会做好联络、协调、服务和指导工作，团结全县艺术家、文艺工作者，听取和反映文艺界的情况和意见。</w:t>
      </w:r>
    </w:p>
    <w:p>
      <w:pPr>
        <w:pStyle w:val="12"/>
        <w:widowControl/>
        <w:spacing w:beforeLines="0" w:afterLines="0"/>
        <w:ind w:firstLine="640" w:firstLineChars="200"/>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（二）组织召开全县文艺家协会代表大会。</w:t>
      </w:r>
    </w:p>
    <w:p>
      <w:pPr>
        <w:pStyle w:val="12"/>
        <w:widowControl/>
        <w:spacing w:beforeLines="0" w:afterLines="0"/>
        <w:ind w:firstLine="640" w:firstLineChars="200"/>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（三）宣传、动员、组织广大文艺工作者致力于发展繁荣宁晋文艺事业，组织艺术家深入生活、创作优秀作品。</w:t>
      </w:r>
    </w:p>
    <w:p>
      <w:pPr>
        <w:pStyle w:val="12"/>
        <w:widowControl/>
        <w:spacing w:beforeLines="0" w:afterLines="0"/>
        <w:ind w:firstLine="640" w:firstLineChars="200"/>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（四）组织文艺研讨和学术交流工作，与有关单位共同组织相关艺术活动的评奖工作。</w:t>
      </w:r>
    </w:p>
    <w:p>
      <w:pPr>
        <w:pStyle w:val="12"/>
        <w:widowControl/>
        <w:spacing w:beforeLines="0" w:afterLines="0"/>
        <w:ind w:firstLine="640" w:firstLineChars="200"/>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（五）协同有关单位，组织对外艺术界的文化交流活动。</w:t>
      </w:r>
    </w:p>
    <w:p>
      <w:pPr>
        <w:pStyle w:val="12"/>
        <w:widowControl/>
        <w:spacing w:beforeLines="0" w:afterLines="0"/>
        <w:ind w:firstLine="640" w:firstLineChars="200"/>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（六）维护团体会员和文艺家的知识产权等合法权益。</w:t>
      </w:r>
    </w:p>
    <w:p>
      <w:pPr>
        <w:pStyle w:val="12"/>
        <w:widowControl/>
        <w:spacing w:beforeLines="0" w:afterLines="0"/>
        <w:ind w:firstLine="640" w:firstLineChars="200"/>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（七）承担上级作家协会安排部署相应工作。</w:t>
      </w:r>
    </w:p>
    <w:p>
      <w:pPr>
        <w:pStyle w:val="12"/>
        <w:widowControl/>
        <w:spacing w:beforeLines="0" w:afterLines="0"/>
        <w:ind w:firstLine="640" w:firstLineChars="200"/>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（八）完成县委交办的其他任务。</w:t>
      </w:r>
    </w:p>
    <w:p>
      <w:pPr>
        <w:spacing w:line="600" w:lineRule="exact"/>
        <w:ind w:firstLine="640" w:firstLineChars="200"/>
        <w:rPr>
          <w:rFonts w:hint="eastAsia" w:ascii="宋体" w:hAnsi="宋体" w:cs="宋体"/>
          <w:sz w:val="32"/>
          <w:szCs w:val="32"/>
          <w:lang w:eastAsia="zh-CN"/>
        </w:rPr>
      </w:pPr>
      <w:r>
        <w:rPr>
          <w:rFonts w:hint="eastAsia" w:ascii="宋体" w:hAnsi="宋体" w:eastAsia="宋体" w:cs="宋体"/>
          <w:sz w:val="32"/>
          <w:szCs w:val="32"/>
        </w:rPr>
        <w:t xml:space="preserve"> </w:t>
      </w:r>
      <w:r>
        <w:rPr>
          <w:rFonts w:hint="eastAsia" w:ascii="宋体" w:hAnsi="宋体" w:cs="宋体"/>
          <w:b/>
          <w:bCs/>
          <w:sz w:val="32"/>
          <w:szCs w:val="32"/>
          <w:lang w:eastAsia="zh-CN"/>
        </w:rPr>
        <w:t>机构设置</w:t>
      </w:r>
    </w:p>
    <w:p>
      <w:pPr>
        <w:spacing w:line="60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根据主要职责，</w:t>
      </w:r>
      <w:r>
        <w:rPr>
          <w:rFonts w:hint="eastAsia" w:ascii="仿宋" w:hAnsi="仿宋" w:eastAsia="仿宋" w:cs="仿宋"/>
          <w:kern w:val="0"/>
          <w:sz w:val="32"/>
          <w:szCs w:val="32"/>
          <w:lang w:eastAsia="zh-CN"/>
        </w:rPr>
        <w:t>河北省宁晋县文学艺术界联合会</w:t>
      </w:r>
      <w:r>
        <w:rPr>
          <w:rFonts w:hint="eastAsia" w:ascii="仿宋" w:hAnsi="仿宋" w:eastAsia="仿宋" w:cs="仿宋"/>
          <w:kern w:val="0"/>
          <w:sz w:val="32"/>
          <w:szCs w:val="32"/>
        </w:rPr>
        <w:t>设</w:t>
      </w:r>
      <w:r>
        <w:rPr>
          <w:rFonts w:hint="eastAsia" w:ascii="仿宋" w:hAnsi="仿宋" w:eastAsia="仿宋" w:cs="仿宋"/>
          <w:kern w:val="0"/>
          <w:sz w:val="32"/>
          <w:szCs w:val="32"/>
          <w:lang w:val="en-US" w:eastAsia="zh-CN"/>
        </w:rPr>
        <w:t>2</w:t>
      </w:r>
      <w:r>
        <w:rPr>
          <w:rFonts w:hint="eastAsia" w:ascii="仿宋" w:hAnsi="仿宋" w:eastAsia="仿宋" w:cs="仿宋"/>
          <w:kern w:val="0"/>
          <w:sz w:val="32"/>
          <w:szCs w:val="32"/>
        </w:rPr>
        <w:t>个内设机构：</w:t>
      </w:r>
    </w:p>
    <w:p>
      <w:pPr>
        <w:spacing w:line="600" w:lineRule="exact"/>
        <w:rPr>
          <w:rFonts w:hint="eastAsia" w:ascii="仿宋" w:hAnsi="仿宋" w:eastAsia="仿宋" w:cs="仿宋"/>
          <w:kern w:val="0"/>
          <w:sz w:val="32"/>
          <w:szCs w:val="32"/>
        </w:rPr>
      </w:pPr>
      <w:r>
        <w:rPr>
          <w:rFonts w:hint="eastAsia" w:ascii="仿宋" w:hAnsi="仿宋" w:eastAsia="仿宋" w:cs="仿宋"/>
          <w:kern w:val="0"/>
          <w:sz w:val="32"/>
          <w:szCs w:val="32"/>
        </w:rPr>
        <w:t xml:space="preserve">    （一）办公室</w:t>
      </w:r>
    </w:p>
    <w:p>
      <w:pPr>
        <w:spacing w:line="600" w:lineRule="exact"/>
        <w:ind w:firstLine="640" w:firstLineChars="200"/>
        <w:rPr>
          <w:rFonts w:hint="eastAsia" w:ascii="仿宋" w:hAnsi="仿宋" w:eastAsia="仿宋" w:cs="仿宋"/>
          <w:kern w:val="0"/>
          <w:sz w:val="32"/>
          <w:szCs w:val="32"/>
          <w:lang w:eastAsia="zh-CN"/>
        </w:rPr>
      </w:pPr>
      <w:r>
        <w:rPr>
          <w:rFonts w:hint="eastAsia" w:ascii="仿宋" w:hAnsi="仿宋" w:eastAsia="仿宋" w:cs="仿宋"/>
          <w:kern w:val="0"/>
          <w:sz w:val="32"/>
          <w:szCs w:val="32"/>
          <w:lang w:eastAsia="zh-CN"/>
        </w:rPr>
        <w:t>负责起草工作计划、工作总结和其它综合性公文；负责文书档案的收发、登记、归档和文件印发；承办党组及主席办公会议的记录，整理、督促、检查相关会议决定事项办理结果；负责印章管理；负责财务工作。</w:t>
      </w:r>
    </w:p>
    <w:p>
      <w:pPr>
        <w:numPr>
          <w:ilvl w:val="0"/>
          <w:numId w:val="0"/>
        </w:numPr>
        <w:spacing w:line="60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lang w:eastAsia="zh-CN"/>
        </w:rPr>
        <w:t>（二）组联部</w:t>
      </w:r>
    </w:p>
    <w:p>
      <w:pPr>
        <w:spacing w:line="600" w:lineRule="exact"/>
        <w:rPr>
          <w:rFonts w:hint="eastAsia" w:ascii="仿宋" w:hAnsi="仿宋" w:eastAsia="仿宋" w:cs="仿宋"/>
          <w:kern w:val="0"/>
          <w:sz w:val="32"/>
          <w:szCs w:val="32"/>
          <w:lang w:val="en-US" w:eastAsia="zh-CN"/>
        </w:rPr>
      </w:pPr>
      <w:r>
        <w:rPr>
          <w:rFonts w:hint="eastAsia" w:ascii="仿宋" w:hAnsi="仿宋" w:eastAsia="仿宋" w:cs="仿宋"/>
          <w:kern w:val="0"/>
          <w:sz w:val="32"/>
          <w:szCs w:val="32"/>
        </w:rPr>
        <w:t xml:space="preserve">    负责</w:t>
      </w:r>
      <w:r>
        <w:rPr>
          <w:rFonts w:hint="eastAsia" w:ascii="仿宋" w:hAnsi="仿宋" w:eastAsia="仿宋" w:cs="仿宋"/>
          <w:kern w:val="0"/>
          <w:sz w:val="32"/>
          <w:szCs w:val="32"/>
          <w:lang w:eastAsia="zh-CN"/>
        </w:rPr>
        <w:t>向上级文联、作协单位上报、反馈信息，请示工作等；负责拟定各文艺家协会年度工作计划，汇总各文艺家协会年度工作总结，指导各协会做好会员的发展、会籍管理和艺术档案的建立等工作；组织落实有关文艺创作活动，联络各文艺家协会开展文艺研讨、学术交流和文艺创作活动；负责文艺人才的发现培养工作。</w:t>
      </w:r>
      <w:r>
        <w:rPr>
          <w:rFonts w:hint="eastAsia" w:ascii="仿宋" w:hAnsi="仿宋" w:eastAsia="仿宋" w:cs="仿宋"/>
          <w:kern w:val="0"/>
          <w:sz w:val="32"/>
          <w:szCs w:val="32"/>
          <w:lang w:val="en-US" w:eastAsia="zh-CN"/>
        </w:rPr>
        <w:t xml:space="preserve"> </w:t>
      </w:r>
    </w:p>
    <w:p>
      <w:pPr>
        <w:spacing w:line="600" w:lineRule="exact"/>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    纪检（监察）机构和党群组织按有关规定设置，人员在机关总编制内核定。</w:t>
      </w:r>
    </w:p>
    <w:p>
      <w:pPr>
        <w:spacing w:line="600" w:lineRule="exact"/>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eastAsia="zh-CN"/>
        </w:rPr>
        <w:t>单位</w:t>
      </w:r>
      <w:r>
        <w:rPr>
          <w:rFonts w:hint="eastAsia" w:ascii="仿宋" w:hAnsi="仿宋" w:eastAsia="仿宋" w:cs="仿宋"/>
          <w:sz w:val="32"/>
          <w:szCs w:val="32"/>
        </w:rPr>
        <w:t>预算单位构成</w:t>
      </w:r>
    </w:p>
    <w:p>
      <w:pPr>
        <w:spacing w:line="60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从预算单位构成看，</w:t>
      </w:r>
      <w:r>
        <w:rPr>
          <w:rFonts w:hint="eastAsia" w:ascii="仿宋" w:hAnsi="仿宋" w:eastAsia="仿宋" w:cs="仿宋"/>
          <w:kern w:val="0"/>
          <w:sz w:val="32"/>
          <w:szCs w:val="32"/>
          <w:lang w:eastAsia="zh-CN"/>
        </w:rPr>
        <w:t>河北省宁晋县文学艺术界联合会本级</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2</w:t>
      </w:r>
      <w:r>
        <w:rPr>
          <w:rFonts w:hint="eastAsia" w:ascii="仿宋" w:hAnsi="仿宋" w:eastAsia="仿宋" w:cs="仿宋"/>
          <w:sz w:val="32"/>
          <w:szCs w:val="32"/>
        </w:rPr>
        <w:t>年度</w:t>
      </w:r>
      <w:r>
        <w:rPr>
          <w:rFonts w:hint="eastAsia" w:ascii="仿宋" w:hAnsi="仿宋" w:eastAsia="仿宋" w:cs="仿宋"/>
          <w:sz w:val="32"/>
          <w:szCs w:val="32"/>
          <w:lang w:eastAsia="zh-CN"/>
        </w:rPr>
        <w:t>单位</w:t>
      </w:r>
      <w:r>
        <w:rPr>
          <w:rFonts w:hint="eastAsia" w:ascii="仿宋" w:hAnsi="仿宋" w:eastAsia="仿宋" w:cs="仿宋"/>
          <w:sz w:val="32"/>
          <w:szCs w:val="32"/>
        </w:rPr>
        <w:t>预算包括本级预算</w:t>
      </w:r>
      <w:r>
        <w:rPr>
          <w:rFonts w:hint="eastAsia" w:ascii="仿宋" w:hAnsi="仿宋" w:eastAsia="仿宋" w:cs="仿宋"/>
          <w:sz w:val="32"/>
          <w:szCs w:val="32"/>
          <w:lang w:eastAsia="zh-CN"/>
        </w:rPr>
        <w:t>。</w:t>
      </w:r>
    </w:p>
    <w:p>
      <w:pPr>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纳入</w:t>
      </w:r>
      <w:r>
        <w:rPr>
          <w:rFonts w:hint="eastAsia" w:ascii="仿宋" w:hAnsi="仿宋" w:eastAsia="仿宋" w:cs="仿宋"/>
          <w:kern w:val="0"/>
          <w:sz w:val="32"/>
          <w:szCs w:val="32"/>
          <w:lang w:eastAsia="zh-CN"/>
        </w:rPr>
        <w:t>河北省宁晋县文学艺术界联合会本级</w:t>
      </w:r>
      <w:r>
        <w:rPr>
          <w:rFonts w:hint="eastAsia" w:ascii="仿宋" w:hAnsi="仿宋" w:eastAsia="仿宋" w:cs="仿宋"/>
          <w:color w:val="000000"/>
          <w:sz w:val="32"/>
          <w:szCs w:val="32"/>
          <w:lang w:eastAsia="zh-CN"/>
        </w:rPr>
        <w:t>202</w:t>
      </w:r>
      <w:r>
        <w:rPr>
          <w:rFonts w:hint="eastAsia" w:ascii="仿宋" w:hAnsi="仿宋" w:eastAsia="仿宋" w:cs="仿宋"/>
          <w:color w:val="000000"/>
          <w:sz w:val="32"/>
          <w:szCs w:val="32"/>
          <w:lang w:val="en-US" w:eastAsia="zh-CN"/>
        </w:rPr>
        <w:t>2</w:t>
      </w:r>
      <w:r>
        <w:rPr>
          <w:rFonts w:hint="eastAsia" w:ascii="仿宋" w:hAnsi="仿宋" w:eastAsia="仿宋" w:cs="仿宋"/>
          <w:color w:val="000000"/>
          <w:sz w:val="32"/>
          <w:szCs w:val="32"/>
        </w:rPr>
        <w:t>年度</w:t>
      </w:r>
      <w:r>
        <w:rPr>
          <w:rFonts w:hint="eastAsia" w:ascii="仿宋" w:hAnsi="仿宋" w:eastAsia="仿宋" w:cs="仿宋"/>
          <w:color w:val="000000"/>
          <w:sz w:val="32"/>
          <w:szCs w:val="32"/>
          <w:lang w:eastAsia="zh-CN"/>
        </w:rPr>
        <w:t>单位</w:t>
      </w:r>
      <w:r>
        <w:rPr>
          <w:rFonts w:hint="eastAsia" w:ascii="仿宋" w:hAnsi="仿宋" w:eastAsia="仿宋" w:cs="仿宋"/>
          <w:color w:val="000000"/>
          <w:sz w:val="32"/>
          <w:szCs w:val="32"/>
        </w:rPr>
        <w:t>预算编制范围的单位共1个，详细情况见下表：</w:t>
      </w:r>
    </w:p>
    <w:p>
      <w:pPr>
        <w:jc w:val="center"/>
        <w:outlineLvl w:val="0"/>
        <w:rPr>
          <w:rFonts w:hint="eastAsia" w:ascii="仿宋" w:hAnsi="仿宋" w:eastAsia="仿宋" w:cs="仿宋"/>
          <w:sz w:val="32"/>
        </w:rPr>
      </w:pPr>
    </w:p>
    <w:p>
      <w:pPr>
        <w:jc w:val="center"/>
        <w:outlineLvl w:val="0"/>
        <w:rPr>
          <w:rFonts w:hint="eastAsia" w:ascii="仿宋" w:hAnsi="仿宋" w:eastAsia="仿宋" w:cs="仿宋"/>
          <w:sz w:val="32"/>
        </w:rPr>
      </w:pPr>
      <w:r>
        <w:rPr>
          <w:rFonts w:hint="eastAsia" w:ascii="仿宋" w:hAnsi="仿宋" w:eastAsia="仿宋" w:cs="仿宋"/>
          <w:sz w:val="32"/>
          <w:lang w:eastAsia="zh-CN"/>
        </w:rPr>
        <w:t>单位</w:t>
      </w:r>
      <w:r>
        <w:rPr>
          <w:rFonts w:hint="eastAsia" w:ascii="仿宋" w:hAnsi="仿宋" w:eastAsia="仿宋" w:cs="仿宋"/>
          <w:sz w:val="32"/>
        </w:rPr>
        <w:t>机构设置情况</w:t>
      </w:r>
    </w:p>
    <w:p>
      <w:pPr>
        <w:pStyle w:val="4"/>
        <w:rPr>
          <w:rFonts w:hint="eastAsia"/>
        </w:rPr>
      </w:pPr>
    </w:p>
    <w:tbl>
      <w:tblPr>
        <w:tblStyle w:val="5"/>
        <w:tblW w:w="91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65"/>
        <w:gridCol w:w="175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65" w:type="dxa"/>
            <w:vMerge w:val="restart"/>
            <w:vAlign w:val="center"/>
          </w:tcPr>
          <w:p>
            <w:pPr>
              <w:spacing w:line="300" w:lineRule="exact"/>
              <w:jc w:val="center"/>
              <w:rPr>
                <w:rFonts w:eastAsia="方正书宋_GBK"/>
                <w:b/>
              </w:rPr>
            </w:pPr>
            <w:r>
              <w:rPr>
                <w:rFonts w:eastAsia="方正书宋_GBK"/>
                <w:b/>
              </w:rPr>
              <w:t>单位名称</w:t>
            </w:r>
          </w:p>
        </w:tc>
        <w:tc>
          <w:tcPr>
            <w:tcW w:w="1754" w:type="dxa"/>
            <w:vMerge w:val="restart"/>
            <w:vAlign w:val="center"/>
          </w:tcPr>
          <w:p>
            <w:pPr>
              <w:spacing w:line="300" w:lineRule="exact"/>
              <w:jc w:val="center"/>
              <w:rPr>
                <w:rFonts w:eastAsia="方正书宋_GBK"/>
                <w:b/>
              </w:rPr>
            </w:pPr>
            <w:r>
              <w:rPr>
                <w:rFonts w:eastAsia="方正书宋_GBK"/>
                <w:b/>
              </w:rPr>
              <w:t>单位性质</w:t>
            </w:r>
          </w:p>
        </w:tc>
        <w:tc>
          <w:tcPr>
            <w:tcW w:w="1276" w:type="dxa"/>
            <w:vMerge w:val="restart"/>
            <w:vAlign w:val="center"/>
          </w:tcPr>
          <w:p>
            <w:pPr>
              <w:spacing w:line="300" w:lineRule="exact"/>
              <w:jc w:val="center"/>
              <w:rPr>
                <w:rFonts w:eastAsia="方正书宋_GBK"/>
                <w:b/>
              </w:rPr>
            </w:pPr>
            <w:r>
              <w:rPr>
                <w:rFonts w:eastAsia="方正书宋_GBK"/>
                <w:b/>
              </w:rPr>
              <w:t>单位规格</w:t>
            </w:r>
          </w:p>
        </w:tc>
        <w:tc>
          <w:tcPr>
            <w:tcW w:w="2902" w:type="dxa"/>
            <w:vMerge w:val="restart"/>
            <w:vAlign w:val="center"/>
          </w:tcPr>
          <w:p>
            <w:pPr>
              <w:spacing w:line="300" w:lineRule="exact"/>
              <w:jc w:val="center"/>
              <w:rPr>
                <w:rFonts w:eastAsia="方正书宋_GBK"/>
                <w:b/>
              </w:rPr>
            </w:pPr>
            <w:r>
              <w:rPr>
                <w:rFonts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65" w:type="dxa"/>
            <w:vMerge w:val="continue"/>
            <w:vAlign w:val="center"/>
          </w:tcPr>
          <w:p>
            <w:pPr>
              <w:spacing w:line="300" w:lineRule="exact"/>
              <w:jc w:val="left"/>
              <w:outlineLvl w:val="0"/>
            </w:pPr>
          </w:p>
        </w:tc>
        <w:tc>
          <w:tcPr>
            <w:tcW w:w="1754"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02"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0" w:hRule="atLeast"/>
          <w:jc w:val="center"/>
        </w:trPr>
        <w:tc>
          <w:tcPr>
            <w:tcW w:w="3265" w:type="dxa"/>
            <w:vAlign w:val="center"/>
          </w:tcPr>
          <w:p>
            <w:pPr>
              <w:spacing w:line="300" w:lineRule="exact"/>
              <w:jc w:val="center"/>
              <w:rPr>
                <w:rFonts w:eastAsia="方正书宋_GBK"/>
              </w:rPr>
            </w:pPr>
            <w:r>
              <w:rPr>
                <w:rFonts w:hint="eastAsia" w:ascii="宋体" w:hAnsi="宋体" w:eastAsia="宋体" w:cs="宋体"/>
                <w:kern w:val="0"/>
                <w:sz w:val="21"/>
                <w:szCs w:val="21"/>
                <w:lang w:eastAsia="zh-CN"/>
              </w:rPr>
              <w:t>河北省宁晋县文学艺术界联合</w:t>
            </w:r>
            <w:r>
              <w:rPr>
                <w:rFonts w:hint="eastAsia" w:ascii="宋体" w:hAnsi="宋体" w:cs="宋体"/>
                <w:kern w:val="0"/>
                <w:sz w:val="21"/>
                <w:szCs w:val="21"/>
                <w:lang w:eastAsia="zh-CN"/>
              </w:rPr>
              <w:t>会本级</w:t>
            </w:r>
          </w:p>
        </w:tc>
        <w:tc>
          <w:tcPr>
            <w:tcW w:w="1754" w:type="dxa"/>
            <w:vAlign w:val="center"/>
          </w:tcPr>
          <w:p>
            <w:pPr>
              <w:spacing w:line="300" w:lineRule="exact"/>
              <w:jc w:val="center"/>
              <w:rPr>
                <w:rFonts w:eastAsia="方正书宋_GBK"/>
              </w:rPr>
            </w:pPr>
            <w:r>
              <w:rPr>
                <w:rFonts w:hint="eastAsia" w:eastAsia="方正书宋_GBK"/>
              </w:rPr>
              <w:t>行政</w:t>
            </w:r>
          </w:p>
        </w:tc>
        <w:tc>
          <w:tcPr>
            <w:tcW w:w="1276" w:type="dxa"/>
            <w:vAlign w:val="center"/>
          </w:tcPr>
          <w:p>
            <w:pPr>
              <w:spacing w:line="300" w:lineRule="exact"/>
              <w:jc w:val="center"/>
              <w:rPr>
                <w:rFonts w:eastAsia="方正书宋_GBK"/>
              </w:rPr>
            </w:pPr>
            <w:r>
              <w:rPr>
                <w:rFonts w:hint="eastAsia" w:ascii="方正书宋_GBK" w:eastAsia="方正书宋_GBK"/>
              </w:rPr>
              <w:t>正科级</w:t>
            </w:r>
          </w:p>
        </w:tc>
        <w:tc>
          <w:tcPr>
            <w:tcW w:w="2902" w:type="dxa"/>
            <w:vAlign w:val="center"/>
          </w:tcPr>
          <w:p>
            <w:pPr>
              <w:spacing w:line="300" w:lineRule="exact"/>
              <w:jc w:val="center"/>
              <w:rPr>
                <w:rFonts w:eastAsia="方正书宋_GBK"/>
              </w:rPr>
            </w:pPr>
            <w:r>
              <w:rPr>
                <w:rFonts w:hint="eastAsia" w:eastAsia="方正书宋_GBK"/>
              </w:rPr>
              <w:t>财政拨款</w:t>
            </w:r>
          </w:p>
        </w:tc>
      </w:tr>
    </w:tbl>
    <w:p>
      <w:pPr>
        <w:pStyle w:val="4"/>
        <w:ind w:left="0" w:leftChars="0" w:firstLine="0" w:firstLineChars="0"/>
      </w:pPr>
    </w:p>
    <w:p>
      <w:pPr>
        <w:widowControl/>
        <w:numPr>
          <w:ilvl w:val="0"/>
          <w:numId w:val="0"/>
        </w:numPr>
        <w:spacing w:line="600" w:lineRule="exact"/>
        <w:ind w:firstLine="361" w:firstLineChars="100"/>
        <w:jc w:val="left"/>
        <w:rPr>
          <w:rFonts w:hint="eastAsia" w:ascii="黑体" w:hAnsi="黑体" w:eastAsia="黑体" w:cs="黑体"/>
          <w:color w:val="000000"/>
          <w:kern w:val="0"/>
          <w:sz w:val="36"/>
          <w:szCs w:val="36"/>
        </w:rPr>
      </w:pPr>
      <w:r>
        <w:rPr>
          <w:rFonts w:hint="eastAsia" w:ascii="黑体" w:hAnsi="黑体" w:eastAsia="黑体" w:cs="黑体"/>
          <w:b/>
          <w:color w:val="000000"/>
          <w:kern w:val="0"/>
          <w:sz w:val="36"/>
          <w:szCs w:val="36"/>
          <w:lang w:eastAsia="zh-CN"/>
        </w:rPr>
        <w:t>二、单位</w:t>
      </w:r>
      <w:r>
        <w:rPr>
          <w:rFonts w:hint="eastAsia" w:ascii="黑体" w:hAnsi="黑体" w:eastAsia="黑体" w:cs="黑体"/>
          <w:b/>
          <w:color w:val="000000"/>
          <w:kern w:val="0"/>
          <w:sz w:val="36"/>
          <w:szCs w:val="36"/>
        </w:rPr>
        <w:t>预算安排的总体情况</w:t>
      </w:r>
    </w:p>
    <w:p>
      <w:pPr>
        <w:widowControl/>
        <w:spacing w:line="600" w:lineRule="exact"/>
        <w:ind w:firstLine="627"/>
        <w:jc w:val="left"/>
        <w:rPr>
          <w:rFonts w:hint="eastAsia" w:ascii="仿宋" w:hAnsi="仿宋" w:eastAsia="仿宋" w:cs="仿宋"/>
          <w:kern w:val="0"/>
          <w:sz w:val="32"/>
          <w:szCs w:val="32"/>
          <w:lang w:val="en-US" w:eastAsia="zh-CN"/>
        </w:rPr>
      </w:pPr>
      <w:r>
        <w:rPr>
          <w:rFonts w:hint="eastAsia" w:ascii="仿宋" w:hAnsi="仿宋" w:eastAsia="仿宋" w:cs="仿宋"/>
          <w:color w:val="000000"/>
          <w:kern w:val="0"/>
          <w:sz w:val="32"/>
          <w:szCs w:val="32"/>
        </w:rPr>
        <w:t>我</w:t>
      </w:r>
      <w:r>
        <w:rPr>
          <w:rFonts w:hint="eastAsia" w:ascii="仿宋" w:hAnsi="仿宋" w:eastAsia="仿宋" w:cs="仿宋"/>
          <w:color w:val="000000"/>
          <w:kern w:val="0"/>
          <w:sz w:val="32"/>
          <w:szCs w:val="32"/>
          <w:lang w:eastAsia="zh-CN"/>
        </w:rPr>
        <w:t>单位202</w:t>
      </w:r>
      <w:r>
        <w:rPr>
          <w:rFonts w:hint="eastAsia" w:ascii="仿宋" w:hAnsi="仿宋" w:eastAsia="仿宋" w:cs="仿宋"/>
          <w:color w:val="000000"/>
          <w:kern w:val="0"/>
          <w:sz w:val="32"/>
          <w:szCs w:val="32"/>
          <w:lang w:val="en-US" w:eastAsia="zh-CN"/>
        </w:rPr>
        <w:t>2</w:t>
      </w:r>
      <w:r>
        <w:rPr>
          <w:rFonts w:hint="eastAsia" w:ascii="仿宋" w:hAnsi="仿宋" w:eastAsia="仿宋" w:cs="仿宋"/>
          <w:color w:val="000000"/>
          <w:kern w:val="0"/>
          <w:sz w:val="32"/>
          <w:szCs w:val="32"/>
        </w:rPr>
        <w:t>年预算总收入</w:t>
      </w:r>
      <w:r>
        <w:rPr>
          <w:rFonts w:hint="eastAsia" w:ascii="仿宋" w:hAnsi="仿宋" w:eastAsia="仿宋" w:cs="仿宋"/>
          <w:color w:val="000000"/>
          <w:kern w:val="0"/>
          <w:sz w:val="32"/>
          <w:szCs w:val="32"/>
          <w:lang w:val="en-US" w:eastAsia="zh-CN"/>
        </w:rPr>
        <w:t>126.47</w:t>
      </w:r>
      <w:r>
        <w:rPr>
          <w:rFonts w:hint="eastAsia" w:ascii="仿宋" w:hAnsi="仿宋" w:eastAsia="仿宋" w:cs="仿宋"/>
          <w:color w:val="000000"/>
          <w:kern w:val="0"/>
          <w:sz w:val="32"/>
          <w:szCs w:val="32"/>
        </w:rPr>
        <w:t>万元。</w:t>
      </w:r>
      <w:r>
        <w:rPr>
          <w:rFonts w:hint="eastAsia" w:ascii="仿宋" w:hAnsi="仿宋" w:eastAsia="仿宋" w:cs="仿宋"/>
          <w:color w:val="000000"/>
          <w:kern w:val="0"/>
          <w:sz w:val="32"/>
          <w:szCs w:val="32"/>
          <w:lang w:eastAsia="zh-CN"/>
        </w:rPr>
        <w:t>202</w:t>
      </w:r>
      <w:r>
        <w:rPr>
          <w:rFonts w:hint="eastAsia" w:ascii="仿宋" w:hAnsi="仿宋" w:eastAsia="仿宋" w:cs="仿宋"/>
          <w:color w:val="000000"/>
          <w:kern w:val="0"/>
          <w:sz w:val="32"/>
          <w:szCs w:val="32"/>
          <w:lang w:val="en-US" w:eastAsia="zh-CN"/>
        </w:rPr>
        <w:t>2</w:t>
      </w:r>
      <w:r>
        <w:rPr>
          <w:rFonts w:hint="eastAsia" w:ascii="仿宋" w:hAnsi="仿宋" w:eastAsia="仿宋" w:cs="仿宋"/>
          <w:color w:val="000000"/>
          <w:kern w:val="0"/>
          <w:sz w:val="32"/>
          <w:szCs w:val="32"/>
        </w:rPr>
        <w:t>年预算总收入</w:t>
      </w:r>
      <w:r>
        <w:rPr>
          <w:rFonts w:hint="eastAsia" w:ascii="仿宋" w:hAnsi="仿宋" w:eastAsia="仿宋" w:cs="仿宋"/>
          <w:kern w:val="0"/>
          <w:sz w:val="32"/>
          <w:szCs w:val="32"/>
        </w:rPr>
        <w:t>较20</w:t>
      </w:r>
      <w:r>
        <w:rPr>
          <w:rFonts w:hint="eastAsia" w:ascii="仿宋" w:hAnsi="仿宋" w:eastAsia="仿宋" w:cs="仿宋"/>
          <w:kern w:val="0"/>
          <w:sz w:val="32"/>
          <w:szCs w:val="32"/>
          <w:lang w:val="en-US" w:eastAsia="zh-CN"/>
        </w:rPr>
        <w:t>21</w:t>
      </w:r>
      <w:r>
        <w:rPr>
          <w:rFonts w:hint="eastAsia" w:ascii="仿宋" w:hAnsi="仿宋" w:eastAsia="仿宋" w:cs="仿宋"/>
          <w:kern w:val="0"/>
          <w:sz w:val="32"/>
          <w:szCs w:val="32"/>
        </w:rPr>
        <w:t>年预算总收入（</w:t>
      </w:r>
      <w:r>
        <w:rPr>
          <w:rFonts w:hint="eastAsia" w:ascii="仿宋" w:hAnsi="仿宋" w:eastAsia="仿宋" w:cs="仿宋"/>
          <w:color w:val="000000"/>
          <w:kern w:val="0"/>
          <w:sz w:val="32"/>
          <w:szCs w:val="32"/>
          <w:lang w:val="en-US" w:eastAsia="zh-CN"/>
        </w:rPr>
        <w:t>84.47</w:t>
      </w:r>
      <w:r>
        <w:rPr>
          <w:rFonts w:hint="eastAsia" w:ascii="仿宋" w:hAnsi="仿宋" w:eastAsia="仿宋" w:cs="仿宋"/>
          <w:kern w:val="0"/>
          <w:sz w:val="32"/>
          <w:szCs w:val="32"/>
          <w:lang w:val="en-US" w:eastAsia="zh-CN"/>
        </w:rPr>
        <w:t xml:space="preserve"> </w:t>
      </w:r>
      <w:r>
        <w:rPr>
          <w:rFonts w:hint="eastAsia" w:ascii="仿宋" w:hAnsi="仿宋" w:eastAsia="仿宋" w:cs="仿宋"/>
          <w:kern w:val="0"/>
          <w:sz w:val="32"/>
          <w:szCs w:val="32"/>
        </w:rPr>
        <w:t>万元）增加</w:t>
      </w:r>
      <w:r>
        <w:rPr>
          <w:rFonts w:hint="eastAsia" w:ascii="仿宋" w:hAnsi="仿宋" w:eastAsia="仿宋" w:cs="仿宋"/>
          <w:kern w:val="0"/>
          <w:sz w:val="32"/>
          <w:szCs w:val="32"/>
          <w:lang w:val="en-US" w:eastAsia="zh-CN"/>
        </w:rPr>
        <w:t>42.00</w:t>
      </w:r>
      <w:r>
        <w:rPr>
          <w:rFonts w:hint="eastAsia" w:ascii="仿宋" w:hAnsi="仿宋" w:eastAsia="仿宋" w:cs="仿宋"/>
          <w:kern w:val="0"/>
          <w:sz w:val="32"/>
          <w:szCs w:val="32"/>
        </w:rPr>
        <w:t>万元，增加</w:t>
      </w:r>
      <w:r>
        <w:rPr>
          <w:rFonts w:hint="eastAsia" w:ascii="仿宋" w:hAnsi="仿宋" w:eastAsia="仿宋" w:cs="仿宋"/>
          <w:kern w:val="0"/>
          <w:sz w:val="32"/>
          <w:szCs w:val="32"/>
          <w:lang w:val="en-US" w:eastAsia="zh-CN"/>
        </w:rPr>
        <w:t xml:space="preserve">49 </w:t>
      </w:r>
      <w:r>
        <w:rPr>
          <w:rFonts w:hint="eastAsia" w:ascii="仿宋" w:hAnsi="仿宋" w:eastAsia="仿宋" w:cs="仿宋"/>
          <w:kern w:val="0"/>
          <w:sz w:val="32"/>
          <w:szCs w:val="32"/>
        </w:rPr>
        <w:t>%，主要是</w:t>
      </w:r>
      <w:r>
        <w:rPr>
          <w:rFonts w:hint="eastAsia" w:ascii="仿宋" w:hAnsi="仿宋" w:eastAsia="仿宋" w:cs="仿宋"/>
          <w:kern w:val="0"/>
          <w:sz w:val="32"/>
          <w:szCs w:val="32"/>
          <w:lang w:eastAsia="zh-CN"/>
        </w:rPr>
        <w:t>人员经费补助增加，项目经费增加，各类保险调整基数</w:t>
      </w:r>
      <w:r>
        <w:rPr>
          <w:rFonts w:hint="eastAsia" w:ascii="仿宋" w:hAnsi="仿宋" w:eastAsia="仿宋" w:cs="仿宋"/>
          <w:kern w:val="0"/>
          <w:sz w:val="32"/>
          <w:szCs w:val="32"/>
        </w:rPr>
        <w:t>。</w:t>
      </w:r>
      <w:r>
        <w:rPr>
          <w:rFonts w:hint="eastAsia" w:ascii="仿宋" w:hAnsi="仿宋" w:eastAsia="仿宋" w:cs="仿宋"/>
          <w:kern w:val="0"/>
          <w:sz w:val="32"/>
          <w:szCs w:val="32"/>
          <w:lang w:eastAsia="zh-CN"/>
        </w:rPr>
        <w:t>202</w:t>
      </w:r>
      <w:r>
        <w:rPr>
          <w:rFonts w:hint="eastAsia" w:ascii="仿宋" w:hAnsi="仿宋" w:eastAsia="仿宋" w:cs="仿宋"/>
          <w:kern w:val="0"/>
          <w:sz w:val="32"/>
          <w:szCs w:val="32"/>
          <w:lang w:val="en-US" w:eastAsia="zh-CN"/>
        </w:rPr>
        <w:t>2</w:t>
      </w:r>
      <w:r>
        <w:rPr>
          <w:rFonts w:hint="eastAsia" w:ascii="仿宋" w:hAnsi="仿宋" w:eastAsia="仿宋" w:cs="仿宋"/>
          <w:kern w:val="0"/>
          <w:sz w:val="32"/>
          <w:szCs w:val="32"/>
        </w:rPr>
        <w:t>年</w:t>
      </w:r>
      <w:r>
        <w:rPr>
          <w:rFonts w:hint="eastAsia" w:ascii="仿宋" w:hAnsi="仿宋" w:eastAsia="仿宋" w:cs="仿宋"/>
          <w:color w:val="000000"/>
          <w:kern w:val="0"/>
          <w:sz w:val="32"/>
          <w:szCs w:val="32"/>
        </w:rPr>
        <w:t>预算总支出</w:t>
      </w:r>
      <w:r>
        <w:rPr>
          <w:rFonts w:hint="eastAsia" w:ascii="仿宋" w:hAnsi="仿宋" w:eastAsia="仿宋" w:cs="仿宋"/>
          <w:color w:val="000000"/>
          <w:kern w:val="0"/>
          <w:sz w:val="32"/>
          <w:szCs w:val="32"/>
          <w:lang w:val="en-US" w:eastAsia="zh-CN"/>
        </w:rPr>
        <w:t>126.47</w:t>
      </w:r>
      <w:r>
        <w:rPr>
          <w:rFonts w:hint="eastAsia" w:ascii="仿宋" w:hAnsi="仿宋" w:eastAsia="仿宋" w:cs="仿宋"/>
          <w:color w:val="000000"/>
          <w:kern w:val="0"/>
          <w:sz w:val="32"/>
          <w:szCs w:val="32"/>
        </w:rPr>
        <w:t>万元</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其中基本支出</w:t>
      </w:r>
      <w:r>
        <w:rPr>
          <w:rFonts w:hint="eastAsia" w:ascii="仿宋" w:hAnsi="仿宋" w:eastAsia="仿宋" w:cs="仿宋"/>
          <w:color w:val="000000"/>
          <w:kern w:val="0"/>
          <w:sz w:val="32"/>
          <w:szCs w:val="32"/>
          <w:lang w:val="en-US" w:eastAsia="zh-CN"/>
        </w:rPr>
        <w:t>77.63</w:t>
      </w:r>
      <w:r>
        <w:rPr>
          <w:rFonts w:hint="eastAsia" w:ascii="仿宋" w:hAnsi="仿宋" w:eastAsia="仿宋" w:cs="仿宋"/>
          <w:color w:val="000000"/>
          <w:kern w:val="0"/>
          <w:sz w:val="32"/>
          <w:szCs w:val="32"/>
        </w:rPr>
        <w:t>万元（包括人员经费</w:t>
      </w:r>
      <w:r>
        <w:rPr>
          <w:rFonts w:hint="eastAsia" w:ascii="仿宋" w:hAnsi="仿宋" w:eastAsia="仿宋" w:cs="仿宋"/>
          <w:color w:val="000000"/>
          <w:kern w:val="0"/>
          <w:sz w:val="32"/>
          <w:szCs w:val="32"/>
          <w:lang w:val="en-US" w:eastAsia="zh-CN"/>
        </w:rPr>
        <w:t>69.36</w:t>
      </w:r>
      <w:r>
        <w:rPr>
          <w:rFonts w:hint="eastAsia" w:ascii="仿宋" w:hAnsi="仿宋" w:eastAsia="仿宋" w:cs="仿宋"/>
          <w:color w:val="000000"/>
          <w:kern w:val="0"/>
          <w:sz w:val="32"/>
          <w:szCs w:val="32"/>
        </w:rPr>
        <w:t>万元，日常公用经费</w:t>
      </w:r>
      <w:r>
        <w:rPr>
          <w:rFonts w:hint="eastAsia" w:ascii="仿宋" w:hAnsi="仿宋" w:eastAsia="仿宋" w:cs="仿宋"/>
          <w:color w:val="000000"/>
          <w:kern w:val="0"/>
          <w:sz w:val="32"/>
          <w:szCs w:val="32"/>
          <w:lang w:val="en-US" w:eastAsia="zh-CN"/>
        </w:rPr>
        <w:t>8.27</w:t>
      </w:r>
      <w:r>
        <w:rPr>
          <w:rFonts w:hint="eastAsia" w:ascii="仿宋" w:hAnsi="仿宋" w:eastAsia="仿宋" w:cs="仿宋"/>
          <w:color w:val="000000"/>
          <w:kern w:val="0"/>
          <w:sz w:val="32"/>
          <w:szCs w:val="32"/>
        </w:rPr>
        <w:t>万元）</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项目支出</w:t>
      </w:r>
      <w:r>
        <w:rPr>
          <w:rFonts w:hint="eastAsia" w:ascii="仿宋" w:hAnsi="仿宋" w:eastAsia="仿宋" w:cs="仿宋"/>
          <w:color w:val="000000"/>
          <w:kern w:val="0"/>
          <w:sz w:val="32"/>
          <w:szCs w:val="32"/>
          <w:lang w:val="en-US" w:eastAsia="zh-CN"/>
        </w:rPr>
        <w:t>48.84</w:t>
      </w:r>
      <w:r>
        <w:rPr>
          <w:rFonts w:hint="eastAsia" w:ascii="仿宋" w:hAnsi="仿宋" w:eastAsia="仿宋" w:cs="仿宋"/>
          <w:color w:val="000000"/>
          <w:kern w:val="0"/>
          <w:sz w:val="32"/>
          <w:szCs w:val="32"/>
        </w:rPr>
        <w:t>万元。</w:t>
      </w:r>
      <w:r>
        <w:rPr>
          <w:rFonts w:hint="eastAsia" w:ascii="仿宋" w:hAnsi="仿宋" w:eastAsia="仿宋" w:cs="仿宋"/>
          <w:color w:val="000000"/>
          <w:kern w:val="0"/>
          <w:sz w:val="32"/>
          <w:szCs w:val="32"/>
          <w:lang w:eastAsia="zh-CN"/>
        </w:rPr>
        <w:t>202</w:t>
      </w:r>
      <w:r>
        <w:rPr>
          <w:rFonts w:hint="eastAsia" w:ascii="仿宋" w:hAnsi="仿宋" w:eastAsia="仿宋" w:cs="仿宋"/>
          <w:color w:val="000000"/>
          <w:kern w:val="0"/>
          <w:sz w:val="32"/>
          <w:szCs w:val="32"/>
          <w:lang w:val="en-US" w:eastAsia="zh-CN"/>
        </w:rPr>
        <w:t>2</w:t>
      </w:r>
      <w:r>
        <w:rPr>
          <w:rFonts w:hint="eastAsia" w:ascii="仿宋" w:hAnsi="仿宋" w:eastAsia="仿宋" w:cs="仿宋"/>
          <w:color w:val="000000"/>
          <w:kern w:val="0"/>
          <w:sz w:val="32"/>
          <w:szCs w:val="32"/>
        </w:rPr>
        <w:t>年预算总支出</w:t>
      </w:r>
      <w:r>
        <w:rPr>
          <w:rFonts w:hint="eastAsia" w:ascii="仿宋" w:hAnsi="仿宋" w:eastAsia="仿宋" w:cs="仿宋"/>
          <w:color w:val="000000"/>
          <w:kern w:val="0"/>
          <w:sz w:val="32"/>
          <w:szCs w:val="32"/>
          <w:lang w:val="en-US" w:eastAsia="zh-CN"/>
        </w:rPr>
        <w:t>126.47万元，</w:t>
      </w:r>
      <w:r>
        <w:rPr>
          <w:rFonts w:hint="eastAsia" w:ascii="仿宋" w:hAnsi="仿宋" w:eastAsia="仿宋" w:cs="仿宋"/>
          <w:kern w:val="0"/>
          <w:sz w:val="32"/>
          <w:szCs w:val="32"/>
        </w:rPr>
        <w:t>较</w:t>
      </w:r>
      <w:r>
        <w:rPr>
          <w:rFonts w:hint="eastAsia" w:ascii="仿宋" w:hAnsi="仿宋" w:eastAsia="仿宋" w:cs="仿宋"/>
          <w:kern w:val="0"/>
          <w:sz w:val="32"/>
          <w:szCs w:val="32"/>
          <w:lang w:val="en-US" w:eastAsia="zh-CN"/>
        </w:rPr>
        <w:t>2021</w:t>
      </w:r>
      <w:r>
        <w:rPr>
          <w:rFonts w:hint="eastAsia" w:ascii="仿宋" w:hAnsi="仿宋" w:eastAsia="仿宋" w:cs="仿宋"/>
          <w:kern w:val="0"/>
          <w:sz w:val="32"/>
          <w:szCs w:val="32"/>
        </w:rPr>
        <w:t>年预算总支出（</w:t>
      </w:r>
      <w:r>
        <w:rPr>
          <w:rFonts w:hint="eastAsia" w:ascii="仿宋" w:hAnsi="仿宋" w:eastAsia="仿宋" w:cs="仿宋"/>
          <w:kern w:val="0"/>
          <w:sz w:val="32"/>
          <w:szCs w:val="32"/>
          <w:lang w:val="en-US" w:eastAsia="zh-CN"/>
        </w:rPr>
        <w:t>84.47</w:t>
      </w:r>
      <w:r>
        <w:rPr>
          <w:rFonts w:hint="eastAsia" w:ascii="仿宋" w:hAnsi="仿宋" w:eastAsia="仿宋" w:cs="仿宋"/>
          <w:kern w:val="0"/>
          <w:sz w:val="32"/>
          <w:szCs w:val="32"/>
        </w:rPr>
        <w:t>万元）增加</w:t>
      </w:r>
      <w:r>
        <w:rPr>
          <w:rFonts w:hint="eastAsia" w:ascii="仿宋" w:hAnsi="仿宋" w:eastAsia="仿宋" w:cs="仿宋"/>
          <w:kern w:val="0"/>
          <w:sz w:val="32"/>
          <w:szCs w:val="32"/>
          <w:lang w:val="en-US" w:eastAsia="zh-CN"/>
        </w:rPr>
        <w:t>42.00</w:t>
      </w:r>
      <w:r>
        <w:rPr>
          <w:rFonts w:hint="eastAsia" w:ascii="仿宋" w:hAnsi="仿宋" w:eastAsia="仿宋" w:cs="仿宋"/>
          <w:kern w:val="0"/>
          <w:sz w:val="32"/>
          <w:szCs w:val="32"/>
        </w:rPr>
        <w:t>万元，增加</w:t>
      </w:r>
      <w:r>
        <w:rPr>
          <w:rFonts w:hint="eastAsia" w:ascii="仿宋" w:hAnsi="仿宋" w:eastAsia="仿宋" w:cs="仿宋"/>
          <w:kern w:val="0"/>
          <w:sz w:val="32"/>
          <w:szCs w:val="32"/>
          <w:lang w:val="en-US" w:eastAsia="zh-CN"/>
        </w:rPr>
        <w:t xml:space="preserve">49 </w:t>
      </w:r>
      <w:r>
        <w:rPr>
          <w:rFonts w:hint="eastAsia" w:ascii="仿宋" w:hAnsi="仿宋" w:eastAsia="仿宋" w:cs="仿宋"/>
          <w:kern w:val="0"/>
          <w:sz w:val="32"/>
          <w:szCs w:val="32"/>
        </w:rPr>
        <w:t>%，主要是</w:t>
      </w:r>
      <w:r>
        <w:rPr>
          <w:rFonts w:hint="eastAsia" w:ascii="仿宋" w:hAnsi="仿宋" w:eastAsia="仿宋" w:cs="仿宋"/>
          <w:kern w:val="0"/>
          <w:sz w:val="32"/>
          <w:szCs w:val="32"/>
          <w:lang w:eastAsia="zh-CN"/>
        </w:rPr>
        <w:t>人员经费补助增加，项目经费增加，各类保险调整基数</w:t>
      </w:r>
      <w:r>
        <w:rPr>
          <w:rFonts w:hint="eastAsia" w:ascii="仿宋" w:hAnsi="仿宋" w:eastAsia="仿宋" w:cs="仿宋"/>
          <w:kern w:val="0"/>
          <w:sz w:val="32"/>
          <w:szCs w:val="32"/>
          <w:lang w:val="en-US" w:eastAsia="zh-CN"/>
        </w:rPr>
        <w:t>。</w:t>
      </w:r>
    </w:p>
    <w:p>
      <w:pPr>
        <w:widowControl/>
        <w:numPr>
          <w:ilvl w:val="0"/>
          <w:numId w:val="0"/>
        </w:numPr>
        <w:spacing w:line="600" w:lineRule="exact"/>
        <w:ind w:left="630" w:leftChars="0"/>
        <w:jc w:val="left"/>
        <w:rPr>
          <w:rFonts w:hint="eastAsia" w:ascii="宋体" w:hAnsi="宋体" w:eastAsia="宋体" w:cs="宋体"/>
          <w:b/>
          <w:color w:val="000000"/>
          <w:kern w:val="0"/>
          <w:sz w:val="36"/>
          <w:szCs w:val="36"/>
        </w:rPr>
      </w:pPr>
      <w:r>
        <w:rPr>
          <w:rFonts w:hint="eastAsia" w:ascii="宋体" w:hAnsi="宋体" w:eastAsia="宋体" w:cs="宋体"/>
          <w:b/>
          <w:color w:val="000000"/>
          <w:kern w:val="0"/>
          <w:sz w:val="36"/>
          <w:szCs w:val="36"/>
          <w:lang w:eastAsia="zh-CN"/>
        </w:rPr>
        <w:t>三、</w:t>
      </w:r>
      <w:r>
        <w:rPr>
          <w:rFonts w:hint="eastAsia" w:ascii="宋体" w:hAnsi="宋体" w:eastAsia="宋体" w:cs="宋体"/>
          <w:b/>
          <w:color w:val="000000"/>
          <w:kern w:val="0"/>
          <w:sz w:val="36"/>
          <w:szCs w:val="36"/>
        </w:rPr>
        <w:t>机关运行经费安排情况</w:t>
      </w:r>
    </w:p>
    <w:p>
      <w:pPr>
        <w:widowControl/>
        <w:spacing w:line="600" w:lineRule="exact"/>
        <w:ind w:firstLine="640" w:firstLineChars="200"/>
        <w:jc w:val="left"/>
        <w:rPr>
          <w:rFonts w:hint="eastAsia" w:ascii="仿宋" w:hAnsi="仿宋" w:eastAsia="仿宋" w:cs="仿宋"/>
          <w:color w:val="000000"/>
          <w:sz w:val="32"/>
          <w:szCs w:val="32"/>
        </w:rPr>
      </w:pPr>
      <w:r>
        <w:rPr>
          <w:rFonts w:hint="eastAsia" w:ascii="仿宋" w:hAnsi="仿宋" w:eastAsia="仿宋" w:cs="仿宋"/>
          <w:color w:val="000000"/>
          <w:kern w:val="0"/>
          <w:sz w:val="32"/>
          <w:szCs w:val="32"/>
        </w:rPr>
        <w:t>我</w:t>
      </w:r>
      <w:r>
        <w:rPr>
          <w:rFonts w:hint="eastAsia" w:ascii="仿宋" w:hAnsi="仿宋" w:eastAsia="仿宋" w:cs="仿宋"/>
          <w:color w:val="000000"/>
          <w:kern w:val="0"/>
          <w:sz w:val="32"/>
          <w:szCs w:val="32"/>
          <w:lang w:eastAsia="zh-CN"/>
        </w:rPr>
        <w:t>单位202</w:t>
      </w:r>
      <w:r>
        <w:rPr>
          <w:rFonts w:hint="eastAsia" w:ascii="仿宋" w:hAnsi="仿宋" w:eastAsia="仿宋" w:cs="仿宋"/>
          <w:color w:val="000000"/>
          <w:kern w:val="0"/>
          <w:sz w:val="32"/>
          <w:szCs w:val="32"/>
          <w:lang w:val="en-US" w:eastAsia="zh-CN"/>
        </w:rPr>
        <w:t>2</w:t>
      </w:r>
      <w:r>
        <w:rPr>
          <w:rFonts w:hint="eastAsia" w:ascii="仿宋" w:hAnsi="仿宋" w:eastAsia="仿宋" w:cs="仿宋"/>
          <w:color w:val="000000"/>
          <w:kern w:val="0"/>
          <w:sz w:val="32"/>
          <w:szCs w:val="32"/>
        </w:rPr>
        <w:t>年机关运行经费</w:t>
      </w:r>
      <w:r>
        <w:rPr>
          <w:rFonts w:hint="eastAsia" w:ascii="仿宋" w:hAnsi="仿宋" w:eastAsia="仿宋" w:cs="仿宋"/>
          <w:color w:val="000000"/>
          <w:kern w:val="0"/>
          <w:sz w:val="32"/>
          <w:szCs w:val="32"/>
          <w:lang w:val="en-US" w:eastAsia="zh-CN"/>
        </w:rPr>
        <w:t>2.57</w:t>
      </w:r>
      <w:r>
        <w:rPr>
          <w:rFonts w:hint="eastAsia" w:ascii="仿宋" w:hAnsi="仿宋" w:eastAsia="仿宋" w:cs="仿宋"/>
          <w:color w:val="000000"/>
          <w:kern w:val="0"/>
          <w:sz w:val="32"/>
          <w:szCs w:val="32"/>
        </w:rPr>
        <w:t>万元，</w:t>
      </w:r>
      <w:r>
        <w:rPr>
          <w:rFonts w:hint="eastAsia" w:ascii="仿宋" w:hAnsi="仿宋" w:eastAsia="仿宋" w:cs="仿宋"/>
          <w:color w:val="000000"/>
          <w:kern w:val="0"/>
          <w:sz w:val="32"/>
          <w:szCs w:val="32"/>
          <w:lang w:eastAsia="zh-CN"/>
        </w:rPr>
        <w:t>与</w:t>
      </w:r>
      <w:r>
        <w:rPr>
          <w:rFonts w:hint="eastAsia" w:ascii="仿宋" w:hAnsi="仿宋" w:eastAsia="仿宋" w:cs="仿宋"/>
          <w:color w:val="000000"/>
          <w:kern w:val="0"/>
          <w:sz w:val="32"/>
          <w:szCs w:val="32"/>
        </w:rPr>
        <w:t>20</w:t>
      </w:r>
      <w:r>
        <w:rPr>
          <w:rFonts w:hint="eastAsia" w:ascii="仿宋" w:hAnsi="仿宋" w:eastAsia="仿宋" w:cs="仿宋"/>
          <w:color w:val="000000"/>
          <w:kern w:val="0"/>
          <w:sz w:val="32"/>
          <w:szCs w:val="32"/>
          <w:lang w:val="en-US" w:eastAsia="zh-CN"/>
        </w:rPr>
        <w:t>21</w:t>
      </w:r>
      <w:r>
        <w:rPr>
          <w:rFonts w:hint="eastAsia" w:ascii="仿宋" w:hAnsi="仿宋" w:eastAsia="仿宋" w:cs="仿宋"/>
          <w:color w:val="000000"/>
          <w:kern w:val="0"/>
          <w:sz w:val="32"/>
          <w:szCs w:val="32"/>
        </w:rPr>
        <w:t>年</w:t>
      </w:r>
      <w:r>
        <w:rPr>
          <w:rFonts w:hint="eastAsia" w:ascii="仿宋" w:hAnsi="仿宋" w:eastAsia="仿宋" w:cs="仿宋"/>
          <w:color w:val="000000"/>
          <w:kern w:val="0"/>
          <w:sz w:val="32"/>
          <w:szCs w:val="32"/>
          <w:lang w:val="en-US" w:eastAsia="zh-CN"/>
        </w:rPr>
        <w:t>2.31</w:t>
      </w:r>
      <w:r>
        <w:rPr>
          <w:rFonts w:hint="eastAsia" w:ascii="仿宋" w:hAnsi="仿宋" w:eastAsia="仿宋" w:cs="仿宋"/>
          <w:color w:val="000000"/>
          <w:kern w:val="0"/>
          <w:sz w:val="32"/>
          <w:szCs w:val="32"/>
        </w:rPr>
        <w:t>万元</w:t>
      </w:r>
      <w:r>
        <w:rPr>
          <w:rFonts w:hint="eastAsia" w:ascii="仿宋" w:hAnsi="仿宋" w:eastAsia="仿宋" w:cs="仿宋"/>
          <w:color w:val="000000"/>
          <w:kern w:val="0"/>
          <w:sz w:val="32"/>
          <w:szCs w:val="32"/>
          <w:lang w:eastAsia="zh-CN"/>
        </w:rPr>
        <w:t>上升</w:t>
      </w:r>
      <w:r>
        <w:rPr>
          <w:rFonts w:hint="eastAsia" w:ascii="仿宋" w:hAnsi="仿宋" w:eastAsia="仿宋" w:cs="仿宋"/>
          <w:color w:val="000000"/>
          <w:kern w:val="0"/>
          <w:sz w:val="32"/>
          <w:szCs w:val="32"/>
          <w:lang w:val="en-US" w:eastAsia="zh-CN"/>
        </w:rPr>
        <w:t>0.26万元</w:t>
      </w:r>
      <w:r>
        <w:rPr>
          <w:rFonts w:hint="eastAsia" w:ascii="仿宋" w:hAnsi="仿宋" w:eastAsia="仿宋" w:cs="仿宋"/>
          <w:color w:val="000000"/>
          <w:kern w:val="0"/>
          <w:sz w:val="32"/>
          <w:szCs w:val="32"/>
        </w:rPr>
        <w:t>，</w:t>
      </w:r>
      <w:r>
        <w:rPr>
          <w:rFonts w:hint="eastAsia" w:ascii="仿宋" w:hAnsi="仿宋" w:eastAsia="仿宋" w:cs="仿宋"/>
          <w:color w:val="000000"/>
          <w:kern w:val="0"/>
          <w:sz w:val="32"/>
          <w:szCs w:val="32"/>
          <w:lang w:eastAsia="zh-CN"/>
        </w:rPr>
        <w:t>主要为人员增加，日常办公费用技术增加。</w:t>
      </w:r>
      <w:r>
        <w:rPr>
          <w:rFonts w:hint="eastAsia" w:ascii="仿宋" w:hAnsi="仿宋" w:eastAsia="仿宋" w:cs="仿宋"/>
          <w:color w:val="000000"/>
          <w:kern w:val="0"/>
          <w:sz w:val="32"/>
          <w:szCs w:val="32"/>
        </w:rPr>
        <w:t>其中</w:t>
      </w:r>
      <w:r>
        <w:rPr>
          <w:rFonts w:hint="eastAsia" w:ascii="仿宋" w:hAnsi="仿宋" w:eastAsia="仿宋" w:cs="仿宋"/>
          <w:color w:val="000000"/>
          <w:sz w:val="32"/>
          <w:szCs w:val="32"/>
        </w:rPr>
        <w:t>办公费</w:t>
      </w:r>
      <w:r>
        <w:rPr>
          <w:rFonts w:hint="eastAsia" w:ascii="仿宋" w:hAnsi="仿宋" w:eastAsia="仿宋" w:cs="仿宋"/>
          <w:color w:val="000000"/>
          <w:sz w:val="32"/>
          <w:szCs w:val="32"/>
          <w:lang w:val="en-US" w:eastAsia="zh-CN"/>
        </w:rPr>
        <w:t>2.03</w:t>
      </w:r>
      <w:r>
        <w:rPr>
          <w:rFonts w:hint="eastAsia" w:ascii="仿宋" w:hAnsi="仿宋" w:eastAsia="仿宋" w:cs="仿宋"/>
          <w:color w:val="000000"/>
          <w:sz w:val="32"/>
          <w:szCs w:val="32"/>
        </w:rPr>
        <w:t>万元，</w:t>
      </w:r>
      <w:r>
        <w:rPr>
          <w:rFonts w:hint="eastAsia" w:ascii="仿宋" w:hAnsi="仿宋" w:eastAsia="仿宋" w:cs="仿宋"/>
          <w:color w:val="000000"/>
          <w:sz w:val="32"/>
          <w:szCs w:val="32"/>
          <w:lang w:eastAsia="zh-CN"/>
        </w:rPr>
        <w:t>工会经费</w:t>
      </w:r>
      <w:r>
        <w:rPr>
          <w:rFonts w:hint="eastAsia" w:ascii="仿宋" w:hAnsi="仿宋" w:eastAsia="仿宋" w:cs="仿宋"/>
          <w:color w:val="000000"/>
          <w:sz w:val="32"/>
          <w:szCs w:val="32"/>
          <w:lang w:val="en-US" w:eastAsia="zh-CN"/>
        </w:rPr>
        <w:t>0.39万元，福利费0.15万元。</w:t>
      </w:r>
    </w:p>
    <w:p>
      <w:pPr>
        <w:widowControl/>
        <w:numPr>
          <w:ilvl w:val="0"/>
          <w:numId w:val="0"/>
        </w:numPr>
        <w:spacing w:line="600" w:lineRule="exact"/>
        <w:ind w:firstLine="723" w:firstLineChars="200"/>
        <w:jc w:val="left"/>
        <w:rPr>
          <w:rFonts w:hint="eastAsia" w:ascii="宋体" w:hAnsi="宋体" w:eastAsia="宋体" w:cs="宋体"/>
          <w:b/>
          <w:color w:val="000000"/>
          <w:kern w:val="0"/>
          <w:sz w:val="36"/>
          <w:szCs w:val="36"/>
        </w:rPr>
      </w:pPr>
      <w:r>
        <w:rPr>
          <w:rFonts w:hint="eastAsia" w:ascii="宋体" w:hAnsi="宋体" w:eastAsia="宋体" w:cs="宋体"/>
          <w:b/>
          <w:color w:val="000000"/>
          <w:kern w:val="0"/>
          <w:sz w:val="36"/>
          <w:szCs w:val="36"/>
          <w:lang w:eastAsia="zh-CN"/>
        </w:rPr>
        <w:t>四、</w:t>
      </w:r>
      <w:r>
        <w:rPr>
          <w:rFonts w:hint="eastAsia" w:ascii="宋体" w:hAnsi="宋体" w:eastAsia="宋体" w:cs="宋体"/>
          <w:b/>
          <w:color w:val="000000"/>
          <w:kern w:val="0"/>
          <w:sz w:val="36"/>
          <w:szCs w:val="36"/>
        </w:rPr>
        <w:t>财政拨款“三公”经费预算安排情况</w:t>
      </w:r>
    </w:p>
    <w:p>
      <w:pPr>
        <w:spacing w:line="600" w:lineRule="exact"/>
        <w:ind w:firstLine="645"/>
        <w:rPr>
          <w:rFonts w:hint="eastAsia" w:ascii="仿宋" w:hAnsi="仿宋" w:eastAsia="仿宋" w:cs="仿宋"/>
          <w:sz w:val="32"/>
          <w:szCs w:val="32"/>
          <w:lang w:eastAsia="zh-CN"/>
        </w:rPr>
      </w:pPr>
      <w:r>
        <w:rPr>
          <w:rFonts w:hint="eastAsia" w:ascii="仿宋" w:hAnsi="仿宋" w:eastAsia="仿宋" w:cs="仿宋"/>
          <w:sz w:val="32"/>
          <w:szCs w:val="32"/>
          <w:lang w:eastAsia="zh-CN"/>
        </w:rPr>
        <w:t>我单位</w:t>
      </w:r>
      <w:r>
        <w:rPr>
          <w:rFonts w:hint="eastAsia" w:ascii="仿宋" w:hAnsi="仿宋" w:eastAsia="仿宋" w:cs="仿宋"/>
          <w:sz w:val="32"/>
          <w:szCs w:val="32"/>
          <w:lang w:val="en-US" w:eastAsia="zh-CN"/>
        </w:rPr>
        <w:t>2021无财政拨款</w:t>
      </w:r>
      <w:r>
        <w:rPr>
          <w:rFonts w:hint="eastAsia" w:ascii="仿宋" w:hAnsi="仿宋" w:eastAsia="仿宋" w:cs="仿宋"/>
          <w:sz w:val="32"/>
          <w:szCs w:val="32"/>
          <w:lang w:eastAsia="zh-CN"/>
        </w:rPr>
        <w:t>“三公”经费支出。</w:t>
      </w:r>
      <w:r>
        <w:rPr>
          <w:rFonts w:hint="eastAsia" w:ascii="仿宋" w:hAnsi="仿宋" w:eastAsia="仿宋" w:cs="仿宋"/>
          <w:sz w:val="32"/>
          <w:szCs w:val="32"/>
          <w:lang w:val="en-US" w:eastAsia="zh-CN"/>
        </w:rPr>
        <w:t>2022年财政预算拨款</w:t>
      </w:r>
      <w:r>
        <w:rPr>
          <w:rFonts w:hint="eastAsia" w:ascii="仿宋" w:hAnsi="仿宋" w:eastAsia="仿宋" w:cs="仿宋"/>
          <w:sz w:val="32"/>
          <w:szCs w:val="32"/>
          <w:lang w:eastAsia="zh-CN"/>
        </w:rPr>
        <w:t>“三公”经费与去年相比无变化。</w:t>
      </w:r>
    </w:p>
    <w:p>
      <w:pPr>
        <w:spacing w:line="600" w:lineRule="exact"/>
        <w:ind w:firstLine="645"/>
        <w:rPr>
          <w:rFonts w:hint="eastAsia" w:ascii="仿宋" w:hAnsi="仿宋" w:eastAsia="仿宋" w:cs="仿宋"/>
          <w:sz w:val="32"/>
          <w:szCs w:val="32"/>
          <w:lang w:eastAsia="zh-CN"/>
        </w:rPr>
      </w:pPr>
    </w:p>
    <w:p>
      <w:pPr>
        <w:widowControl/>
        <w:spacing w:line="600" w:lineRule="exact"/>
        <w:ind w:firstLine="361" w:firstLineChars="100"/>
        <w:jc w:val="left"/>
        <w:rPr>
          <w:rFonts w:hint="eastAsia" w:ascii="宋体" w:hAnsi="宋体" w:eastAsia="宋体" w:cs="宋体"/>
          <w:b/>
          <w:sz w:val="36"/>
          <w:szCs w:val="36"/>
        </w:rPr>
      </w:pPr>
      <w:r>
        <w:rPr>
          <w:rFonts w:hint="eastAsia" w:ascii="宋体" w:hAnsi="宋体" w:eastAsia="宋体" w:cs="宋体"/>
          <w:b/>
          <w:kern w:val="0"/>
          <w:sz w:val="36"/>
          <w:szCs w:val="36"/>
        </w:rPr>
        <w:t>五、预算绩效信息情况</w:t>
      </w:r>
    </w:p>
    <w:p>
      <w:pPr>
        <w:spacing w:line="600" w:lineRule="exact"/>
        <w:ind w:firstLine="645"/>
        <w:rPr>
          <w:rFonts w:hint="eastAsia" w:ascii="宋体" w:hAnsi="宋体" w:eastAsia="宋体" w:cs="宋体"/>
          <w:b/>
          <w:kern w:val="0"/>
          <w:sz w:val="36"/>
          <w:szCs w:val="36"/>
        </w:rPr>
      </w:pPr>
      <w:r>
        <w:rPr>
          <w:rFonts w:hint="eastAsia" w:ascii="宋体" w:hAnsi="宋体" w:cs="宋体"/>
          <w:b/>
          <w:kern w:val="0"/>
          <w:sz w:val="36"/>
          <w:szCs w:val="36"/>
          <w:lang w:eastAsia="zh-CN"/>
        </w:rPr>
        <w:t>（一）</w:t>
      </w:r>
      <w:r>
        <w:rPr>
          <w:rFonts w:hint="eastAsia" w:ascii="宋体" w:hAnsi="宋体" w:eastAsia="宋体" w:cs="宋体"/>
          <w:b/>
          <w:kern w:val="0"/>
          <w:sz w:val="36"/>
          <w:szCs w:val="36"/>
        </w:rPr>
        <w:t>总体绩效目标</w:t>
      </w:r>
    </w:p>
    <w:p>
      <w:pPr>
        <w:pStyle w:val="13"/>
        <w:rPr>
          <w:rFonts w:hint="eastAsia" w:ascii="仿宋" w:hAnsi="仿宋" w:eastAsia="仿宋" w:cs="仿宋"/>
          <w:sz w:val="32"/>
          <w:szCs w:val="32"/>
        </w:rPr>
      </w:pPr>
      <w:r>
        <w:rPr>
          <w:rFonts w:hint="eastAsia" w:ascii="仿宋" w:hAnsi="仿宋" w:eastAsia="仿宋" w:cs="仿宋"/>
          <w:sz w:val="32"/>
          <w:szCs w:val="32"/>
        </w:rPr>
        <w:t>为进一步丰富和活跃群众的精神文化生活，围绕县委县政府的工作要求，举办一批优秀的摄影书法，美术类展览类等活动，活动的举办推进宁晋文艺振兴的重要举措。不断完善文学艺术界管理科学规范，召开联络会议，组织会员开展各类活动，加大培训力度，为宁晋县文艺事业健康快速发展提供组织保障。组织县内文艺工作者创作文艺精品，繁荣宁晋县文化事业，促进宁晋县文化艺术的影响力和美誉度进一步提高。</w:t>
      </w:r>
    </w:p>
    <w:p>
      <w:pPr>
        <w:pStyle w:val="13"/>
        <w:rPr>
          <w:rFonts w:hint="eastAsia" w:ascii="仿宋" w:hAnsi="仿宋" w:eastAsia="仿宋" w:cs="仿宋"/>
          <w:sz w:val="32"/>
          <w:szCs w:val="32"/>
        </w:rPr>
      </w:pPr>
      <w:r>
        <w:rPr>
          <w:rFonts w:hint="eastAsia" w:ascii="仿宋" w:hAnsi="仿宋" w:eastAsia="仿宋" w:cs="仿宋"/>
          <w:sz w:val="32"/>
          <w:szCs w:val="32"/>
        </w:rPr>
        <w:t>继续完善协会建设，加强对文艺人才的培养。一是加强各协会之间的联系、二是加强文艺工作者的培训，为文艺工作者提供尽可能的帮助和创造条件，鼓励文艺人オ脱颖而出。进一步繁荣文艺创作，强化文艺振兴力度。是加强文艺扶持力度，注重上引下联，鼓励文学爱好者，文艺工作者及各协会创作一批反映宁晋地方特色的工艺精品;二是积极推介文艺精品，组织谋划县域文艺工作者参加省市活动暨文艺精品评选活动，同时积极组织县域之间横向文化交流活动。</w:t>
      </w:r>
    </w:p>
    <w:p>
      <w:pPr>
        <w:pStyle w:val="12"/>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ind w:firstLine="640"/>
        <w:rPr>
          <w:rFonts w:hint="eastAsia" w:ascii="宋体" w:hAnsi="宋体" w:eastAsia="宋体" w:cs="宋体"/>
          <w:sz w:val="32"/>
          <w:szCs w:val="32"/>
        </w:rPr>
      </w:pPr>
    </w:p>
    <w:p>
      <w:pPr>
        <w:pStyle w:val="12"/>
        <w:widowControl/>
        <w:spacing w:beforeLines="0" w:afterLines="0"/>
        <w:ind w:firstLine="723" w:firstLineChars="200"/>
        <w:rPr>
          <w:rFonts w:hint="eastAsia" w:ascii="宋体" w:hAnsi="宋体" w:eastAsia="宋体" w:cs="宋体"/>
          <w:b/>
          <w:kern w:val="0"/>
          <w:sz w:val="36"/>
          <w:szCs w:val="36"/>
          <w:lang w:val="en-US" w:eastAsia="zh-CN" w:bidi="ar-SA"/>
        </w:rPr>
      </w:pPr>
      <w:r>
        <w:rPr>
          <w:rFonts w:hint="eastAsia" w:cs="宋体"/>
          <w:b/>
          <w:kern w:val="0"/>
          <w:sz w:val="36"/>
          <w:szCs w:val="36"/>
          <w:lang w:val="en-US" w:eastAsia="zh-CN" w:bidi="ar-SA"/>
        </w:rPr>
        <w:t>（二）</w:t>
      </w:r>
      <w:r>
        <w:rPr>
          <w:rFonts w:hint="eastAsia" w:ascii="宋体" w:hAnsi="宋体" w:eastAsia="宋体" w:cs="宋体"/>
          <w:b/>
          <w:kern w:val="0"/>
          <w:sz w:val="36"/>
          <w:szCs w:val="36"/>
          <w:lang w:val="en-US" w:eastAsia="zh-CN" w:bidi="ar-SA"/>
        </w:rPr>
        <w:t>分</w:t>
      </w:r>
      <w:r>
        <w:rPr>
          <w:rFonts w:hint="eastAsia" w:cs="宋体"/>
          <w:b/>
          <w:kern w:val="0"/>
          <w:sz w:val="36"/>
          <w:szCs w:val="36"/>
          <w:lang w:val="en-US" w:eastAsia="zh-CN" w:bidi="ar-SA"/>
        </w:rPr>
        <w:t>项</w:t>
      </w:r>
      <w:r>
        <w:rPr>
          <w:rFonts w:hint="eastAsia" w:ascii="宋体" w:hAnsi="宋体" w:eastAsia="宋体" w:cs="宋体"/>
          <w:b/>
          <w:kern w:val="0"/>
          <w:sz w:val="36"/>
          <w:szCs w:val="36"/>
          <w:lang w:val="en-US" w:eastAsia="zh-CN" w:bidi="ar-SA"/>
        </w:rPr>
        <w:t>绩效目标：</w:t>
      </w:r>
    </w:p>
    <w:p>
      <w:pPr>
        <w:pStyle w:val="12"/>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ind w:firstLine="600"/>
        <w:rPr>
          <w:rFonts w:hint="eastAsia" w:ascii="仿宋" w:hAnsi="仿宋" w:eastAsia="仿宋" w:cs="仿宋"/>
          <w:sz w:val="32"/>
        </w:rPr>
      </w:pPr>
      <w:r>
        <w:rPr>
          <w:rFonts w:hint="eastAsia" w:ascii="仿宋" w:hAnsi="仿宋" w:eastAsia="仿宋" w:cs="仿宋"/>
          <w:sz w:val="32"/>
        </w:rPr>
        <w:t>宁晋县文联分项绩效目标：</w:t>
      </w:r>
    </w:p>
    <w:p>
      <w:pPr>
        <w:pStyle w:val="14"/>
        <w:rPr>
          <w:rFonts w:hint="eastAsia" w:ascii="仿宋" w:hAnsi="仿宋" w:eastAsia="仿宋" w:cs="仿宋"/>
          <w:sz w:val="32"/>
          <w:szCs w:val="32"/>
        </w:rPr>
      </w:pPr>
      <w:r>
        <w:rPr>
          <w:rFonts w:hint="eastAsia" w:ascii="仿宋" w:hAnsi="仿宋" w:eastAsia="仿宋" w:cs="仿宋"/>
          <w:sz w:val="32"/>
          <w:szCs w:val="32"/>
        </w:rPr>
        <w:t>1、确保文联全体职工工资、津补贴、社保、公积金等按时支付，人员经费足额到位。</w:t>
      </w:r>
    </w:p>
    <w:p>
      <w:pPr>
        <w:pStyle w:val="14"/>
        <w:rPr>
          <w:rFonts w:hint="eastAsia" w:ascii="仿宋" w:hAnsi="仿宋" w:eastAsia="仿宋" w:cs="仿宋"/>
          <w:sz w:val="32"/>
          <w:szCs w:val="32"/>
        </w:rPr>
      </w:pPr>
      <w:r>
        <w:rPr>
          <w:rFonts w:hint="eastAsia" w:ascii="仿宋" w:hAnsi="仿宋" w:eastAsia="仿宋" w:cs="仿宋"/>
          <w:sz w:val="32"/>
          <w:szCs w:val="32"/>
        </w:rPr>
        <w:t>2、保障文联各协会文艺活动顺利开展，推动全县文艺事业的发展和繁荣，鼓励探索创新、风格多样、个性鲜明的文艺作品与活动。</w:t>
      </w:r>
    </w:p>
    <w:p>
      <w:pPr>
        <w:pStyle w:val="14"/>
        <w:rPr>
          <w:rFonts w:hint="eastAsia" w:ascii="仿宋" w:hAnsi="仿宋" w:eastAsia="仿宋" w:cs="仿宋"/>
          <w:sz w:val="32"/>
          <w:szCs w:val="32"/>
        </w:rPr>
      </w:pPr>
      <w:r>
        <w:rPr>
          <w:rFonts w:hint="eastAsia" w:ascii="仿宋" w:hAnsi="仿宋" w:eastAsia="仿宋" w:cs="仿宋"/>
          <w:sz w:val="32"/>
          <w:szCs w:val="32"/>
        </w:rPr>
        <w:t>3、及时购置日常办公所需物资、设备，保障日常办公正常运转，各项业务活动正常开展。</w:t>
      </w:r>
    </w:p>
    <w:p>
      <w:pPr>
        <w:pStyle w:val="14"/>
        <w:rPr>
          <w:rFonts w:hint="eastAsia" w:ascii="仿宋" w:hAnsi="仿宋" w:eastAsia="仿宋" w:cs="仿宋"/>
          <w:sz w:val="32"/>
          <w:szCs w:val="32"/>
        </w:rPr>
      </w:pPr>
      <w:r>
        <w:rPr>
          <w:rFonts w:hint="eastAsia" w:ascii="仿宋" w:hAnsi="仿宋" w:eastAsia="仿宋" w:cs="仿宋"/>
          <w:sz w:val="32"/>
          <w:szCs w:val="32"/>
        </w:rPr>
        <w:t>4、组织各协会会员参与培训，提高专业水平，为协会发展提供保障。</w:t>
      </w:r>
    </w:p>
    <w:p>
      <w:pPr>
        <w:pStyle w:val="14"/>
        <w:rPr>
          <w:rFonts w:hint="eastAsia" w:ascii="仿宋" w:hAnsi="仿宋" w:eastAsia="仿宋" w:cs="仿宋"/>
          <w:sz w:val="32"/>
          <w:szCs w:val="32"/>
        </w:rPr>
      </w:pPr>
      <w:r>
        <w:rPr>
          <w:rFonts w:hint="eastAsia" w:ascii="仿宋" w:hAnsi="仿宋" w:eastAsia="仿宋" w:cs="仿宋"/>
          <w:sz w:val="32"/>
          <w:szCs w:val="32"/>
        </w:rPr>
        <w:t>5、组织开展文联全委会，了解并及时解决工作中的问题。</w:t>
      </w:r>
    </w:p>
    <w:p>
      <w:pPr>
        <w:pStyle w:val="14"/>
        <w:rPr>
          <w:rFonts w:hint="eastAsia" w:ascii="仿宋" w:hAnsi="仿宋" w:eastAsia="仿宋" w:cs="仿宋"/>
          <w:sz w:val="32"/>
          <w:szCs w:val="32"/>
        </w:rPr>
      </w:pPr>
      <w:r>
        <w:rPr>
          <w:rFonts w:hint="eastAsia" w:ascii="仿宋" w:hAnsi="仿宋" w:eastAsia="仿宋" w:cs="仿宋"/>
          <w:sz w:val="32"/>
          <w:szCs w:val="32"/>
        </w:rPr>
        <w:t>6、加强对外宣传与交流，加强对市文联的信息报送。</w:t>
      </w:r>
    </w:p>
    <w:p>
      <w:pPr>
        <w:pStyle w:val="12"/>
        <w:ind w:firstLine="640" w:firstLineChars="200"/>
        <w:rPr>
          <w:rFonts w:hint="eastAsia" w:asciiTheme="minorEastAsia" w:hAnsiTheme="minorEastAsia" w:eastAsiaTheme="minorEastAsia" w:cstheme="minorEastAsia"/>
          <w:b/>
          <w:kern w:val="2"/>
          <w:sz w:val="32"/>
          <w:szCs w:val="32"/>
          <w:lang w:eastAsia="zh-CN"/>
        </w:rPr>
      </w:pPr>
      <w:r>
        <w:rPr>
          <w:rFonts w:hint="eastAsia" w:ascii="仿宋" w:hAnsi="仿宋" w:eastAsia="仿宋" w:cs="仿宋"/>
          <w:sz w:val="32"/>
          <w:szCs w:val="32"/>
        </w:rPr>
        <w:t>7、加强制度建设，财务管理等工作，不断提高规范化水平。</w:t>
      </w:r>
    </w:p>
    <w:p>
      <w:pPr>
        <w:pStyle w:val="12"/>
        <w:ind w:firstLine="723" w:firstLineChars="200"/>
        <w:rPr>
          <w:rFonts w:cs="仿宋_GB2312"/>
          <w:b/>
          <w:kern w:val="2"/>
          <w:sz w:val="32"/>
          <w:szCs w:val="32"/>
          <w:lang w:eastAsia="zh-CN"/>
        </w:rPr>
      </w:pPr>
      <w:r>
        <w:rPr>
          <w:rFonts w:hint="eastAsia" w:cs="仿宋_GB2312"/>
          <w:b/>
          <w:kern w:val="2"/>
          <w:sz w:val="36"/>
          <w:szCs w:val="36"/>
          <w:lang w:eastAsia="zh-CN"/>
        </w:rPr>
        <w:t>（三）工作保障措施：</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积极推动文学艺术界管理科学规范，召开联络会议，组织会员开展各类活动，加大培训力度，为宁晋县文艺事业健康快速发展提供组织保障。组织县内文艺工作者创作文艺精品，繁荣宁晋县文化事业，促进宁晋县文化艺术的影响力和美誉度进一步提高，确保资金到位，协助各协会活动圆满完成。</w:t>
      </w:r>
    </w:p>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p>
    <w:p>
      <w:pPr>
        <w:widowControl/>
        <w:jc w:val="left"/>
        <w:rPr>
          <w:rFonts w:hint="eastAsia" w:ascii="宋体" w:hAnsi="宋体" w:cs="宋体"/>
          <w:b/>
          <w:kern w:val="0"/>
          <w:sz w:val="32"/>
          <w:szCs w:val="32"/>
        </w:rPr>
      </w:pPr>
      <w:r>
        <w:rPr>
          <w:rFonts w:ascii="宋体" w:hAnsi="宋体" w:cs="宋体"/>
          <w:b/>
          <w:kern w:val="0"/>
          <w:sz w:val="32"/>
          <w:szCs w:val="32"/>
        </w:rPr>
        <w:t>“部门职责-工作活动”绩效目标指标明细表详见</w:t>
      </w:r>
      <w:r>
        <w:rPr>
          <w:rFonts w:hint="eastAsia" w:ascii="宋体" w:hAnsi="宋体" w:cs="宋体"/>
          <w:b/>
          <w:kern w:val="0"/>
          <w:sz w:val="32"/>
          <w:szCs w:val="32"/>
        </w:rPr>
        <w:t>下表</w:t>
      </w:r>
    </w:p>
    <w:p>
      <w:pPr>
        <w:widowControl/>
        <w:jc w:val="left"/>
        <w:rPr>
          <w:rFonts w:hint="eastAsia" w:ascii="宋体" w:hAnsi="宋体" w:cs="宋体"/>
          <w:b/>
          <w:kern w:val="0"/>
          <w:sz w:val="32"/>
          <w:szCs w:val="32"/>
        </w:rPr>
      </w:pPr>
    </w:p>
    <w:p>
      <w:pPr>
        <w:spacing w:before="0" w:after="0"/>
        <w:ind w:firstLine="560"/>
        <w:jc w:val="left"/>
        <w:outlineLvl w:val="3"/>
        <w:rPr>
          <w:rFonts w:hint="eastAsia" w:ascii="仿宋" w:hAnsi="仿宋" w:eastAsia="仿宋" w:cs="仿宋"/>
          <w:sz w:val="32"/>
          <w:szCs w:val="32"/>
        </w:rPr>
      </w:pPr>
      <w:r>
        <w:rPr>
          <w:rFonts w:hint="eastAsia" w:ascii="仿宋" w:hAnsi="仿宋" w:eastAsia="仿宋" w:cs="仿宋"/>
          <w:color w:val="000000"/>
          <w:sz w:val="32"/>
          <w:szCs w:val="32"/>
        </w:rPr>
        <w:t>1.2022年承办第26届全省摄影展费用绩效目标表</w:t>
      </w:r>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6"/>
            </w:pPr>
          </w:p>
        </w:tc>
        <w:tc>
          <w:tcPr>
            <w:tcW w:w="1327" w:type="dxa"/>
            <w:tcBorders>
              <w:top w:val="single" w:color="FFFFFF" w:sz="6" w:space="0"/>
              <w:left w:val="single" w:color="FFFFFF" w:sz="6" w:space="0"/>
              <w:right w:val="single" w:color="FFFFFF" w:sz="6" w:space="0"/>
            </w:tcBorders>
            <w:vAlign w:val="center"/>
          </w:tcPr>
          <w:p>
            <w:pPr>
              <w:pStyle w:val="1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8"/>
            </w:pPr>
            <w:r>
              <w:t>项目编码</w:t>
            </w:r>
          </w:p>
        </w:tc>
        <w:tc>
          <w:tcPr>
            <w:tcW w:w="2654" w:type="dxa"/>
            <w:gridSpan w:val="2"/>
            <w:vAlign w:val="center"/>
          </w:tcPr>
          <w:p>
            <w:pPr>
              <w:pStyle w:val="19"/>
            </w:pPr>
            <w:r>
              <w:t>13052822P001098101290</w:t>
            </w:r>
          </w:p>
        </w:tc>
        <w:tc>
          <w:tcPr>
            <w:tcW w:w="1327" w:type="dxa"/>
            <w:vAlign w:val="center"/>
          </w:tcPr>
          <w:p>
            <w:pPr>
              <w:pStyle w:val="18"/>
            </w:pPr>
            <w:r>
              <w:t>项目名称</w:t>
            </w:r>
          </w:p>
        </w:tc>
        <w:tc>
          <w:tcPr>
            <w:tcW w:w="3981" w:type="dxa"/>
            <w:gridSpan w:val="3"/>
            <w:vAlign w:val="center"/>
          </w:tcPr>
          <w:p>
            <w:pPr>
              <w:pStyle w:val="19"/>
            </w:pPr>
            <w:r>
              <w:t>2022年承办第26届全省摄影展费用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8"/>
            </w:pPr>
            <w:r>
              <w:t>预算规模及资金用途</w:t>
            </w:r>
          </w:p>
        </w:tc>
        <w:tc>
          <w:tcPr>
            <w:tcW w:w="1327" w:type="dxa"/>
            <w:vAlign w:val="center"/>
          </w:tcPr>
          <w:p>
            <w:pPr>
              <w:pStyle w:val="18"/>
            </w:pPr>
            <w:r>
              <w:t>预算数</w:t>
            </w:r>
          </w:p>
        </w:tc>
        <w:tc>
          <w:tcPr>
            <w:tcW w:w="1327" w:type="dxa"/>
            <w:vAlign w:val="center"/>
          </w:tcPr>
          <w:p>
            <w:pPr>
              <w:pStyle w:val="19"/>
            </w:pPr>
            <w:r>
              <w:t>40.00</w:t>
            </w:r>
          </w:p>
        </w:tc>
        <w:tc>
          <w:tcPr>
            <w:tcW w:w="1327" w:type="dxa"/>
            <w:vAlign w:val="center"/>
          </w:tcPr>
          <w:p>
            <w:pPr>
              <w:pStyle w:val="18"/>
            </w:pPr>
            <w:r>
              <w:t>其中：财政    资金</w:t>
            </w:r>
          </w:p>
        </w:tc>
        <w:tc>
          <w:tcPr>
            <w:tcW w:w="1327" w:type="dxa"/>
            <w:vAlign w:val="center"/>
          </w:tcPr>
          <w:p>
            <w:pPr>
              <w:pStyle w:val="19"/>
            </w:pPr>
            <w:r>
              <w:t>40.00</w:t>
            </w:r>
          </w:p>
        </w:tc>
        <w:tc>
          <w:tcPr>
            <w:tcW w:w="1327" w:type="dxa"/>
            <w:vAlign w:val="center"/>
          </w:tcPr>
          <w:p>
            <w:pPr>
              <w:pStyle w:val="18"/>
            </w:pPr>
            <w:r>
              <w:t>其他资金</w:t>
            </w:r>
          </w:p>
        </w:tc>
        <w:tc>
          <w:tcPr>
            <w:tcW w:w="1327" w:type="dxa"/>
            <w:vAlign w:val="center"/>
          </w:tcPr>
          <w:p>
            <w:pPr>
              <w:pStyle w:val="19"/>
              <w:rPr>
                <w:rFonts w:hint="eastAsia" w:eastAsia="方正书宋_GBK"/>
                <w:lang w:val="en-US" w:eastAsia="zh-CN"/>
              </w:rPr>
            </w:pPr>
            <w:r>
              <w:t xml:space="preserve"> </w:t>
            </w:r>
            <w:r>
              <w:rPr>
                <w:rFonts w:hint="eastAsia"/>
                <w:lang w:val="en-US" w:eastAsia="zh-CN"/>
              </w:rPr>
              <w:t>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9"/>
            </w:pPr>
            <w:r>
              <w:t>河北省摄影艺术展览的举办为全县文艺的发展和繁荣做出了突出贡献，承办地各项事业得到了广泛推介，收到了良好的社会效益。经与河北省摄影家协会努力争取，承办第26届河北省摄影艺术展览、“安宁晋福”宁晋摄影大展初步定于2022年在我县举行，2场影展所需场馆布局装饰、作品创作、评审、制作、展览费用预计40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8"/>
            </w:pPr>
            <w:r>
              <w:t>资金支出计划（%）</w:t>
            </w:r>
          </w:p>
        </w:tc>
        <w:tc>
          <w:tcPr>
            <w:tcW w:w="2654" w:type="dxa"/>
            <w:gridSpan w:val="2"/>
            <w:vAlign w:val="center"/>
          </w:tcPr>
          <w:p>
            <w:pPr>
              <w:pStyle w:val="18"/>
            </w:pPr>
            <w:r>
              <w:t>3月底</w:t>
            </w:r>
          </w:p>
        </w:tc>
        <w:tc>
          <w:tcPr>
            <w:tcW w:w="1327" w:type="dxa"/>
            <w:vAlign w:val="center"/>
          </w:tcPr>
          <w:p>
            <w:pPr>
              <w:pStyle w:val="18"/>
            </w:pPr>
            <w:r>
              <w:t>6月底</w:t>
            </w:r>
          </w:p>
        </w:tc>
        <w:tc>
          <w:tcPr>
            <w:tcW w:w="1327" w:type="dxa"/>
            <w:vAlign w:val="center"/>
          </w:tcPr>
          <w:p>
            <w:pPr>
              <w:pStyle w:val="18"/>
            </w:pPr>
            <w:r>
              <w:t>10月底</w:t>
            </w:r>
          </w:p>
        </w:tc>
        <w:tc>
          <w:tcPr>
            <w:tcW w:w="2654" w:type="dxa"/>
            <w:gridSpan w:val="2"/>
            <w:vAlign w:val="center"/>
          </w:tcPr>
          <w:p>
            <w:pPr>
              <w:pStyle w:val="1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20"/>
            </w:pPr>
            <w:r>
              <w:t xml:space="preserve"> </w:t>
            </w:r>
          </w:p>
        </w:tc>
        <w:tc>
          <w:tcPr>
            <w:tcW w:w="1327" w:type="dxa"/>
            <w:vAlign w:val="center"/>
          </w:tcPr>
          <w:p>
            <w:pPr>
              <w:pStyle w:val="20"/>
            </w:pPr>
            <w:r>
              <w:t>30%</w:t>
            </w:r>
          </w:p>
        </w:tc>
        <w:tc>
          <w:tcPr>
            <w:tcW w:w="1327" w:type="dxa"/>
            <w:vAlign w:val="center"/>
          </w:tcPr>
          <w:p>
            <w:pPr>
              <w:pStyle w:val="20"/>
            </w:pPr>
            <w:r>
              <w:t>80%</w:t>
            </w:r>
          </w:p>
        </w:tc>
        <w:tc>
          <w:tcPr>
            <w:tcW w:w="2654" w:type="dxa"/>
            <w:gridSpan w:val="2"/>
            <w:vAlign w:val="center"/>
          </w:tcPr>
          <w:p>
            <w:pPr>
              <w:pStyle w:val="20"/>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8"/>
            </w:pPr>
            <w:r>
              <w:t>绩效目标</w:t>
            </w:r>
          </w:p>
        </w:tc>
        <w:tc>
          <w:tcPr>
            <w:tcW w:w="7962" w:type="dxa"/>
            <w:gridSpan w:val="6"/>
            <w:vAlign w:val="center"/>
          </w:tcPr>
          <w:p>
            <w:pPr>
              <w:pStyle w:val="19"/>
            </w:pPr>
            <w:r>
              <w:t>1.确保活动如期举行，资金按时支付。</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8"/>
            </w:pPr>
            <w:r>
              <w:t>一级指标</w:t>
            </w:r>
          </w:p>
        </w:tc>
        <w:tc>
          <w:tcPr>
            <w:tcW w:w="1327" w:type="dxa"/>
            <w:vAlign w:val="center"/>
          </w:tcPr>
          <w:p>
            <w:pPr>
              <w:pStyle w:val="18"/>
            </w:pPr>
            <w:r>
              <w:t>二级指标</w:t>
            </w:r>
          </w:p>
        </w:tc>
        <w:tc>
          <w:tcPr>
            <w:tcW w:w="1327" w:type="dxa"/>
            <w:vAlign w:val="center"/>
          </w:tcPr>
          <w:p>
            <w:pPr>
              <w:pStyle w:val="18"/>
            </w:pPr>
            <w:r>
              <w:t>三级指标</w:t>
            </w:r>
          </w:p>
        </w:tc>
        <w:tc>
          <w:tcPr>
            <w:tcW w:w="2654" w:type="dxa"/>
            <w:vAlign w:val="center"/>
          </w:tcPr>
          <w:p>
            <w:pPr>
              <w:pStyle w:val="18"/>
            </w:pPr>
            <w:r>
              <w:t>绩效指标描述</w:t>
            </w:r>
          </w:p>
        </w:tc>
        <w:tc>
          <w:tcPr>
            <w:tcW w:w="1327" w:type="dxa"/>
            <w:vAlign w:val="center"/>
          </w:tcPr>
          <w:p>
            <w:pPr>
              <w:pStyle w:val="18"/>
            </w:pPr>
            <w:r>
              <w:t>指标值</w:t>
            </w:r>
          </w:p>
        </w:tc>
        <w:tc>
          <w:tcPr>
            <w:tcW w:w="1327"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举办活动场次</w:t>
            </w:r>
          </w:p>
        </w:tc>
        <w:tc>
          <w:tcPr>
            <w:tcW w:w="2654" w:type="dxa"/>
            <w:vAlign w:val="center"/>
          </w:tcPr>
          <w:p>
            <w:pPr>
              <w:pStyle w:val="19"/>
            </w:pPr>
            <w:r>
              <w:t>举办活动场次</w:t>
            </w:r>
          </w:p>
        </w:tc>
        <w:tc>
          <w:tcPr>
            <w:tcW w:w="1327" w:type="dxa"/>
            <w:vAlign w:val="center"/>
          </w:tcPr>
          <w:p>
            <w:pPr>
              <w:pStyle w:val="19"/>
            </w:pPr>
            <w:r>
              <w:t>2次</w:t>
            </w:r>
          </w:p>
        </w:tc>
        <w:tc>
          <w:tcPr>
            <w:tcW w:w="1327" w:type="dxa"/>
            <w:vAlign w:val="center"/>
          </w:tcPr>
          <w:p>
            <w:pPr>
              <w:pStyle w:val="19"/>
            </w:pPr>
            <w:r>
              <w:t>活动举办次数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群众文化活动参与率</w:t>
            </w:r>
          </w:p>
        </w:tc>
        <w:tc>
          <w:tcPr>
            <w:tcW w:w="2654" w:type="dxa"/>
            <w:vAlign w:val="center"/>
          </w:tcPr>
          <w:p>
            <w:pPr>
              <w:pStyle w:val="19"/>
            </w:pPr>
            <w:r>
              <w:t>群众文化活动参与率</w:t>
            </w:r>
          </w:p>
        </w:tc>
        <w:tc>
          <w:tcPr>
            <w:tcW w:w="1327" w:type="dxa"/>
            <w:vAlign w:val="center"/>
          </w:tcPr>
          <w:p>
            <w:pPr>
              <w:pStyle w:val="19"/>
            </w:pPr>
            <w:r>
              <w:t>≥90百分比</w:t>
            </w:r>
          </w:p>
        </w:tc>
        <w:tc>
          <w:tcPr>
            <w:tcW w:w="1327" w:type="dxa"/>
            <w:vAlign w:val="center"/>
          </w:tcPr>
          <w:p>
            <w:pPr>
              <w:pStyle w:val="19"/>
            </w:pPr>
            <w:r>
              <w:t>参与度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工作任务完成及时率</w:t>
            </w:r>
          </w:p>
        </w:tc>
        <w:tc>
          <w:tcPr>
            <w:tcW w:w="2654" w:type="dxa"/>
            <w:vAlign w:val="center"/>
          </w:tcPr>
          <w:p>
            <w:pPr>
              <w:pStyle w:val="19"/>
            </w:pPr>
            <w:r>
              <w:t>工作任务完成及时率</w:t>
            </w:r>
          </w:p>
        </w:tc>
        <w:tc>
          <w:tcPr>
            <w:tcW w:w="1327" w:type="dxa"/>
            <w:vAlign w:val="center"/>
          </w:tcPr>
          <w:p>
            <w:pPr>
              <w:pStyle w:val="19"/>
            </w:pPr>
            <w:r>
              <w:t>≥90百分比</w:t>
            </w:r>
          </w:p>
        </w:tc>
        <w:tc>
          <w:tcPr>
            <w:tcW w:w="1327" w:type="dxa"/>
            <w:vAlign w:val="center"/>
          </w:tcPr>
          <w:p>
            <w:pPr>
              <w:pStyle w:val="19"/>
            </w:pPr>
            <w:r>
              <w:t>活动如期举办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4"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资金成本</w:t>
            </w:r>
          </w:p>
        </w:tc>
        <w:tc>
          <w:tcPr>
            <w:tcW w:w="2654" w:type="dxa"/>
            <w:vAlign w:val="center"/>
          </w:tcPr>
          <w:p>
            <w:pPr>
              <w:pStyle w:val="19"/>
            </w:pPr>
            <w:r>
              <w:t>资金成本</w:t>
            </w:r>
          </w:p>
        </w:tc>
        <w:tc>
          <w:tcPr>
            <w:tcW w:w="1327" w:type="dxa"/>
            <w:vAlign w:val="center"/>
          </w:tcPr>
          <w:p>
            <w:pPr>
              <w:pStyle w:val="19"/>
            </w:pPr>
            <w:r>
              <w:t>≤40万元</w:t>
            </w:r>
          </w:p>
        </w:tc>
        <w:tc>
          <w:tcPr>
            <w:tcW w:w="1327" w:type="dxa"/>
            <w:vAlign w:val="center"/>
          </w:tcPr>
          <w:p>
            <w:pPr>
              <w:pStyle w:val="19"/>
            </w:pPr>
            <w:r>
              <w:t>资金实际支出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经济效益指标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≥90百分比</w:t>
            </w:r>
          </w:p>
        </w:tc>
        <w:tc>
          <w:tcPr>
            <w:tcW w:w="1327" w:type="dxa"/>
            <w:vAlign w:val="center"/>
          </w:tcPr>
          <w:p>
            <w:pPr>
              <w:pStyle w:val="19"/>
            </w:pPr>
            <w:r>
              <w:t>资金使用效率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艺术作品的知名度</w:t>
            </w:r>
          </w:p>
        </w:tc>
        <w:tc>
          <w:tcPr>
            <w:tcW w:w="2654" w:type="dxa"/>
            <w:vAlign w:val="center"/>
          </w:tcPr>
          <w:p>
            <w:pPr>
              <w:pStyle w:val="19"/>
            </w:pPr>
            <w:r>
              <w:t>艺术作品的知名度</w:t>
            </w:r>
          </w:p>
        </w:tc>
        <w:tc>
          <w:tcPr>
            <w:tcW w:w="1327" w:type="dxa"/>
            <w:vAlign w:val="center"/>
          </w:tcPr>
          <w:p>
            <w:pPr>
              <w:pStyle w:val="19"/>
            </w:pPr>
            <w:r>
              <w:t>≥90百分比</w:t>
            </w:r>
          </w:p>
        </w:tc>
        <w:tc>
          <w:tcPr>
            <w:tcW w:w="1327" w:type="dxa"/>
            <w:vAlign w:val="center"/>
          </w:tcPr>
          <w:p>
            <w:pPr>
              <w:pStyle w:val="19"/>
            </w:pPr>
            <w:r>
              <w:t>提高摄影作品知名度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资源消耗</w:t>
            </w:r>
          </w:p>
        </w:tc>
        <w:tc>
          <w:tcPr>
            <w:tcW w:w="2654" w:type="dxa"/>
            <w:vAlign w:val="center"/>
          </w:tcPr>
          <w:p>
            <w:pPr>
              <w:pStyle w:val="19"/>
            </w:pPr>
            <w:r>
              <w:t>资源消耗</w:t>
            </w:r>
          </w:p>
        </w:tc>
        <w:tc>
          <w:tcPr>
            <w:tcW w:w="1327" w:type="dxa"/>
            <w:vAlign w:val="center"/>
          </w:tcPr>
          <w:p>
            <w:pPr>
              <w:pStyle w:val="19"/>
            </w:pPr>
            <w:r>
              <w:t>≤70百分比</w:t>
            </w:r>
          </w:p>
        </w:tc>
        <w:tc>
          <w:tcPr>
            <w:tcW w:w="1327" w:type="dxa"/>
            <w:vAlign w:val="center"/>
          </w:tcPr>
          <w:p>
            <w:pPr>
              <w:pStyle w:val="19"/>
            </w:pPr>
            <w:r>
              <w:t>减少资源消耗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可持续影响指标</w:t>
            </w:r>
          </w:p>
        </w:tc>
        <w:tc>
          <w:tcPr>
            <w:tcW w:w="1327" w:type="dxa"/>
            <w:vAlign w:val="center"/>
          </w:tcPr>
          <w:p>
            <w:pPr>
              <w:pStyle w:val="19"/>
            </w:pPr>
            <w:r>
              <w:t>增强影响力</w:t>
            </w:r>
          </w:p>
        </w:tc>
        <w:tc>
          <w:tcPr>
            <w:tcW w:w="2654" w:type="dxa"/>
            <w:vAlign w:val="center"/>
          </w:tcPr>
          <w:p>
            <w:pPr>
              <w:pStyle w:val="19"/>
            </w:pPr>
            <w:r>
              <w:t>增强影响力</w:t>
            </w:r>
          </w:p>
        </w:tc>
        <w:tc>
          <w:tcPr>
            <w:tcW w:w="1327" w:type="dxa"/>
            <w:vAlign w:val="center"/>
          </w:tcPr>
          <w:p>
            <w:pPr>
              <w:pStyle w:val="19"/>
            </w:pPr>
            <w:r>
              <w:t>≥90百分比</w:t>
            </w:r>
          </w:p>
        </w:tc>
        <w:tc>
          <w:tcPr>
            <w:tcW w:w="1327" w:type="dxa"/>
            <w:vAlign w:val="center"/>
          </w:tcPr>
          <w:p>
            <w:pPr>
              <w:pStyle w:val="19"/>
            </w:pPr>
            <w:r>
              <w:t>增加摄影的影响力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活动参与人员满意度</w:t>
            </w:r>
          </w:p>
        </w:tc>
        <w:tc>
          <w:tcPr>
            <w:tcW w:w="2654" w:type="dxa"/>
            <w:vAlign w:val="center"/>
          </w:tcPr>
          <w:p>
            <w:pPr>
              <w:pStyle w:val="19"/>
            </w:pPr>
            <w:r>
              <w:t>活动参与人员满意度</w:t>
            </w:r>
          </w:p>
        </w:tc>
        <w:tc>
          <w:tcPr>
            <w:tcW w:w="1327" w:type="dxa"/>
            <w:vAlign w:val="center"/>
          </w:tcPr>
          <w:p>
            <w:pPr>
              <w:pStyle w:val="19"/>
            </w:pPr>
            <w:r>
              <w:t>≥90百分比</w:t>
            </w:r>
          </w:p>
        </w:tc>
        <w:tc>
          <w:tcPr>
            <w:tcW w:w="1327" w:type="dxa"/>
            <w:vAlign w:val="center"/>
          </w:tcPr>
          <w:p>
            <w:pPr>
              <w:pStyle w:val="19"/>
            </w:pPr>
            <w:r>
              <w:t>满意度</w:t>
            </w:r>
          </w:p>
        </w:tc>
      </w:tr>
    </w:tbl>
    <w:p>
      <w:pPr>
        <w:sectPr>
          <w:pgSz w:w="16840" w:h="11900" w:orient="landscape"/>
          <w:pgMar w:top="1304" w:right="1984" w:bottom="1304" w:left="1134" w:header="720" w:footer="720" w:gutter="0"/>
          <w:cols w:space="720" w:num="1"/>
        </w:sectPr>
      </w:pPr>
    </w:p>
    <w:p>
      <w:pPr>
        <w:spacing w:before="0" w:after="0" w:line="240" w:lineRule="auto"/>
        <w:ind w:firstLine="0"/>
        <w:jc w:val="both"/>
        <w:outlineLvl w:val="9"/>
        <w:rPr>
          <w:rFonts w:hint="eastAsia" w:ascii="仿宋" w:hAnsi="仿宋" w:eastAsia="仿宋" w:cs="仿宋"/>
          <w:sz w:val="32"/>
          <w:szCs w:val="32"/>
        </w:rPr>
      </w:pPr>
      <w:r>
        <w:rPr>
          <w:rFonts w:hint="eastAsia" w:ascii="仿宋" w:hAnsi="仿宋" w:eastAsia="仿宋" w:cs="仿宋"/>
          <w:color w:val="000000"/>
          <w:sz w:val="32"/>
          <w:szCs w:val="32"/>
        </w:rPr>
        <w:t>2.2022年公益岗人员岗位补贴绩效目标表</w:t>
      </w:r>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6"/>
            </w:pPr>
          </w:p>
        </w:tc>
        <w:tc>
          <w:tcPr>
            <w:tcW w:w="1327" w:type="dxa"/>
            <w:tcBorders>
              <w:top w:val="single" w:color="FFFFFF" w:sz="6" w:space="0"/>
              <w:left w:val="single" w:color="FFFFFF" w:sz="6" w:space="0"/>
              <w:right w:val="single" w:color="FFFFFF" w:sz="6" w:space="0"/>
            </w:tcBorders>
            <w:vAlign w:val="center"/>
          </w:tcPr>
          <w:p>
            <w:pPr>
              <w:pStyle w:val="1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8"/>
            </w:pPr>
            <w:r>
              <w:t>项目编码</w:t>
            </w:r>
          </w:p>
        </w:tc>
        <w:tc>
          <w:tcPr>
            <w:tcW w:w="2654" w:type="dxa"/>
            <w:gridSpan w:val="2"/>
            <w:vAlign w:val="center"/>
          </w:tcPr>
          <w:p>
            <w:pPr>
              <w:pStyle w:val="19"/>
            </w:pPr>
            <w:r>
              <w:t>13052822P009059100023</w:t>
            </w:r>
          </w:p>
        </w:tc>
        <w:tc>
          <w:tcPr>
            <w:tcW w:w="1327" w:type="dxa"/>
            <w:vAlign w:val="center"/>
          </w:tcPr>
          <w:p>
            <w:pPr>
              <w:pStyle w:val="18"/>
            </w:pPr>
            <w:r>
              <w:t>项目名称</w:t>
            </w:r>
          </w:p>
        </w:tc>
        <w:tc>
          <w:tcPr>
            <w:tcW w:w="3981" w:type="dxa"/>
            <w:gridSpan w:val="3"/>
            <w:vAlign w:val="center"/>
          </w:tcPr>
          <w:p>
            <w:pPr>
              <w:pStyle w:val="19"/>
            </w:pPr>
            <w:r>
              <w:t>2022年公益岗人员岗位补贴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8"/>
            </w:pPr>
            <w:r>
              <w:t>预算规模及资金用途</w:t>
            </w:r>
          </w:p>
        </w:tc>
        <w:tc>
          <w:tcPr>
            <w:tcW w:w="1327" w:type="dxa"/>
            <w:vAlign w:val="center"/>
          </w:tcPr>
          <w:p>
            <w:pPr>
              <w:pStyle w:val="18"/>
            </w:pPr>
            <w:r>
              <w:t>预算数</w:t>
            </w:r>
          </w:p>
        </w:tc>
        <w:tc>
          <w:tcPr>
            <w:tcW w:w="1327" w:type="dxa"/>
            <w:vAlign w:val="center"/>
          </w:tcPr>
          <w:p>
            <w:pPr>
              <w:pStyle w:val="19"/>
            </w:pPr>
            <w:r>
              <w:t>3.84</w:t>
            </w:r>
          </w:p>
        </w:tc>
        <w:tc>
          <w:tcPr>
            <w:tcW w:w="1327" w:type="dxa"/>
            <w:vAlign w:val="center"/>
          </w:tcPr>
          <w:p>
            <w:pPr>
              <w:pStyle w:val="18"/>
            </w:pPr>
            <w:r>
              <w:t>其中：财政    资金</w:t>
            </w:r>
          </w:p>
        </w:tc>
        <w:tc>
          <w:tcPr>
            <w:tcW w:w="1327" w:type="dxa"/>
            <w:vAlign w:val="center"/>
          </w:tcPr>
          <w:p>
            <w:pPr>
              <w:pStyle w:val="19"/>
            </w:pPr>
            <w:r>
              <w:t>3.84</w:t>
            </w:r>
          </w:p>
        </w:tc>
        <w:tc>
          <w:tcPr>
            <w:tcW w:w="1327" w:type="dxa"/>
            <w:vAlign w:val="center"/>
          </w:tcPr>
          <w:p>
            <w:pPr>
              <w:pStyle w:val="18"/>
            </w:pPr>
            <w:r>
              <w:t>其他资金</w:t>
            </w:r>
          </w:p>
        </w:tc>
        <w:tc>
          <w:tcPr>
            <w:tcW w:w="1327" w:type="dxa"/>
            <w:vAlign w:val="center"/>
          </w:tcPr>
          <w:p>
            <w:pPr>
              <w:pStyle w:val="19"/>
              <w:rPr>
                <w:rFonts w:hint="eastAsia" w:eastAsia="方正书宋_GBK"/>
                <w:lang w:val="en-US" w:eastAsia="zh-CN"/>
              </w:rPr>
            </w:pPr>
            <w:r>
              <w:t xml:space="preserve"> </w:t>
            </w:r>
            <w:r>
              <w:rPr>
                <w:rFonts w:hint="eastAsia"/>
                <w:lang w:val="en-US" w:eastAsia="zh-CN"/>
              </w:rPr>
              <w:t>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9"/>
            </w:pPr>
            <w:r>
              <w:t>保障公益岗位补贴发放到位。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8"/>
            </w:pPr>
            <w:r>
              <w:t>资金支出计划（%）</w:t>
            </w:r>
          </w:p>
        </w:tc>
        <w:tc>
          <w:tcPr>
            <w:tcW w:w="2654" w:type="dxa"/>
            <w:gridSpan w:val="2"/>
            <w:vAlign w:val="center"/>
          </w:tcPr>
          <w:p>
            <w:pPr>
              <w:pStyle w:val="18"/>
            </w:pPr>
            <w:r>
              <w:t>3月底</w:t>
            </w:r>
          </w:p>
        </w:tc>
        <w:tc>
          <w:tcPr>
            <w:tcW w:w="1327" w:type="dxa"/>
            <w:vAlign w:val="center"/>
          </w:tcPr>
          <w:p>
            <w:pPr>
              <w:pStyle w:val="18"/>
            </w:pPr>
            <w:r>
              <w:t>6月底</w:t>
            </w:r>
          </w:p>
        </w:tc>
        <w:tc>
          <w:tcPr>
            <w:tcW w:w="1327" w:type="dxa"/>
            <w:vAlign w:val="center"/>
          </w:tcPr>
          <w:p>
            <w:pPr>
              <w:pStyle w:val="18"/>
            </w:pPr>
            <w:r>
              <w:t>10月底</w:t>
            </w:r>
          </w:p>
        </w:tc>
        <w:tc>
          <w:tcPr>
            <w:tcW w:w="2654" w:type="dxa"/>
            <w:gridSpan w:val="2"/>
            <w:vAlign w:val="center"/>
          </w:tcPr>
          <w:p>
            <w:pPr>
              <w:pStyle w:val="1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20"/>
            </w:pPr>
            <w:r>
              <w:t>25%</w:t>
            </w:r>
          </w:p>
        </w:tc>
        <w:tc>
          <w:tcPr>
            <w:tcW w:w="1327" w:type="dxa"/>
            <w:vAlign w:val="center"/>
          </w:tcPr>
          <w:p>
            <w:pPr>
              <w:pStyle w:val="20"/>
            </w:pPr>
            <w:r>
              <w:t>50%</w:t>
            </w:r>
          </w:p>
        </w:tc>
        <w:tc>
          <w:tcPr>
            <w:tcW w:w="1327" w:type="dxa"/>
            <w:vAlign w:val="center"/>
          </w:tcPr>
          <w:p>
            <w:pPr>
              <w:pStyle w:val="20"/>
            </w:pPr>
            <w:r>
              <w:t>75%</w:t>
            </w:r>
          </w:p>
        </w:tc>
        <w:tc>
          <w:tcPr>
            <w:tcW w:w="2654" w:type="dxa"/>
            <w:gridSpan w:val="2"/>
            <w:vAlign w:val="center"/>
          </w:tcPr>
          <w:p>
            <w:pPr>
              <w:pStyle w:val="20"/>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8"/>
            </w:pPr>
            <w:r>
              <w:t>绩效目标</w:t>
            </w:r>
          </w:p>
        </w:tc>
        <w:tc>
          <w:tcPr>
            <w:tcW w:w="7962" w:type="dxa"/>
            <w:gridSpan w:val="6"/>
            <w:vAlign w:val="center"/>
          </w:tcPr>
          <w:p>
            <w:pPr>
              <w:pStyle w:val="19"/>
            </w:pPr>
            <w:r>
              <w:t>1.足额按时发放岗位补贴</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8"/>
            </w:pPr>
            <w:r>
              <w:t>一级指标</w:t>
            </w:r>
          </w:p>
        </w:tc>
        <w:tc>
          <w:tcPr>
            <w:tcW w:w="1327" w:type="dxa"/>
            <w:vAlign w:val="center"/>
          </w:tcPr>
          <w:p>
            <w:pPr>
              <w:pStyle w:val="18"/>
            </w:pPr>
            <w:r>
              <w:t>二级指标</w:t>
            </w:r>
          </w:p>
        </w:tc>
        <w:tc>
          <w:tcPr>
            <w:tcW w:w="1327" w:type="dxa"/>
            <w:vAlign w:val="center"/>
          </w:tcPr>
          <w:p>
            <w:pPr>
              <w:pStyle w:val="18"/>
            </w:pPr>
            <w:r>
              <w:t>三级指标</w:t>
            </w:r>
          </w:p>
        </w:tc>
        <w:tc>
          <w:tcPr>
            <w:tcW w:w="2654" w:type="dxa"/>
            <w:vAlign w:val="center"/>
          </w:tcPr>
          <w:p>
            <w:pPr>
              <w:pStyle w:val="18"/>
            </w:pPr>
            <w:r>
              <w:t>绩效指标描述</w:t>
            </w:r>
          </w:p>
        </w:tc>
        <w:tc>
          <w:tcPr>
            <w:tcW w:w="1327" w:type="dxa"/>
            <w:vAlign w:val="center"/>
          </w:tcPr>
          <w:p>
            <w:pPr>
              <w:pStyle w:val="18"/>
            </w:pPr>
            <w:r>
              <w:t>指标值</w:t>
            </w:r>
          </w:p>
        </w:tc>
        <w:tc>
          <w:tcPr>
            <w:tcW w:w="1327"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保障公益岗人员岗位补贴</w:t>
            </w:r>
          </w:p>
        </w:tc>
        <w:tc>
          <w:tcPr>
            <w:tcW w:w="2654" w:type="dxa"/>
            <w:vAlign w:val="center"/>
          </w:tcPr>
          <w:p>
            <w:pPr>
              <w:pStyle w:val="19"/>
            </w:pPr>
            <w:r>
              <w:t>保障公益岗人员岗位补贴发放人数</w:t>
            </w:r>
          </w:p>
        </w:tc>
        <w:tc>
          <w:tcPr>
            <w:tcW w:w="1327" w:type="dxa"/>
            <w:vAlign w:val="center"/>
          </w:tcPr>
          <w:p>
            <w:pPr>
              <w:pStyle w:val="19"/>
            </w:pPr>
            <w:r>
              <w:t>4人数</w:t>
            </w:r>
          </w:p>
        </w:tc>
        <w:tc>
          <w:tcPr>
            <w:tcW w:w="1327" w:type="dxa"/>
            <w:vAlign w:val="center"/>
          </w:tcPr>
          <w:p>
            <w:pPr>
              <w:pStyle w:val="19"/>
            </w:pPr>
            <w:r>
              <w:t>2022年预算批复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发放成功率</w:t>
            </w:r>
          </w:p>
        </w:tc>
        <w:tc>
          <w:tcPr>
            <w:tcW w:w="2654" w:type="dxa"/>
            <w:vAlign w:val="center"/>
          </w:tcPr>
          <w:p>
            <w:pPr>
              <w:pStyle w:val="19"/>
            </w:pPr>
            <w:r>
              <w:t>发放成功率</w:t>
            </w:r>
          </w:p>
        </w:tc>
        <w:tc>
          <w:tcPr>
            <w:tcW w:w="1327" w:type="dxa"/>
            <w:vAlign w:val="center"/>
          </w:tcPr>
          <w:p>
            <w:pPr>
              <w:pStyle w:val="19"/>
            </w:pPr>
            <w:r>
              <w:t>100%</w:t>
            </w:r>
          </w:p>
        </w:tc>
        <w:tc>
          <w:tcPr>
            <w:tcW w:w="1327" w:type="dxa"/>
            <w:vAlign w:val="center"/>
          </w:tcPr>
          <w:p>
            <w:pPr>
              <w:pStyle w:val="19"/>
            </w:pPr>
            <w:r>
              <w:t>成功率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按政策及时发放</w:t>
            </w:r>
          </w:p>
        </w:tc>
        <w:tc>
          <w:tcPr>
            <w:tcW w:w="2654" w:type="dxa"/>
            <w:vAlign w:val="center"/>
          </w:tcPr>
          <w:p>
            <w:pPr>
              <w:pStyle w:val="19"/>
            </w:pPr>
            <w:r>
              <w:t>发放时间次数</w:t>
            </w:r>
          </w:p>
        </w:tc>
        <w:tc>
          <w:tcPr>
            <w:tcW w:w="1327" w:type="dxa"/>
            <w:vAlign w:val="center"/>
          </w:tcPr>
          <w:p>
            <w:pPr>
              <w:pStyle w:val="19"/>
            </w:pPr>
            <w:r>
              <w:t>≥90%</w:t>
            </w:r>
          </w:p>
        </w:tc>
        <w:tc>
          <w:tcPr>
            <w:tcW w:w="1327" w:type="dxa"/>
            <w:vAlign w:val="center"/>
          </w:tcPr>
          <w:p>
            <w:pPr>
              <w:pStyle w:val="19"/>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补贴成本</w:t>
            </w:r>
          </w:p>
        </w:tc>
        <w:tc>
          <w:tcPr>
            <w:tcW w:w="2654" w:type="dxa"/>
            <w:vAlign w:val="center"/>
          </w:tcPr>
          <w:p>
            <w:pPr>
              <w:pStyle w:val="19"/>
            </w:pPr>
            <w:r>
              <w:t>补贴成本</w:t>
            </w:r>
          </w:p>
        </w:tc>
        <w:tc>
          <w:tcPr>
            <w:tcW w:w="1327" w:type="dxa"/>
            <w:vAlign w:val="center"/>
          </w:tcPr>
          <w:p>
            <w:pPr>
              <w:pStyle w:val="19"/>
            </w:pPr>
            <w:r>
              <w:t>800元</w:t>
            </w:r>
          </w:p>
        </w:tc>
        <w:tc>
          <w:tcPr>
            <w:tcW w:w="1327" w:type="dxa"/>
            <w:vAlign w:val="center"/>
          </w:tcPr>
          <w:p>
            <w:pPr>
              <w:pStyle w:val="19"/>
            </w:pPr>
            <w:r>
              <w:t>补贴成本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员工评价</w:t>
            </w:r>
          </w:p>
        </w:tc>
        <w:tc>
          <w:tcPr>
            <w:tcW w:w="2654" w:type="dxa"/>
            <w:vAlign w:val="center"/>
          </w:tcPr>
          <w:p>
            <w:pPr>
              <w:pStyle w:val="19"/>
            </w:pPr>
            <w:r>
              <w:t>员工对发放补贴的评级</w:t>
            </w:r>
          </w:p>
        </w:tc>
        <w:tc>
          <w:tcPr>
            <w:tcW w:w="1327" w:type="dxa"/>
            <w:vAlign w:val="center"/>
          </w:tcPr>
          <w:p>
            <w:pPr>
              <w:pStyle w:val="19"/>
            </w:pPr>
            <w:r>
              <w:t>≥90%</w:t>
            </w:r>
          </w:p>
        </w:tc>
        <w:tc>
          <w:tcPr>
            <w:tcW w:w="1327" w:type="dxa"/>
            <w:vAlign w:val="center"/>
          </w:tcPr>
          <w:p>
            <w:pPr>
              <w:pStyle w:val="19"/>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工作完成率</w:t>
            </w:r>
          </w:p>
        </w:tc>
        <w:tc>
          <w:tcPr>
            <w:tcW w:w="2654" w:type="dxa"/>
            <w:vAlign w:val="center"/>
          </w:tcPr>
          <w:p>
            <w:pPr>
              <w:pStyle w:val="19"/>
            </w:pPr>
            <w:r>
              <w:t>工作完成率</w:t>
            </w:r>
          </w:p>
        </w:tc>
        <w:tc>
          <w:tcPr>
            <w:tcW w:w="1327" w:type="dxa"/>
            <w:vAlign w:val="center"/>
          </w:tcPr>
          <w:p>
            <w:pPr>
              <w:pStyle w:val="19"/>
            </w:pPr>
            <w:r>
              <w:t>≥100%</w:t>
            </w:r>
          </w:p>
        </w:tc>
        <w:tc>
          <w:tcPr>
            <w:tcW w:w="1327"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工作表现</w:t>
            </w:r>
          </w:p>
        </w:tc>
        <w:tc>
          <w:tcPr>
            <w:tcW w:w="2654" w:type="dxa"/>
            <w:vAlign w:val="center"/>
          </w:tcPr>
          <w:p>
            <w:pPr>
              <w:pStyle w:val="19"/>
            </w:pPr>
            <w:r>
              <w:t>工作表现</w:t>
            </w:r>
          </w:p>
        </w:tc>
        <w:tc>
          <w:tcPr>
            <w:tcW w:w="1327" w:type="dxa"/>
            <w:vAlign w:val="center"/>
          </w:tcPr>
          <w:p>
            <w:pPr>
              <w:pStyle w:val="19"/>
            </w:pPr>
            <w:r>
              <w:t>全部良好</w:t>
            </w:r>
          </w:p>
        </w:tc>
        <w:tc>
          <w:tcPr>
            <w:tcW w:w="1327" w:type="dxa"/>
            <w:vAlign w:val="center"/>
          </w:tcPr>
          <w:p>
            <w:pPr>
              <w:pStyle w:val="19"/>
            </w:pPr>
            <w:r>
              <w:t>工作表现情况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生态保护影响力</w:t>
            </w:r>
          </w:p>
        </w:tc>
        <w:tc>
          <w:tcPr>
            <w:tcW w:w="2654" w:type="dxa"/>
            <w:vAlign w:val="center"/>
          </w:tcPr>
          <w:p>
            <w:pPr>
              <w:pStyle w:val="19"/>
            </w:pPr>
            <w:r>
              <w:t>促进本单位持续、稳定发展</w:t>
            </w:r>
          </w:p>
        </w:tc>
        <w:tc>
          <w:tcPr>
            <w:tcW w:w="1327" w:type="dxa"/>
            <w:vAlign w:val="center"/>
          </w:tcPr>
          <w:p>
            <w:pPr>
              <w:pStyle w:val="19"/>
            </w:pPr>
            <w:r>
              <w:t>全部良好</w:t>
            </w:r>
          </w:p>
        </w:tc>
        <w:tc>
          <w:tcPr>
            <w:tcW w:w="1327" w:type="dxa"/>
            <w:vAlign w:val="center"/>
          </w:tcPr>
          <w:p>
            <w:pPr>
              <w:pStyle w:val="19"/>
            </w:pPr>
            <w:r>
              <w:t>工作表现情况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社会评价</w:t>
            </w:r>
          </w:p>
        </w:tc>
        <w:tc>
          <w:tcPr>
            <w:tcW w:w="2654" w:type="dxa"/>
            <w:vAlign w:val="center"/>
          </w:tcPr>
          <w:p>
            <w:pPr>
              <w:pStyle w:val="19"/>
            </w:pPr>
            <w:r>
              <w:t>社会公众满意度</w:t>
            </w:r>
          </w:p>
        </w:tc>
        <w:tc>
          <w:tcPr>
            <w:tcW w:w="1327" w:type="dxa"/>
            <w:vAlign w:val="center"/>
          </w:tcPr>
          <w:p>
            <w:pPr>
              <w:pStyle w:val="19"/>
            </w:pPr>
            <w:r>
              <w:t>≥90%</w:t>
            </w:r>
          </w:p>
        </w:tc>
        <w:tc>
          <w:tcPr>
            <w:tcW w:w="1327" w:type="dxa"/>
            <w:vAlign w:val="center"/>
          </w:tcPr>
          <w:p>
            <w:pPr>
              <w:pStyle w:val="19"/>
            </w:pPr>
            <w:r>
              <w:t>调查问卷</w:t>
            </w:r>
          </w:p>
        </w:tc>
      </w:tr>
    </w:tbl>
    <w:p>
      <w:pPr>
        <w:sectPr>
          <w:pgSz w:w="16840" w:h="11900" w:orient="landscape"/>
          <w:pgMar w:top="1304" w:right="1984" w:bottom="1304" w:left="1134" w:header="720" w:footer="720" w:gutter="0"/>
          <w:cols w:space="720" w:num="1"/>
        </w:sectPr>
      </w:pPr>
    </w:p>
    <w:p>
      <w:pPr>
        <w:spacing w:before="0" w:after="0" w:line="240" w:lineRule="auto"/>
        <w:ind w:firstLine="0"/>
        <w:jc w:val="both"/>
        <w:outlineLvl w:val="9"/>
        <w:rPr>
          <w:rFonts w:hint="eastAsia" w:ascii="仿宋" w:hAnsi="仿宋" w:eastAsia="仿宋" w:cs="仿宋"/>
          <w:sz w:val="32"/>
          <w:szCs w:val="32"/>
        </w:rPr>
      </w:pPr>
      <w:r>
        <w:rPr>
          <w:rFonts w:hint="eastAsia" w:ascii="仿宋" w:hAnsi="仿宋" w:eastAsia="仿宋" w:cs="仿宋"/>
          <w:color w:val="000000"/>
          <w:sz w:val="32"/>
          <w:szCs w:val="32"/>
        </w:rPr>
        <w:t>3.2022年书画、摄影展等活动绩效目标表</w:t>
      </w:r>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6"/>
            </w:pPr>
          </w:p>
        </w:tc>
        <w:tc>
          <w:tcPr>
            <w:tcW w:w="1327" w:type="dxa"/>
            <w:tcBorders>
              <w:top w:val="single" w:color="FFFFFF" w:sz="6" w:space="0"/>
              <w:left w:val="single" w:color="FFFFFF" w:sz="6" w:space="0"/>
              <w:right w:val="single" w:color="FFFFFF" w:sz="6" w:space="0"/>
            </w:tcBorders>
            <w:vAlign w:val="center"/>
          </w:tcPr>
          <w:p>
            <w:pPr>
              <w:pStyle w:val="1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8"/>
            </w:pPr>
            <w:r>
              <w:t>项目编码</w:t>
            </w:r>
          </w:p>
        </w:tc>
        <w:tc>
          <w:tcPr>
            <w:tcW w:w="2654" w:type="dxa"/>
            <w:gridSpan w:val="2"/>
            <w:vAlign w:val="center"/>
          </w:tcPr>
          <w:p>
            <w:pPr>
              <w:pStyle w:val="19"/>
            </w:pPr>
            <w:r>
              <w:t>13052822P00109810058N</w:t>
            </w:r>
          </w:p>
        </w:tc>
        <w:tc>
          <w:tcPr>
            <w:tcW w:w="1327" w:type="dxa"/>
            <w:vAlign w:val="center"/>
          </w:tcPr>
          <w:p>
            <w:pPr>
              <w:pStyle w:val="18"/>
            </w:pPr>
            <w:r>
              <w:t>项目名称</w:t>
            </w:r>
          </w:p>
        </w:tc>
        <w:tc>
          <w:tcPr>
            <w:tcW w:w="3981" w:type="dxa"/>
            <w:gridSpan w:val="3"/>
            <w:vAlign w:val="center"/>
          </w:tcPr>
          <w:p>
            <w:pPr>
              <w:pStyle w:val="19"/>
            </w:pPr>
            <w:r>
              <w:t>2022年书画、摄影展等活动</w:t>
            </w:r>
          </w:p>
        </w:tc>
      </w:tr>
      <w:tr>
        <w:tblPrEx>
          <w:tblCellMar>
            <w:top w:w="0" w:type="dxa"/>
            <w:left w:w="108" w:type="dxa"/>
            <w:bottom w:w="0" w:type="dxa"/>
            <w:right w:w="108" w:type="dxa"/>
          </w:tblCellMar>
        </w:tblPrEx>
        <w:trPr>
          <w:trHeight w:val="369" w:hRule="atLeast"/>
          <w:jc w:val="center"/>
        </w:trPr>
        <w:tc>
          <w:tcPr>
            <w:tcW w:w="1327" w:type="dxa"/>
            <w:vMerge w:val="restart"/>
            <w:vAlign w:val="center"/>
          </w:tcPr>
          <w:p>
            <w:pPr>
              <w:pStyle w:val="18"/>
            </w:pPr>
            <w:r>
              <w:t>预算规模及资金用途</w:t>
            </w:r>
          </w:p>
        </w:tc>
        <w:tc>
          <w:tcPr>
            <w:tcW w:w="1327" w:type="dxa"/>
            <w:vAlign w:val="center"/>
          </w:tcPr>
          <w:p>
            <w:pPr>
              <w:pStyle w:val="18"/>
            </w:pPr>
            <w:r>
              <w:t>预算数</w:t>
            </w:r>
          </w:p>
        </w:tc>
        <w:tc>
          <w:tcPr>
            <w:tcW w:w="1327" w:type="dxa"/>
            <w:vAlign w:val="center"/>
          </w:tcPr>
          <w:p>
            <w:pPr>
              <w:pStyle w:val="19"/>
            </w:pPr>
            <w:r>
              <w:t>4.00</w:t>
            </w:r>
          </w:p>
        </w:tc>
        <w:tc>
          <w:tcPr>
            <w:tcW w:w="1327" w:type="dxa"/>
            <w:vAlign w:val="center"/>
          </w:tcPr>
          <w:p>
            <w:pPr>
              <w:pStyle w:val="18"/>
            </w:pPr>
            <w:r>
              <w:t>其中：财政    资金</w:t>
            </w:r>
          </w:p>
        </w:tc>
        <w:tc>
          <w:tcPr>
            <w:tcW w:w="1327" w:type="dxa"/>
            <w:vAlign w:val="center"/>
          </w:tcPr>
          <w:p>
            <w:pPr>
              <w:pStyle w:val="19"/>
            </w:pPr>
            <w:r>
              <w:t>4.00</w:t>
            </w:r>
          </w:p>
        </w:tc>
        <w:tc>
          <w:tcPr>
            <w:tcW w:w="1327" w:type="dxa"/>
            <w:vAlign w:val="center"/>
          </w:tcPr>
          <w:p>
            <w:pPr>
              <w:pStyle w:val="18"/>
            </w:pPr>
            <w:r>
              <w:t>其他资金</w:t>
            </w:r>
          </w:p>
        </w:tc>
        <w:tc>
          <w:tcPr>
            <w:tcW w:w="1327" w:type="dxa"/>
            <w:vAlign w:val="center"/>
          </w:tcPr>
          <w:p>
            <w:pPr>
              <w:pStyle w:val="19"/>
              <w:rPr>
                <w:rFonts w:hint="eastAsia" w:eastAsia="方正书宋_GBK"/>
                <w:lang w:val="en-US" w:eastAsia="zh-CN"/>
              </w:rPr>
            </w:pPr>
            <w:r>
              <w:t xml:space="preserve"> </w:t>
            </w:r>
            <w:r>
              <w:rPr>
                <w:rFonts w:hint="eastAsia"/>
                <w:lang w:val="en-US" w:eastAsia="zh-CN"/>
              </w:rPr>
              <w:t>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9"/>
            </w:pPr>
            <w:r>
              <w:t>组织开展成立音乐家协会、举办协会培训，书画展览、摄影展览等活动.举办以上活动共计4万元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8"/>
            </w:pPr>
            <w:r>
              <w:t>资金支出计划（%）</w:t>
            </w:r>
          </w:p>
        </w:tc>
        <w:tc>
          <w:tcPr>
            <w:tcW w:w="2654" w:type="dxa"/>
            <w:gridSpan w:val="2"/>
            <w:vAlign w:val="center"/>
          </w:tcPr>
          <w:p>
            <w:pPr>
              <w:pStyle w:val="18"/>
            </w:pPr>
            <w:r>
              <w:t>3月底</w:t>
            </w:r>
          </w:p>
        </w:tc>
        <w:tc>
          <w:tcPr>
            <w:tcW w:w="1327" w:type="dxa"/>
            <w:vAlign w:val="center"/>
          </w:tcPr>
          <w:p>
            <w:pPr>
              <w:pStyle w:val="18"/>
            </w:pPr>
            <w:r>
              <w:t>6月底</w:t>
            </w:r>
          </w:p>
        </w:tc>
        <w:tc>
          <w:tcPr>
            <w:tcW w:w="1327" w:type="dxa"/>
            <w:vAlign w:val="center"/>
          </w:tcPr>
          <w:p>
            <w:pPr>
              <w:pStyle w:val="18"/>
            </w:pPr>
            <w:r>
              <w:t>10月底</w:t>
            </w:r>
          </w:p>
        </w:tc>
        <w:tc>
          <w:tcPr>
            <w:tcW w:w="2654" w:type="dxa"/>
            <w:gridSpan w:val="2"/>
            <w:vAlign w:val="center"/>
          </w:tcPr>
          <w:p>
            <w:pPr>
              <w:pStyle w:val="1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20"/>
            </w:pPr>
            <w:r>
              <w:t xml:space="preserve"> </w:t>
            </w:r>
          </w:p>
        </w:tc>
        <w:tc>
          <w:tcPr>
            <w:tcW w:w="1327" w:type="dxa"/>
            <w:vAlign w:val="center"/>
          </w:tcPr>
          <w:p>
            <w:pPr>
              <w:pStyle w:val="20"/>
            </w:pPr>
            <w:r>
              <w:t>30%</w:t>
            </w:r>
          </w:p>
        </w:tc>
        <w:tc>
          <w:tcPr>
            <w:tcW w:w="1327" w:type="dxa"/>
            <w:vAlign w:val="center"/>
          </w:tcPr>
          <w:p>
            <w:pPr>
              <w:pStyle w:val="20"/>
            </w:pPr>
            <w:r>
              <w:t>70%</w:t>
            </w:r>
          </w:p>
        </w:tc>
        <w:tc>
          <w:tcPr>
            <w:tcW w:w="2654" w:type="dxa"/>
            <w:gridSpan w:val="2"/>
            <w:vAlign w:val="center"/>
          </w:tcPr>
          <w:p>
            <w:pPr>
              <w:pStyle w:val="20"/>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8"/>
            </w:pPr>
            <w:r>
              <w:t>绩效目标</w:t>
            </w:r>
          </w:p>
        </w:tc>
        <w:tc>
          <w:tcPr>
            <w:tcW w:w="7962" w:type="dxa"/>
            <w:gridSpan w:val="6"/>
            <w:vAlign w:val="center"/>
          </w:tcPr>
          <w:p>
            <w:pPr>
              <w:pStyle w:val="19"/>
            </w:pPr>
            <w:r>
              <w:t>1.按时支付活动费用，保障活动 顺利实施。</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8"/>
            </w:pPr>
            <w:r>
              <w:t>一级指标</w:t>
            </w:r>
          </w:p>
        </w:tc>
        <w:tc>
          <w:tcPr>
            <w:tcW w:w="1327" w:type="dxa"/>
            <w:vAlign w:val="center"/>
          </w:tcPr>
          <w:p>
            <w:pPr>
              <w:pStyle w:val="18"/>
            </w:pPr>
            <w:r>
              <w:t>二级指标</w:t>
            </w:r>
          </w:p>
        </w:tc>
        <w:tc>
          <w:tcPr>
            <w:tcW w:w="1327" w:type="dxa"/>
            <w:vAlign w:val="center"/>
          </w:tcPr>
          <w:p>
            <w:pPr>
              <w:pStyle w:val="18"/>
            </w:pPr>
            <w:r>
              <w:t>三级指标</w:t>
            </w:r>
          </w:p>
        </w:tc>
        <w:tc>
          <w:tcPr>
            <w:tcW w:w="2654" w:type="dxa"/>
            <w:vAlign w:val="center"/>
          </w:tcPr>
          <w:p>
            <w:pPr>
              <w:pStyle w:val="18"/>
            </w:pPr>
            <w:r>
              <w:t>绩效指标描述</w:t>
            </w:r>
          </w:p>
        </w:tc>
        <w:tc>
          <w:tcPr>
            <w:tcW w:w="1327" w:type="dxa"/>
            <w:vAlign w:val="center"/>
          </w:tcPr>
          <w:p>
            <w:pPr>
              <w:pStyle w:val="18"/>
            </w:pPr>
            <w:r>
              <w:t>指标值</w:t>
            </w:r>
          </w:p>
        </w:tc>
        <w:tc>
          <w:tcPr>
            <w:tcW w:w="1327"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组织宣传活动次数</w:t>
            </w:r>
          </w:p>
        </w:tc>
        <w:tc>
          <w:tcPr>
            <w:tcW w:w="2654" w:type="dxa"/>
            <w:vAlign w:val="center"/>
          </w:tcPr>
          <w:p>
            <w:pPr>
              <w:pStyle w:val="19"/>
            </w:pPr>
            <w:r>
              <w:t>组织宣传活动次数</w:t>
            </w:r>
          </w:p>
        </w:tc>
        <w:tc>
          <w:tcPr>
            <w:tcW w:w="1327" w:type="dxa"/>
            <w:vAlign w:val="center"/>
          </w:tcPr>
          <w:p>
            <w:pPr>
              <w:pStyle w:val="19"/>
            </w:pPr>
            <w:r>
              <w:t>≥1次</w:t>
            </w:r>
          </w:p>
        </w:tc>
        <w:tc>
          <w:tcPr>
            <w:tcW w:w="1327" w:type="dxa"/>
            <w:vAlign w:val="center"/>
          </w:tcPr>
          <w:p>
            <w:pPr>
              <w:pStyle w:val="19"/>
            </w:pPr>
            <w:r>
              <w:t>活动次数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正常使用率</w:t>
            </w:r>
          </w:p>
        </w:tc>
        <w:tc>
          <w:tcPr>
            <w:tcW w:w="2654" w:type="dxa"/>
            <w:vAlign w:val="center"/>
          </w:tcPr>
          <w:p>
            <w:pPr>
              <w:pStyle w:val="19"/>
            </w:pPr>
            <w:r>
              <w:t>正常使用率</w:t>
            </w:r>
          </w:p>
        </w:tc>
        <w:tc>
          <w:tcPr>
            <w:tcW w:w="1327" w:type="dxa"/>
            <w:vAlign w:val="center"/>
          </w:tcPr>
          <w:p>
            <w:pPr>
              <w:pStyle w:val="19"/>
            </w:pPr>
            <w:r>
              <w:t>≥90%</w:t>
            </w:r>
          </w:p>
        </w:tc>
        <w:tc>
          <w:tcPr>
            <w:tcW w:w="1327" w:type="dxa"/>
            <w:vAlign w:val="center"/>
          </w:tcPr>
          <w:p>
            <w:pPr>
              <w:pStyle w:val="19"/>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支付及时率</w:t>
            </w:r>
          </w:p>
        </w:tc>
        <w:tc>
          <w:tcPr>
            <w:tcW w:w="2654" w:type="dxa"/>
            <w:vAlign w:val="center"/>
          </w:tcPr>
          <w:p>
            <w:pPr>
              <w:pStyle w:val="19"/>
            </w:pPr>
            <w:r>
              <w:t>支付及时率</w:t>
            </w:r>
          </w:p>
        </w:tc>
        <w:tc>
          <w:tcPr>
            <w:tcW w:w="1327" w:type="dxa"/>
            <w:vAlign w:val="center"/>
          </w:tcPr>
          <w:p>
            <w:pPr>
              <w:pStyle w:val="19"/>
            </w:pPr>
            <w:r>
              <w:t>≥90%</w:t>
            </w:r>
          </w:p>
        </w:tc>
        <w:tc>
          <w:tcPr>
            <w:tcW w:w="1327" w:type="dxa"/>
            <w:vAlign w:val="center"/>
          </w:tcPr>
          <w:p>
            <w:pPr>
              <w:pStyle w:val="19"/>
            </w:pPr>
            <w:r>
              <w:t>支付及时率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资金成本</w:t>
            </w:r>
          </w:p>
        </w:tc>
        <w:tc>
          <w:tcPr>
            <w:tcW w:w="2654" w:type="dxa"/>
            <w:vAlign w:val="center"/>
          </w:tcPr>
          <w:p>
            <w:pPr>
              <w:pStyle w:val="19"/>
            </w:pPr>
            <w:r>
              <w:t>资金成本</w:t>
            </w:r>
          </w:p>
        </w:tc>
        <w:tc>
          <w:tcPr>
            <w:tcW w:w="1327" w:type="dxa"/>
            <w:vAlign w:val="center"/>
          </w:tcPr>
          <w:p>
            <w:pPr>
              <w:pStyle w:val="19"/>
            </w:pPr>
            <w:r>
              <w:t>4万元</w:t>
            </w:r>
          </w:p>
        </w:tc>
        <w:tc>
          <w:tcPr>
            <w:tcW w:w="1327" w:type="dxa"/>
            <w:vAlign w:val="center"/>
          </w:tcPr>
          <w:p>
            <w:pPr>
              <w:pStyle w:val="19"/>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经济效益指标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≥90%</w:t>
            </w:r>
          </w:p>
        </w:tc>
        <w:tc>
          <w:tcPr>
            <w:tcW w:w="1327" w:type="dxa"/>
            <w:vAlign w:val="center"/>
          </w:tcPr>
          <w:p>
            <w:pPr>
              <w:pStyle w:val="19"/>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社会氛围</w:t>
            </w:r>
          </w:p>
        </w:tc>
        <w:tc>
          <w:tcPr>
            <w:tcW w:w="2654" w:type="dxa"/>
            <w:vAlign w:val="center"/>
          </w:tcPr>
          <w:p>
            <w:pPr>
              <w:pStyle w:val="19"/>
            </w:pPr>
            <w:r>
              <w:t>社会氛围</w:t>
            </w:r>
          </w:p>
        </w:tc>
        <w:tc>
          <w:tcPr>
            <w:tcW w:w="1327" w:type="dxa"/>
            <w:vAlign w:val="center"/>
          </w:tcPr>
          <w:p>
            <w:pPr>
              <w:pStyle w:val="19"/>
            </w:pPr>
            <w:r>
              <w:t>≥90%</w:t>
            </w:r>
          </w:p>
        </w:tc>
        <w:tc>
          <w:tcPr>
            <w:tcW w:w="1327" w:type="dxa"/>
            <w:vAlign w:val="center"/>
          </w:tcPr>
          <w:p>
            <w:pPr>
              <w:pStyle w:val="19"/>
            </w:pPr>
            <w:r>
              <w:t>社会氛围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结果准确性</w:t>
            </w:r>
          </w:p>
        </w:tc>
        <w:tc>
          <w:tcPr>
            <w:tcW w:w="2654" w:type="dxa"/>
            <w:vAlign w:val="center"/>
          </w:tcPr>
          <w:p>
            <w:pPr>
              <w:pStyle w:val="19"/>
            </w:pPr>
            <w:r>
              <w:t>结果准确性</w:t>
            </w:r>
          </w:p>
        </w:tc>
        <w:tc>
          <w:tcPr>
            <w:tcW w:w="1327" w:type="dxa"/>
            <w:vAlign w:val="center"/>
          </w:tcPr>
          <w:p>
            <w:pPr>
              <w:pStyle w:val="19"/>
            </w:pPr>
            <w:r>
              <w:t>≥90%</w:t>
            </w:r>
          </w:p>
        </w:tc>
        <w:tc>
          <w:tcPr>
            <w:tcW w:w="1327" w:type="dxa"/>
            <w:vAlign w:val="center"/>
          </w:tcPr>
          <w:p>
            <w:pPr>
              <w:pStyle w:val="19"/>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可持续影响指标</w:t>
            </w:r>
          </w:p>
        </w:tc>
        <w:tc>
          <w:tcPr>
            <w:tcW w:w="1327" w:type="dxa"/>
            <w:vAlign w:val="center"/>
          </w:tcPr>
          <w:p>
            <w:pPr>
              <w:pStyle w:val="19"/>
            </w:pPr>
            <w:r>
              <w:t>维护社会稳定</w:t>
            </w:r>
          </w:p>
        </w:tc>
        <w:tc>
          <w:tcPr>
            <w:tcW w:w="2654" w:type="dxa"/>
            <w:vAlign w:val="center"/>
          </w:tcPr>
          <w:p>
            <w:pPr>
              <w:pStyle w:val="19"/>
            </w:pPr>
            <w:r>
              <w:t>维护社会稳定</w:t>
            </w:r>
          </w:p>
        </w:tc>
        <w:tc>
          <w:tcPr>
            <w:tcW w:w="1327" w:type="dxa"/>
            <w:vAlign w:val="center"/>
          </w:tcPr>
          <w:p>
            <w:pPr>
              <w:pStyle w:val="19"/>
            </w:pPr>
            <w:r>
              <w:t>≥90%</w:t>
            </w:r>
          </w:p>
        </w:tc>
        <w:tc>
          <w:tcPr>
            <w:tcW w:w="1327" w:type="dxa"/>
            <w:vAlign w:val="center"/>
          </w:tcPr>
          <w:p>
            <w:pPr>
              <w:pStyle w:val="19"/>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满意度</w:t>
            </w:r>
          </w:p>
        </w:tc>
        <w:tc>
          <w:tcPr>
            <w:tcW w:w="2654" w:type="dxa"/>
            <w:vAlign w:val="center"/>
          </w:tcPr>
          <w:p>
            <w:pPr>
              <w:pStyle w:val="19"/>
            </w:pPr>
            <w:r>
              <w:t>满意度</w:t>
            </w:r>
          </w:p>
        </w:tc>
        <w:tc>
          <w:tcPr>
            <w:tcW w:w="1327" w:type="dxa"/>
            <w:vAlign w:val="center"/>
          </w:tcPr>
          <w:p>
            <w:pPr>
              <w:pStyle w:val="19"/>
            </w:pPr>
            <w:r>
              <w:t>≥90%</w:t>
            </w:r>
          </w:p>
        </w:tc>
        <w:tc>
          <w:tcPr>
            <w:tcW w:w="1327" w:type="dxa"/>
            <w:vAlign w:val="center"/>
          </w:tcPr>
          <w:p>
            <w:pPr>
              <w:pStyle w:val="19"/>
            </w:pPr>
            <w:r>
              <w:t>满意度</w:t>
            </w:r>
          </w:p>
        </w:tc>
      </w:tr>
    </w:tbl>
    <w:p>
      <w:pPr>
        <w:sectPr>
          <w:pgSz w:w="16840" w:h="11900" w:orient="landscape"/>
          <w:pgMar w:top="1304" w:right="1984" w:bottom="1304" w:left="1134" w:header="720" w:footer="720" w:gutter="0"/>
          <w:cols w:space="720" w:num="1"/>
        </w:sectPr>
      </w:pPr>
    </w:p>
    <w:p>
      <w:pPr>
        <w:spacing w:before="0" w:after="0"/>
        <w:ind w:firstLine="560"/>
        <w:jc w:val="left"/>
        <w:outlineLvl w:val="3"/>
        <w:rPr>
          <w:rFonts w:hint="eastAsia" w:ascii="仿宋" w:hAnsi="仿宋" w:eastAsia="仿宋" w:cs="仿宋"/>
          <w:sz w:val="32"/>
          <w:szCs w:val="32"/>
        </w:rPr>
      </w:pPr>
      <w:r>
        <w:rPr>
          <w:rFonts w:hint="eastAsia" w:ascii="仿宋" w:hAnsi="仿宋" w:eastAsia="仿宋" w:cs="仿宋"/>
          <w:color w:val="000000"/>
          <w:sz w:val="32"/>
          <w:szCs w:val="32"/>
        </w:rPr>
        <w:t>4.2022年召开宁晋文联全委会绩效目标表</w:t>
      </w:r>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6"/>
            </w:pPr>
          </w:p>
        </w:tc>
        <w:tc>
          <w:tcPr>
            <w:tcW w:w="1327" w:type="dxa"/>
            <w:tcBorders>
              <w:top w:val="single" w:color="FFFFFF" w:sz="6" w:space="0"/>
              <w:left w:val="single" w:color="FFFFFF" w:sz="6" w:space="0"/>
              <w:right w:val="single" w:color="FFFFFF" w:sz="6" w:space="0"/>
            </w:tcBorders>
            <w:vAlign w:val="center"/>
          </w:tcPr>
          <w:p>
            <w:pPr>
              <w:pStyle w:val="1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8"/>
            </w:pPr>
            <w:r>
              <w:t>项目编码</w:t>
            </w:r>
          </w:p>
        </w:tc>
        <w:tc>
          <w:tcPr>
            <w:tcW w:w="2654" w:type="dxa"/>
            <w:gridSpan w:val="2"/>
            <w:vAlign w:val="center"/>
          </w:tcPr>
          <w:p>
            <w:pPr>
              <w:pStyle w:val="19"/>
            </w:pPr>
            <w:r>
              <w:t>13052822P00109810053L</w:t>
            </w:r>
          </w:p>
        </w:tc>
        <w:tc>
          <w:tcPr>
            <w:tcW w:w="1327" w:type="dxa"/>
            <w:vAlign w:val="center"/>
          </w:tcPr>
          <w:p>
            <w:pPr>
              <w:pStyle w:val="18"/>
            </w:pPr>
            <w:r>
              <w:t>项目名称</w:t>
            </w:r>
          </w:p>
        </w:tc>
        <w:tc>
          <w:tcPr>
            <w:tcW w:w="3981" w:type="dxa"/>
            <w:gridSpan w:val="3"/>
            <w:vAlign w:val="center"/>
          </w:tcPr>
          <w:p>
            <w:pPr>
              <w:pStyle w:val="19"/>
            </w:pPr>
            <w:r>
              <w:t>2022年召开宁晋文联全委会</w:t>
            </w:r>
          </w:p>
        </w:tc>
      </w:tr>
      <w:tr>
        <w:tblPrEx>
          <w:tblCellMar>
            <w:top w:w="0" w:type="dxa"/>
            <w:left w:w="108" w:type="dxa"/>
            <w:bottom w:w="0" w:type="dxa"/>
            <w:right w:w="108" w:type="dxa"/>
          </w:tblCellMar>
        </w:tblPrEx>
        <w:trPr>
          <w:trHeight w:val="369" w:hRule="atLeast"/>
          <w:jc w:val="center"/>
        </w:trPr>
        <w:tc>
          <w:tcPr>
            <w:tcW w:w="1327" w:type="dxa"/>
            <w:vMerge w:val="restart"/>
            <w:vAlign w:val="center"/>
          </w:tcPr>
          <w:p>
            <w:pPr>
              <w:pStyle w:val="18"/>
            </w:pPr>
            <w:r>
              <w:t>预算规模及资金用途</w:t>
            </w:r>
          </w:p>
        </w:tc>
        <w:tc>
          <w:tcPr>
            <w:tcW w:w="1327" w:type="dxa"/>
            <w:vAlign w:val="center"/>
          </w:tcPr>
          <w:p>
            <w:pPr>
              <w:pStyle w:val="18"/>
            </w:pPr>
            <w:r>
              <w:t>预算数</w:t>
            </w:r>
          </w:p>
        </w:tc>
        <w:tc>
          <w:tcPr>
            <w:tcW w:w="1327" w:type="dxa"/>
            <w:vAlign w:val="center"/>
          </w:tcPr>
          <w:p>
            <w:pPr>
              <w:pStyle w:val="19"/>
            </w:pPr>
            <w:r>
              <w:t>1.00</w:t>
            </w:r>
          </w:p>
        </w:tc>
        <w:tc>
          <w:tcPr>
            <w:tcW w:w="1327" w:type="dxa"/>
            <w:vAlign w:val="center"/>
          </w:tcPr>
          <w:p>
            <w:pPr>
              <w:pStyle w:val="18"/>
            </w:pPr>
            <w:r>
              <w:t>其中：财政    资金</w:t>
            </w:r>
          </w:p>
        </w:tc>
        <w:tc>
          <w:tcPr>
            <w:tcW w:w="1327" w:type="dxa"/>
            <w:vAlign w:val="center"/>
          </w:tcPr>
          <w:p>
            <w:pPr>
              <w:pStyle w:val="19"/>
            </w:pPr>
            <w:r>
              <w:t>1.00</w:t>
            </w:r>
          </w:p>
        </w:tc>
        <w:tc>
          <w:tcPr>
            <w:tcW w:w="1327" w:type="dxa"/>
            <w:vAlign w:val="center"/>
          </w:tcPr>
          <w:p>
            <w:pPr>
              <w:pStyle w:val="18"/>
            </w:pPr>
            <w:r>
              <w:t>其他资金</w:t>
            </w:r>
          </w:p>
        </w:tc>
        <w:tc>
          <w:tcPr>
            <w:tcW w:w="1327" w:type="dxa"/>
            <w:vAlign w:val="center"/>
          </w:tcPr>
          <w:p>
            <w:pPr>
              <w:pStyle w:val="19"/>
              <w:rPr>
                <w:rFonts w:hint="eastAsia" w:eastAsia="方正书宋_GBK"/>
                <w:lang w:val="en-US" w:eastAsia="zh-CN"/>
              </w:rPr>
            </w:pPr>
            <w:r>
              <w:t xml:space="preserve"> </w:t>
            </w:r>
            <w:r>
              <w:rPr>
                <w:rFonts w:hint="eastAsia"/>
                <w:lang w:val="en-US" w:eastAsia="zh-CN"/>
              </w:rPr>
              <w:t>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6" w:hRule="atLeast"/>
          <w:jc w:val="center"/>
        </w:trPr>
        <w:tc>
          <w:tcPr>
            <w:tcW w:w="1327" w:type="dxa"/>
            <w:vMerge w:val="continue"/>
          </w:tcPr>
          <w:p/>
        </w:tc>
        <w:tc>
          <w:tcPr>
            <w:tcW w:w="7962" w:type="dxa"/>
            <w:gridSpan w:val="6"/>
            <w:vAlign w:val="center"/>
          </w:tcPr>
          <w:p>
            <w:pPr>
              <w:pStyle w:val="19"/>
            </w:pPr>
            <w:r>
              <w:t>召开文联工作会议，开展会员间的联络、协调和服务工作，听取和反映文艺界的情况和意见，开展文联全委会所需资金共计1万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8"/>
            </w:pPr>
            <w:r>
              <w:t>资金支出计划（%）</w:t>
            </w:r>
          </w:p>
        </w:tc>
        <w:tc>
          <w:tcPr>
            <w:tcW w:w="2654" w:type="dxa"/>
            <w:gridSpan w:val="2"/>
            <w:vAlign w:val="center"/>
          </w:tcPr>
          <w:p>
            <w:pPr>
              <w:pStyle w:val="18"/>
            </w:pPr>
            <w:r>
              <w:t>3月底</w:t>
            </w:r>
          </w:p>
        </w:tc>
        <w:tc>
          <w:tcPr>
            <w:tcW w:w="1327" w:type="dxa"/>
            <w:vAlign w:val="center"/>
          </w:tcPr>
          <w:p>
            <w:pPr>
              <w:pStyle w:val="18"/>
            </w:pPr>
            <w:r>
              <w:t>6月底</w:t>
            </w:r>
          </w:p>
        </w:tc>
        <w:tc>
          <w:tcPr>
            <w:tcW w:w="1327" w:type="dxa"/>
            <w:vAlign w:val="center"/>
          </w:tcPr>
          <w:p>
            <w:pPr>
              <w:pStyle w:val="18"/>
            </w:pPr>
            <w:r>
              <w:t>10月底</w:t>
            </w:r>
          </w:p>
        </w:tc>
        <w:tc>
          <w:tcPr>
            <w:tcW w:w="2654" w:type="dxa"/>
            <w:gridSpan w:val="2"/>
            <w:vAlign w:val="center"/>
          </w:tcPr>
          <w:p>
            <w:pPr>
              <w:pStyle w:val="1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20"/>
            </w:pPr>
            <w:r>
              <w:t xml:space="preserve"> </w:t>
            </w:r>
          </w:p>
        </w:tc>
        <w:tc>
          <w:tcPr>
            <w:tcW w:w="1327" w:type="dxa"/>
            <w:vAlign w:val="center"/>
          </w:tcPr>
          <w:p>
            <w:pPr>
              <w:pStyle w:val="20"/>
            </w:pPr>
            <w:r>
              <w:t>30%</w:t>
            </w:r>
          </w:p>
        </w:tc>
        <w:tc>
          <w:tcPr>
            <w:tcW w:w="1327" w:type="dxa"/>
            <w:vAlign w:val="center"/>
          </w:tcPr>
          <w:p>
            <w:pPr>
              <w:pStyle w:val="20"/>
            </w:pPr>
            <w:r>
              <w:t>70%</w:t>
            </w:r>
          </w:p>
        </w:tc>
        <w:tc>
          <w:tcPr>
            <w:tcW w:w="2654" w:type="dxa"/>
            <w:gridSpan w:val="2"/>
            <w:vAlign w:val="center"/>
          </w:tcPr>
          <w:p>
            <w:pPr>
              <w:pStyle w:val="20"/>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8"/>
            </w:pPr>
            <w:r>
              <w:t>绩效目标</w:t>
            </w:r>
          </w:p>
        </w:tc>
        <w:tc>
          <w:tcPr>
            <w:tcW w:w="7962" w:type="dxa"/>
            <w:gridSpan w:val="6"/>
            <w:vAlign w:val="center"/>
          </w:tcPr>
          <w:p>
            <w:pPr>
              <w:pStyle w:val="19"/>
            </w:pPr>
            <w:r>
              <w:t>1.按时拨付召开宁晋县文联全委会资金，确保项目顺利进行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6"/>
        <w:gridCol w:w="1325"/>
        <w:gridCol w:w="1326"/>
        <w:gridCol w:w="2652"/>
        <w:gridCol w:w="1325"/>
        <w:gridCol w:w="13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4" w:hRule="atLeast"/>
          <w:tblHeader/>
          <w:jc w:val="center"/>
        </w:trPr>
        <w:tc>
          <w:tcPr>
            <w:tcW w:w="1326" w:type="dxa"/>
            <w:vAlign w:val="center"/>
          </w:tcPr>
          <w:p>
            <w:pPr>
              <w:pStyle w:val="18"/>
            </w:pPr>
            <w:r>
              <w:t>一级指标</w:t>
            </w:r>
          </w:p>
        </w:tc>
        <w:tc>
          <w:tcPr>
            <w:tcW w:w="1325" w:type="dxa"/>
            <w:vAlign w:val="center"/>
          </w:tcPr>
          <w:p>
            <w:pPr>
              <w:pStyle w:val="18"/>
            </w:pPr>
            <w:r>
              <w:t>二级指标</w:t>
            </w:r>
          </w:p>
        </w:tc>
        <w:tc>
          <w:tcPr>
            <w:tcW w:w="1326" w:type="dxa"/>
            <w:vAlign w:val="center"/>
          </w:tcPr>
          <w:p>
            <w:pPr>
              <w:pStyle w:val="18"/>
            </w:pPr>
            <w:r>
              <w:t>三级指标</w:t>
            </w:r>
          </w:p>
        </w:tc>
        <w:tc>
          <w:tcPr>
            <w:tcW w:w="2652" w:type="dxa"/>
            <w:vAlign w:val="center"/>
          </w:tcPr>
          <w:p>
            <w:pPr>
              <w:pStyle w:val="18"/>
            </w:pPr>
            <w:r>
              <w:t>绩效指标描述</w:t>
            </w:r>
          </w:p>
        </w:tc>
        <w:tc>
          <w:tcPr>
            <w:tcW w:w="1325" w:type="dxa"/>
            <w:vAlign w:val="center"/>
          </w:tcPr>
          <w:p>
            <w:pPr>
              <w:pStyle w:val="18"/>
            </w:pPr>
            <w:r>
              <w:t>指标值</w:t>
            </w:r>
          </w:p>
        </w:tc>
        <w:tc>
          <w:tcPr>
            <w:tcW w:w="1326"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0" w:hRule="atLeast"/>
          <w:jc w:val="center"/>
        </w:trPr>
        <w:tc>
          <w:tcPr>
            <w:tcW w:w="1326" w:type="dxa"/>
            <w:vMerge w:val="restart"/>
            <w:vAlign w:val="center"/>
          </w:tcPr>
          <w:p>
            <w:pPr>
              <w:pStyle w:val="20"/>
            </w:pPr>
            <w:r>
              <w:t>产出指标</w:t>
            </w:r>
          </w:p>
        </w:tc>
        <w:tc>
          <w:tcPr>
            <w:tcW w:w="1325" w:type="dxa"/>
            <w:vAlign w:val="center"/>
          </w:tcPr>
          <w:p>
            <w:pPr>
              <w:pStyle w:val="19"/>
            </w:pPr>
            <w:r>
              <w:t>数量指标</w:t>
            </w:r>
          </w:p>
        </w:tc>
        <w:tc>
          <w:tcPr>
            <w:tcW w:w="1326" w:type="dxa"/>
            <w:vAlign w:val="center"/>
          </w:tcPr>
          <w:p>
            <w:pPr>
              <w:pStyle w:val="19"/>
            </w:pPr>
            <w:r>
              <w:t>召开会议次数</w:t>
            </w:r>
          </w:p>
        </w:tc>
        <w:tc>
          <w:tcPr>
            <w:tcW w:w="2652" w:type="dxa"/>
            <w:vAlign w:val="center"/>
          </w:tcPr>
          <w:p>
            <w:pPr>
              <w:pStyle w:val="19"/>
            </w:pPr>
            <w:r>
              <w:t>召开会议次数</w:t>
            </w:r>
          </w:p>
        </w:tc>
        <w:tc>
          <w:tcPr>
            <w:tcW w:w="1325" w:type="dxa"/>
            <w:vAlign w:val="center"/>
          </w:tcPr>
          <w:p>
            <w:pPr>
              <w:pStyle w:val="19"/>
            </w:pPr>
            <w:r>
              <w:t>≥1次</w:t>
            </w:r>
          </w:p>
        </w:tc>
        <w:tc>
          <w:tcPr>
            <w:tcW w:w="1326" w:type="dxa"/>
            <w:vAlign w:val="center"/>
          </w:tcPr>
          <w:p>
            <w:pPr>
              <w:pStyle w:val="19"/>
            </w:pPr>
            <w:r>
              <w:t>召开会议次数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1" w:hRule="atLeast"/>
          <w:jc w:val="center"/>
        </w:trPr>
        <w:tc>
          <w:tcPr>
            <w:tcW w:w="1326" w:type="dxa"/>
            <w:vMerge w:val="continue"/>
            <w:vAlign w:val="center"/>
          </w:tcPr>
          <w:p/>
        </w:tc>
        <w:tc>
          <w:tcPr>
            <w:tcW w:w="1325" w:type="dxa"/>
            <w:vAlign w:val="center"/>
          </w:tcPr>
          <w:p>
            <w:pPr>
              <w:pStyle w:val="19"/>
            </w:pPr>
            <w:r>
              <w:t>质量指标</w:t>
            </w:r>
          </w:p>
        </w:tc>
        <w:tc>
          <w:tcPr>
            <w:tcW w:w="1326" w:type="dxa"/>
            <w:vAlign w:val="center"/>
          </w:tcPr>
          <w:p>
            <w:pPr>
              <w:pStyle w:val="19"/>
            </w:pPr>
            <w:r>
              <w:t>正常使用率</w:t>
            </w:r>
          </w:p>
        </w:tc>
        <w:tc>
          <w:tcPr>
            <w:tcW w:w="2652" w:type="dxa"/>
            <w:vAlign w:val="center"/>
          </w:tcPr>
          <w:p>
            <w:pPr>
              <w:pStyle w:val="19"/>
            </w:pPr>
            <w:r>
              <w:t>正常使用率</w:t>
            </w:r>
          </w:p>
        </w:tc>
        <w:tc>
          <w:tcPr>
            <w:tcW w:w="1325" w:type="dxa"/>
            <w:vAlign w:val="center"/>
          </w:tcPr>
          <w:p>
            <w:pPr>
              <w:pStyle w:val="19"/>
            </w:pPr>
            <w:r>
              <w:t>≥90%</w:t>
            </w:r>
          </w:p>
        </w:tc>
        <w:tc>
          <w:tcPr>
            <w:tcW w:w="1326" w:type="dxa"/>
            <w:vAlign w:val="center"/>
          </w:tcPr>
          <w:p>
            <w:pPr>
              <w:pStyle w:val="19"/>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1" w:hRule="atLeast"/>
          <w:jc w:val="center"/>
        </w:trPr>
        <w:tc>
          <w:tcPr>
            <w:tcW w:w="1326" w:type="dxa"/>
            <w:vMerge w:val="continue"/>
            <w:vAlign w:val="center"/>
          </w:tcPr>
          <w:p/>
        </w:tc>
        <w:tc>
          <w:tcPr>
            <w:tcW w:w="1325" w:type="dxa"/>
            <w:vAlign w:val="center"/>
          </w:tcPr>
          <w:p>
            <w:pPr>
              <w:pStyle w:val="19"/>
            </w:pPr>
            <w:r>
              <w:t>时效指标</w:t>
            </w:r>
          </w:p>
        </w:tc>
        <w:tc>
          <w:tcPr>
            <w:tcW w:w="1326" w:type="dxa"/>
            <w:vAlign w:val="center"/>
          </w:tcPr>
          <w:p>
            <w:pPr>
              <w:pStyle w:val="19"/>
            </w:pPr>
            <w:r>
              <w:t>支付及时率</w:t>
            </w:r>
          </w:p>
        </w:tc>
        <w:tc>
          <w:tcPr>
            <w:tcW w:w="2652" w:type="dxa"/>
            <w:vAlign w:val="center"/>
          </w:tcPr>
          <w:p>
            <w:pPr>
              <w:pStyle w:val="19"/>
            </w:pPr>
            <w:r>
              <w:t>支付及时率</w:t>
            </w:r>
          </w:p>
        </w:tc>
        <w:tc>
          <w:tcPr>
            <w:tcW w:w="1325" w:type="dxa"/>
            <w:vAlign w:val="center"/>
          </w:tcPr>
          <w:p>
            <w:pPr>
              <w:pStyle w:val="19"/>
            </w:pPr>
            <w:r>
              <w:t>≥90%</w:t>
            </w:r>
          </w:p>
        </w:tc>
        <w:tc>
          <w:tcPr>
            <w:tcW w:w="1326" w:type="dxa"/>
            <w:vAlign w:val="center"/>
          </w:tcPr>
          <w:p>
            <w:pPr>
              <w:pStyle w:val="19"/>
            </w:pPr>
            <w:r>
              <w:t>支付及时率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1" w:hRule="atLeast"/>
          <w:jc w:val="center"/>
        </w:trPr>
        <w:tc>
          <w:tcPr>
            <w:tcW w:w="1326" w:type="dxa"/>
            <w:vMerge w:val="continue"/>
            <w:vAlign w:val="center"/>
          </w:tcPr>
          <w:p/>
        </w:tc>
        <w:tc>
          <w:tcPr>
            <w:tcW w:w="1325" w:type="dxa"/>
            <w:vAlign w:val="center"/>
          </w:tcPr>
          <w:p>
            <w:pPr>
              <w:pStyle w:val="19"/>
            </w:pPr>
            <w:r>
              <w:t>成本指标</w:t>
            </w:r>
          </w:p>
        </w:tc>
        <w:tc>
          <w:tcPr>
            <w:tcW w:w="1326" w:type="dxa"/>
            <w:vAlign w:val="center"/>
          </w:tcPr>
          <w:p>
            <w:pPr>
              <w:pStyle w:val="19"/>
            </w:pPr>
            <w:r>
              <w:t>预算控制数</w:t>
            </w:r>
          </w:p>
        </w:tc>
        <w:tc>
          <w:tcPr>
            <w:tcW w:w="2652" w:type="dxa"/>
            <w:vAlign w:val="center"/>
          </w:tcPr>
          <w:p>
            <w:pPr>
              <w:pStyle w:val="19"/>
            </w:pPr>
            <w:r>
              <w:t>预算控制数</w:t>
            </w:r>
          </w:p>
        </w:tc>
        <w:tc>
          <w:tcPr>
            <w:tcW w:w="1325" w:type="dxa"/>
            <w:vAlign w:val="center"/>
          </w:tcPr>
          <w:p>
            <w:pPr>
              <w:pStyle w:val="19"/>
            </w:pPr>
            <w:r>
              <w:t>1万元</w:t>
            </w:r>
          </w:p>
        </w:tc>
        <w:tc>
          <w:tcPr>
            <w:tcW w:w="1326" w:type="dxa"/>
            <w:vAlign w:val="center"/>
          </w:tcPr>
          <w:p>
            <w:pPr>
              <w:pStyle w:val="19"/>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9" w:hRule="atLeast"/>
          <w:jc w:val="center"/>
        </w:trPr>
        <w:tc>
          <w:tcPr>
            <w:tcW w:w="1326" w:type="dxa"/>
            <w:vMerge w:val="restart"/>
            <w:vAlign w:val="center"/>
          </w:tcPr>
          <w:p>
            <w:pPr>
              <w:pStyle w:val="20"/>
            </w:pPr>
            <w:r>
              <w:t>效益指标</w:t>
            </w:r>
          </w:p>
        </w:tc>
        <w:tc>
          <w:tcPr>
            <w:tcW w:w="1325" w:type="dxa"/>
            <w:vAlign w:val="center"/>
          </w:tcPr>
          <w:p>
            <w:pPr>
              <w:pStyle w:val="19"/>
            </w:pPr>
            <w:r>
              <w:t>经济效益指标</w:t>
            </w:r>
          </w:p>
        </w:tc>
        <w:tc>
          <w:tcPr>
            <w:tcW w:w="1326" w:type="dxa"/>
            <w:vAlign w:val="center"/>
          </w:tcPr>
          <w:p>
            <w:pPr>
              <w:pStyle w:val="19"/>
            </w:pPr>
            <w:r>
              <w:t>资金的使用效率</w:t>
            </w:r>
          </w:p>
        </w:tc>
        <w:tc>
          <w:tcPr>
            <w:tcW w:w="2652" w:type="dxa"/>
            <w:vAlign w:val="center"/>
          </w:tcPr>
          <w:p>
            <w:pPr>
              <w:pStyle w:val="19"/>
            </w:pPr>
            <w:r>
              <w:t>资金的使用效率</w:t>
            </w:r>
          </w:p>
        </w:tc>
        <w:tc>
          <w:tcPr>
            <w:tcW w:w="1325" w:type="dxa"/>
            <w:vAlign w:val="center"/>
          </w:tcPr>
          <w:p>
            <w:pPr>
              <w:pStyle w:val="19"/>
            </w:pPr>
            <w:r>
              <w:t>≥90%</w:t>
            </w:r>
          </w:p>
        </w:tc>
        <w:tc>
          <w:tcPr>
            <w:tcW w:w="1326" w:type="dxa"/>
            <w:vAlign w:val="center"/>
          </w:tcPr>
          <w:p>
            <w:pPr>
              <w:pStyle w:val="19"/>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5" w:hRule="atLeast"/>
          <w:jc w:val="center"/>
        </w:trPr>
        <w:tc>
          <w:tcPr>
            <w:tcW w:w="1326" w:type="dxa"/>
            <w:vMerge w:val="continue"/>
            <w:vAlign w:val="center"/>
          </w:tcPr>
          <w:p/>
        </w:tc>
        <w:tc>
          <w:tcPr>
            <w:tcW w:w="1325" w:type="dxa"/>
            <w:vAlign w:val="center"/>
          </w:tcPr>
          <w:p>
            <w:pPr>
              <w:pStyle w:val="19"/>
            </w:pPr>
            <w:r>
              <w:t>社会效益指标</w:t>
            </w:r>
          </w:p>
        </w:tc>
        <w:tc>
          <w:tcPr>
            <w:tcW w:w="1326" w:type="dxa"/>
            <w:vAlign w:val="center"/>
          </w:tcPr>
          <w:p>
            <w:pPr>
              <w:pStyle w:val="19"/>
            </w:pPr>
            <w:r>
              <w:t>社会氛围</w:t>
            </w:r>
          </w:p>
        </w:tc>
        <w:tc>
          <w:tcPr>
            <w:tcW w:w="2652" w:type="dxa"/>
            <w:vAlign w:val="center"/>
          </w:tcPr>
          <w:p>
            <w:pPr>
              <w:pStyle w:val="19"/>
            </w:pPr>
            <w:r>
              <w:t>社会氛围</w:t>
            </w:r>
          </w:p>
        </w:tc>
        <w:tc>
          <w:tcPr>
            <w:tcW w:w="1325" w:type="dxa"/>
            <w:vAlign w:val="center"/>
          </w:tcPr>
          <w:p>
            <w:pPr>
              <w:pStyle w:val="19"/>
            </w:pPr>
            <w:r>
              <w:t>≥90%</w:t>
            </w:r>
          </w:p>
        </w:tc>
        <w:tc>
          <w:tcPr>
            <w:tcW w:w="1326" w:type="dxa"/>
            <w:vAlign w:val="center"/>
          </w:tcPr>
          <w:p>
            <w:pPr>
              <w:pStyle w:val="19"/>
            </w:pPr>
            <w:r>
              <w:t>社会氛围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1" w:hRule="atLeast"/>
          <w:jc w:val="center"/>
        </w:trPr>
        <w:tc>
          <w:tcPr>
            <w:tcW w:w="1326" w:type="dxa"/>
            <w:vMerge w:val="continue"/>
            <w:vAlign w:val="center"/>
          </w:tcPr>
          <w:p/>
        </w:tc>
        <w:tc>
          <w:tcPr>
            <w:tcW w:w="1325" w:type="dxa"/>
            <w:vAlign w:val="center"/>
          </w:tcPr>
          <w:p>
            <w:pPr>
              <w:pStyle w:val="19"/>
            </w:pPr>
            <w:r>
              <w:t>生态效益指标</w:t>
            </w:r>
          </w:p>
        </w:tc>
        <w:tc>
          <w:tcPr>
            <w:tcW w:w="1326" w:type="dxa"/>
            <w:vAlign w:val="center"/>
          </w:tcPr>
          <w:p>
            <w:pPr>
              <w:pStyle w:val="19"/>
            </w:pPr>
            <w:r>
              <w:t>结果准确性</w:t>
            </w:r>
          </w:p>
        </w:tc>
        <w:tc>
          <w:tcPr>
            <w:tcW w:w="2652" w:type="dxa"/>
            <w:vAlign w:val="center"/>
          </w:tcPr>
          <w:p>
            <w:pPr>
              <w:pStyle w:val="19"/>
            </w:pPr>
            <w:r>
              <w:t>结果准确性</w:t>
            </w:r>
          </w:p>
        </w:tc>
        <w:tc>
          <w:tcPr>
            <w:tcW w:w="1325" w:type="dxa"/>
            <w:vAlign w:val="center"/>
          </w:tcPr>
          <w:p>
            <w:pPr>
              <w:pStyle w:val="19"/>
            </w:pPr>
            <w:r>
              <w:t>≥90%</w:t>
            </w:r>
          </w:p>
        </w:tc>
        <w:tc>
          <w:tcPr>
            <w:tcW w:w="1326" w:type="dxa"/>
            <w:vAlign w:val="center"/>
          </w:tcPr>
          <w:p>
            <w:pPr>
              <w:pStyle w:val="19"/>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1" w:hRule="atLeast"/>
          <w:jc w:val="center"/>
        </w:trPr>
        <w:tc>
          <w:tcPr>
            <w:tcW w:w="1326" w:type="dxa"/>
            <w:vMerge w:val="continue"/>
            <w:vAlign w:val="center"/>
          </w:tcPr>
          <w:p/>
        </w:tc>
        <w:tc>
          <w:tcPr>
            <w:tcW w:w="1325" w:type="dxa"/>
            <w:vAlign w:val="center"/>
          </w:tcPr>
          <w:p>
            <w:pPr>
              <w:pStyle w:val="19"/>
            </w:pPr>
            <w:r>
              <w:t>可持续影响指标</w:t>
            </w:r>
          </w:p>
        </w:tc>
        <w:tc>
          <w:tcPr>
            <w:tcW w:w="1326" w:type="dxa"/>
            <w:vAlign w:val="center"/>
          </w:tcPr>
          <w:p>
            <w:pPr>
              <w:pStyle w:val="19"/>
            </w:pPr>
            <w:r>
              <w:t>维护社会稳定</w:t>
            </w:r>
          </w:p>
        </w:tc>
        <w:tc>
          <w:tcPr>
            <w:tcW w:w="2652" w:type="dxa"/>
            <w:vAlign w:val="center"/>
          </w:tcPr>
          <w:p>
            <w:pPr>
              <w:pStyle w:val="19"/>
            </w:pPr>
            <w:r>
              <w:t>维护社会稳定</w:t>
            </w:r>
          </w:p>
        </w:tc>
        <w:tc>
          <w:tcPr>
            <w:tcW w:w="1325" w:type="dxa"/>
            <w:vAlign w:val="center"/>
          </w:tcPr>
          <w:p>
            <w:pPr>
              <w:pStyle w:val="19"/>
            </w:pPr>
            <w:r>
              <w:t>≥90%</w:t>
            </w:r>
          </w:p>
        </w:tc>
        <w:tc>
          <w:tcPr>
            <w:tcW w:w="1326" w:type="dxa"/>
            <w:vAlign w:val="center"/>
          </w:tcPr>
          <w:p>
            <w:pPr>
              <w:pStyle w:val="19"/>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3" w:hRule="atLeast"/>
          <w:jc w:val="center"/>
        </w:trPr>
        <w:tc>
          <w:tcPr>
            <w:tcW w:w="1326" w:type="dxa"/>
            <w:vAlign w:val="center"/>
          </w:tcPr>
          <w:p>
            <w:pPr>
              <w:pStyle w:val="20"/>
            </w:pPr>
            <w:r>
              <w:t>满意度指标</w:t>
            </w:r>
          </w:p>
        </w:tc>
        <w:tc>
          <w:tcPr>
            <w:tcW w:w="1325" w:type="dxa"/>
            <w:vAlign w:val="center"/>
          </w:tcPr>
          <w:p>
            <w:pPr>
              <w:pStyle w:val="19"/>
            </w:pPr>
            <w:r>
              <w:t>服务对象满意度指标</w:t>
            </w:r>
          </w:p>
        </w:tc>
        <w:tc>
          <w:tcPr>
            <w:tcW w:w="1326" w:type="dxa"/>
            <w:vAlign w:val="center"/>
          </w:tcPr>
          <w:p>
            <w:pPr>
              <w:pStyle w:val="19"/>
            </w:pPr>
            <w:r>
              <w:t>满意度</w:t>
            </w:r>
          </w:p>
        </w:tc>
        <w:tc>
          <w:tcPr>
            <w:tcW w:w="2652" w:type="dxa"/>
            <w:vAlign w:val="center"/>
          </w:tcPr>
          <w:p>
            <w:pPr>
              <w:pStyle w:val="19"/>
            </w:pPr>
            <w:r>
              <w:t>满意度</w:t>
            </w:r>
          </w:p>
        </w:tc>
        <w:tc>
          <w:tcPr>
            <w:tcW w:w="1325" w:type="dxa"/>
            <w:vAlign w:val="center"/>
          </w:tcPr>
          <w:p>
            <w:pPr>
              <w:pStyle w:val="19"/>
            </w:pPr>
            <w:r>
              <w:t>≥90%</w:t>
            </w:r>
          </w:p>
        </w:tc>
        <w:tc>
          <w:tcPr>
            <w:tcW w:w="1326" w:type="dxa"/>
            <w:vAlign w:val="center"/>
          </w:tcPr>
          <w:p>
            <w:pPr>
              <w:pStyle w:val="19"/>
            </w:pPr>
            <w:r>
              <w:t>满意度</w:t>
            </w:r>
          </w:p>
        </w:tc>
      </w:tr>
    </w:tbl>
    <w:p/>
    <w:p>
      <w:pPr>
        <w:pStyle w:val="4"/>
        <w:ind w:left="0" w:leftChars="0" w:firstLine="0" w:firstLineChars="0"/>
      </w:pPr>
    </w:p>
    <w:p/>
    <w:p>
      <w:pPr>
        <w:widowControl/>
        <w:jc w:val="left"/>
        <w:rPr>
          <w:rFonts w:hint="eastAsia" w:ascii="宋体" w:hAnsi="宋体" w:eastAsia="宋体" w:cs="宋体"/>
          <w:b/>
          <w:sz w:val="36"/>
          <w:szCs w:val="36"/>
        </w:rPr>
      </w:pPr>
      <w:r>
        <w:rPr>
          <w:rFonts w:hint="eastAsia" w:ascii="宋体" w:hAnsi="宋体" w:eastAsia="宋体" w:cs="宋体"/>
          <w:b/>
          <w:kern w:val="0"/>
          <w:sz w:val="36"/>
          <w:szCs w:val="36"/>
        </w:rPr>
        <w:t>六、政府采购预算情况</w:t>
      </w:r>
    </w:p>
    <w:p>
      <w:pPr>
        <w:widowControl/>
        <w:spacing w:line="580" w:lineRule="atLeast"/>
        <w:ind w:firstLine="640" w:firstLineChars="200"/>
        <w:jc w:val="left"/>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我</w:t>
      </w:r>
      <w:r>
        <w:rPr>
          <w:rFonts w:hint="eastAsia" w:ascii="仿宋" w:hAnsi="仿宋" w:eastAsia="仿宋" w:cs="仿宋"/>
          <w:color w:val="000000"/>
          <w:kern w:val="0"/>
          <w:sz w:val="32"/>
          <w:szCs w:val="32"/>
          <w:lang w:eastAsia="zh-CN"/>
        </w:rPr>
        <w:t>单位202</w:t>
      </w:r>
      <w:r>
        <w:rPr>
          <w:rFonts w:hint="eastAsia" w:ascii="仿宋" w:hAnsi="仿宋" w:eastAsia="仿宋" w:cs="仿宋"/>
          <w:color w:val="000000"/>
          <w:kern w:val="0"/>
          <w:sz w:val="32"/>
          <w:szCs w:val="32"/>
          <w:lang w:val="en-US" w:eastAsia="zh-CN"/>
        </w:rPr>
        <w:t>2</w:t>
      </w:r>
      <w:r>
        <w:rPr>
          <w:rFonts w:hint="eastAsia" w:ascii="仿宋" w:hAnsi="仿宋" w:eastAsia="仿宋" w:cs="仿宋"/>
          <w:color w:val="000000"/>
          <w:kern w:val="0"/>
          <w:sz w:val="32"/>
          <w:szCs w:val="32"/>
        </w:rPr>
        <w:t>年无政府采购预算，</w:t>
      </w:r>
      <w:r>
        <w:rPr>
          <w:rFonts w:hint="eastAsia" w:ascii="仿宋" w:hAnsi="仿宋" w:eastAsia="仿宋" w:cs="仿宋"/>
          <w:color w:val="000000"/>
          <w:kern w:val="0"/>
          <w:sz w:val="32"/>
          <w:szCs w:val="32"/>
          <w:lang w:eastAsia="zh-CN"/>
        </w:rPr>
        <w:t>空表列示</w:t>
      </w:r>
      <w:r>
        <w:rPr>
          <w:rFonts w:hint="eastAsia" w:ascii="仿宋" w:hAnsi="仿宋" w:eastAsia="仿宋" w:cs="仿宋"/>
          <w:color w:val="000000"/>
          <w:kern w:val="0"/>
          <w:sz w:val="32"/>
          <w:szCs w:val="32"/>
        </w:rPr>
        <w:t>。</w:t>
      </w:r>
    </w:p>
    <w:tbl>
      <w:tblPr>
        <w:tblStyle w:val="5"/>
        <w:tblpPr w:leftFromText="180" w:rightFromText="180" w:vertAnchor="text" w:horzAnchor="page" w:tblpX="1902" w:tblpY="60"/>
        <w:tblW w:w="9380" w:type="dxa"/>
        <w:tblInd w:w="0" w:type="dxa"/>
        <w:tblLayout w:type="fixed"/>
        <w:tblCellMar>
          <w:top w:w="0" w:type="dxa"/>
          <w:left w:w="108" w:type="dxa"/>
          <w:bottom w:w="0" w:type="dxa"/>
          <w:right w:w="108" w:type="dxa"/>
        </w:tblCellMar>
      </w:tblPr>
      <w:tblGrid>
        <w:gridCol w:w="2241"/>
        <w:gridCol w:w="653"/>
        <w:gridCol w:w="820"/>
        <w:gridCol w:w="858"/>
        <w:gridCol w:w="665"/>
        <w:gridCol w:w="449"/>
        <w:gridCol w:w="653"/>
        <w:gridCol w:w="807"/>
        <w:gridCol w:w="807"/>
        <w:gridCol w:w="730"/>
        <w:gridCol w:w="697"/>
      </w:tblGrid>
      <w:tr>
        <w:tblPrEx>
          <w:tblCellMar>
            <w:top w:w="0" w:type="dxa"/>
            <w:left w:w="108" w:type="dxa"/>
            <w:bottom w:w="0" w:type="dxa"/>
            <w:right w:w="108" w:type="dxa"/>
          </w:tblCellMar>
        </w:tblPrEx>
        <w:trPr>
          <w:trHeight w:val="334" w:hRule="atLeast"/>
        </w:trPr>
        <w:tc>
          <w:tcPr>
            <w:tcW w:w="2894"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政府采购项目来源</w:t>
            </w:r>
          </w:p>
        </w:tc>
        <w:tc>
          <w:tcPr>
            <w:tcW w:w="82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采购物品名称</w:t>
            </w:r>
          </w:p>
        </w:tc>
        <w:tc>
          <w:tcPr>
            <w:tcW w:w="858"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政府采购目录序号</w:t>
            </w:r>
          </w:p>
        </w:tc>
        <w:tc>
          <w:tcPr>
            <w:tcW w:w="665"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单位</w:t>
            </w:r>
          </w:p>
        </w:tc>
        <w:tc>
          <w:tcPr>
            <w:tcW w:w="449"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数量</w:t>
            </w:r>
          </w:p>
        </w:tc>
        <w:tc>
          <w:tcPr>
            <w:tcW w:w="653"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单价</w:t>
            </w:r>
          </w:p>
        </w:tc>
        <w:tc>
          <w:tcPr>
            <w:tcW w:w="3041" w:type="dxa"/>
            <w:gridSpan w:val="4"/>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政府采购金额</w:t>
            </w:r>
          </w:p>
        </w:tc>
      </w:tr>
      <w:tr>
        <w:tblPrEx>
          <w:tblCellMar>
            <w:top w:w="0" w:type="dxa"/>
            <w:left w:w="108" w:type="dxa"/>
            <w:bottom w:w="0" w:type="dxa"/>
            <w:right w:w="108" w:type="dxa"/>
          </w:tblCellMar>
        </w:tblPrEx>
        <w:trPr>
          <w:trHeight w:val="334" w:hRule="atLeast"/>
        </w:trPr>
        <w:tc>
          <w:tcPr>
            <w:tcW w:w="2241" w:type="dxa"/>
            <w:vMerge w:val="restart"/>
            <w:tcBorders>
              <w:top w:val="nil"/>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功能分类科目</w:t>
            </w:r>
          </w:p>
        </w:tc>
        <w:tc>
          <w:tcPr>
            <w:tcW w:w="653" w:type="dxa"/>
            <w:vMerge w:val="restart"/>
            <w:tcBorders>
              <w:top w:val="nil"/>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预算资金</w:t>
            </w:r>
          </w:p>
        </w:tc>
        <w:tc>
          <w:tcPr>
            <w:tcW w:w="8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858"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665"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44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65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807" w:type="dxa"/>
            <w:vMerge w:val="restart"/>
            <w:tcBorders>
              <w:top w:val="nil"/>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总计</w:t>
            </w:r>
          </w:p>
        </w:tc>
        <w:tc>
          <w:tcPr>
            <w:tcW w:w="2234" w:type="dxa"/>
            <w:gridSpan w:val="3"/>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当年部门预算安排资金</w:t>
            </w:r>
          </w:p>
        </w:tc>
      </w:tr>
      <w:tr>
        <w:tblPrEx>
          <w:tblCellMar>
            <w:top w:w="0" w:type="dxa"/>
            <w:left w:w="108" w:type="dxa"/>
            <w:bottom w:w="0" w:type="dxa"/>
            <w:right w:w="108" w:type="dxa"/>
          </w:tblCellMar>
        </w:tblPrEx>
        <w:trPr>
          <w:trHeight w:val="656" w:hRule="atLeast"/>
        </w:trPr>
        <w:tc>
          <w:tcPr>
            <w:tcW w:w="2241"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653"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8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858"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665"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44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65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807"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b/>
                <w:bCs/>
                <w:kern w:val="0"/>
                <w:sz w:val="20"/>
              </w:rPr>
            </w:pPr>
          </w:p>
        </w:tc>
        <w:tc>
          <w:tcPr>
            <w:tcW w:w="807" w:type="dxa"/>
            <w:tcBorders>
              <w:top w:val="nil"/>
              <w:left w:val="nil"/>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合计</w:t>
            </w:r>
          </w:p>
        </w:tc>
        <w:tc>
          <w:tcPr>
            <w:tcW w:w="730" w:type="dxa"/>
            <w:tcBorders>
              <w:top w:val="nil"/>
              <w:left w:val="nil"/>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一般公共预算拨款</w:t>
            </w:r>
          </w:p>
        </w:tc>
        <w:tc>
          <w:tcPr>
            <w:tcW w:w="697" w:type="dxa"/>
            <w:tcBorders>
              <w:top w:val="nil"/>
              <w:left w:val="nil"/>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其他来源收入</w:t>
            </w:r>
          </w:p>
        </w:tc>
      </w:tr>
      <w:tr>
        <w:tblPrEx>
          <w:tblCellMar>
            <w:top w:w="0" w:type="dxa"/>
            <w:left w:w="108" w:type="dxa"/>
            <w:bottom w:w="0" w:type="dxa"/>
            <w:right w:w="108" w:type="dxa"/>
          </w:tblCellMar>
        </w:tblPrEx>
        <w:trPr>
          <w:trHeight w:val="527" w:hRule="atLeast"/>
        </w:trPr>
        <w:tc>
          <w:tcPr>
            <w:tcW w:w="2241" w:type="dxa"/>
            <w:tcBorders>
              <w:top w:val="nil"/>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合　计</w:t>
            </w:r>
          </w:p>
        </w:tc>
        <w:tc>
          <w:tcPr>
            <w:tcW w:w="653" w:type="dxa"/>
            <w:tcBorders>
              <w:top w:val="nil"/>
              <w:left w:val="nil"/>
              <w:bottom w:val="single" w:color="auto" w:sz="4" w:space="0"/>
              <w:right w:val="single" w:color="auto" w:sz="4" w:space="0"/>
            </w:tcBorders>
            <w:vAlign w:val="center"/>
          </w:tcPr>
          <w:p>
            <w:pPr>
              <w:widowControl/>
              <w:jc w:val="right"/>
              <w:rPr>
                <w:rFonts w:ascii="仿宋" w:hAnsi="仿宋" w:eastAsia="仿宋" w:cs="宋体"/>
                <w:b/>
                <w:bCs/>
                <w:kern w:val="0"/>
                <w:sz w:val="20"/>
              </w:rPr>
            </w:pPr>
            <w:r>
              <w:rPr>
                <w:rFonts w:hint="eastAsia" w:ascii="仿宋" w:hAnsi="仿宋" w:eastAsia="仿宋" w:cs="宋体"/>
                <w:b/>
                <w:bCs/>
                <w:kern w:val="0"/>
                <w:sz w:val="20"/>
              </w:rPr>
              <w:t>　</w:t>
            </w:r>
          </w:p>
        </w:tc>
        <w:tc>
          <w:tcPr>
            <w:tcW w:w="820" w:type="dxa"/>
            <w:tcBorders>
              <w:top w:val="nil"/>
              <w:left w:val="nil"/>
              <w:bottom w:val="single" w:color="auto" w:sz="4" w:space="0"/>
              <w:right w:val="single" w:color="auto" w:sz="4" w:space="0"/>
            </w:tcBorders>
            <w:vAlign w:val="center"/>
          </w:tcPr>
          <w:p>
            <w:pPr>
              <w:widowControl/>
              <w:jc w:val="left"/>
              <w:rPr>
                <w:rFonts w:ascii="仿宋" w:hAnsi="仿宋" w:eastAsia="仿宋" w:cs="宋体"/>
                <w:b/>
                <w:bCs/>
                <w:kern w:val="0"/>
                <w:sz w:val="20"/>
              </w:rPr>
            </w:pPr>
            <w:r>
              <w:rPr>
                <w:rFonts w:hint="eastAsia" w:ascii="仿宋" w:hAnsi="仿宋" w:eastAsia="仿宋" w:cs="宋体"/>
                <w:b/>
                <w:bCs/>
                <w:kern w:val="0"/>
                <w:sz w:val="20"/>
              </w:rPr>
              <w:t>　</w:t>
            </w:r>
          </w:p>
        </w:tc>
        <w:tc>
          <w:tcPr>
            <w:tcW w:w="858" w:type="dxa"/>
            <w:tcBorders>
              <w:top w:val="nil"/>
              <w:left w:val="nil"/>
              <w:bottom w:val="single" w:color="auto" w:sz="4" w:space="0"/>
              <w:right w:val="single" w:color="auto" w:sz="4" w:space="0"/>
            </w:tcBorders>
            <w:vAlign w:val="center"/>
          </w:tcPr>
          <w:p>
            <w:pPr>
              <w:widowControl/>
              <w:jc w:val="left"/>
              <w:rPr>
                <w:rFonts w:ascii="仿宋" w:hAnsi="仿宋" w:eastAsia="仿宋" w:cs="宋体"/>
                <w:b/>
                <w:bCs/>
                <w:kern w:val="0"/>
                <w:sz w:val="20"/>
              </w:rPr>
            </w:pPr>
            <w:r>
              <w:rPr>
                <w:rFonts w:hint="eastAsia" w:ascii="仿宋" w:hAnsi="仿宋" w:eastAsia="仿宋" w:cs="宋体"/>
                <w:b/>
                <w:bCs/>
                <w:kern w:val="0"/>
                <w:sz w:val="20"/>
              </w:rPr>
              <w:t>　</w:t>
            </w:r>
          </w:p>
        </w:tc>
        <w:tc>
          <w:tcPr>
            <w:tcW w:w="665" w:type="dxa"/>
            <w:tcBorders>
              <w:top w:val="nil"/>
              <w:left w:val="nil"/>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　</w:t>
            </w:r>
          </w:p>
        </w:tc>
        <w:tc>
          <w:tcPr>
            <w:tcW w:w="449" w:type="dxa"/>
            <w:tcBorders>
              <w:top w:val="nil"/>
              <w:left w:val="nil"/>
              <w:bottom w:val="single" w:color="auto" w:sz="4" w:space="0"/>
              <w:right w:val="single" w:color="auto" w:sz="4" w:space="0"/>
            </w:tcBorders>
            <w:vAlign w:val="center"/>
          </w:tcPr>
          <w:p>
            <w:pPr>
              <w:widowControl/>
              <w:jc w:val="center"/>
              <w:rPr>
                <w:rFonts w:ascii="仿宋" w:hAnsi="仿宋" w:eastAsia="仿宋" w:cs="宋体"/>
                <w:b/>
                <w:bCs/>
                <w:kern w:val="0"/>
                <w:sz w:val="20"/>
              </w:rPr>
            </w:pPr>
            <w:r>
              <w:rPr>
                <w:rFonts w:hint="eastAsia" w:ascii="仿宋" w:hAnsi="仿宋" w:eastAsia="仿宋" w:cs="宋体"/>
                <w:b/>
                <w:bCs/>
                <w:kern w:val="0"/>
                <w:sz w:val="20"/>
              </w:rPr>
              <w:t>　</w:t>
            </w:r>
          </w:p>
        </w:tc>
        <w:tc>
          <w:tcPr>
            <w:tcW w:w="653" w:type="dxa"/>
            <w:tcBorders>
              <w:top w:val="nil"/>
              <w:left w:val="nil"/>
              <w:bottom w:val="single" w:color="auto" w:sz="4" w:space="0"/>
              <w:right w:val="single" w:color="auto" w:sz="4" w:space="0"/>
            </w:tcBorders>
            <w:vAlign w:val="center"/>
          </w:tcPr>
          <w:p>
            <w:pPr>
              <w:widowControl/>
              <w:jc w:val="right"/>
              <w:rPr>
                <w:rFonts w:ascii="仿宋" w:hAnsi="仿宋" w:eastAsia="仿宋" w:cs="宋体"/>
                <w:b/>
                <w:bCs/>
                <w:kern w:val="0"/>
                <w:sz w:val="20"/>
              </w:rPr>
            </w:pPr>
            <w:r>
              <w:rPr>
                <w:rFonts w:hint="eastAsia" w:ascii="仿宋" w:hAnsi="仿宋" w:eastAsia="仿宋" w:cs="宋体"/>
                <w:b/>
                <w:bCs/>
                <w:kern w:val="0"/>
                <w:sz w:val="20"/>
              </w:rPr>
              <w:t>　</w:t>
            </w:r>
          </w:p>
        </w:tc>
        <w:tc>
          <w:tcPr>
            <w:tcW w:w="807" w:type="dxa"/>
            <w:tcBorders>
              <w:top w:val="nil"/>
              <w:left w:val="nil"/>
              <w:bottom w:val="single" w:color="auto" w:sz="4" w:space="0"/>
              <w:right w:val="single" w:color="auto" w:sz="4" w:space="0"/>
            </w:tcBorders>
            <w:vAlign w:val="center"/>
          </w:tcPr>
          <w:p>
            <w:pPr>
              <w:widowControl/>
              <w:jc w:val="right"/>
              <w:rPr>
                <w:rFonts w:ascii="仿宋" w:hAnsi="仿宋" w:eastAsia="仿宋" w:cs="宋体"/>
                <w:b/>
                <w:bCs/>
                <w:kern w:val="0"/>
                <w:sz w:val="20"/>
              </w:rPr>
            </w:pPr>
            <w:r>
              <w:rPr>
                <w:rFonts w:hint="eastAsia" w:ascii="仿宋" w:hAnsi="仿宋" w:eastAsia="仿宋" w:cs="宋体"/>
                <w:b/>
                <w:bCs/>
                <w:kern w:val="0"/>
                <w:sz w:val="20"/>
              </w:rPr>
              <w:t>　</w:t>
            </w:r>
          </w:p>
        </w:tc>
        <w:tc>
          <w:tcPr>
            <w:tcW w:w="807" w:type="dxa"/>
            <w:tcBorders>
              <w:top w:val="nil"/>
              <w:left w:val="nil"/>
              <w:bottom w:val="single" w:color="auto" w:sz="4" w:space="0"/>
              <w:right w:val="single" w:color="auto" w:sz="4" w:space="0"/>
            </w:tcBorders>
            <w:vAlign w:val="center"/>
          </w:tcPr>
          <w:p>
            <w:pPr>
              <w:widowControl/>
              <w:jc w:val="right"/>
              <w:rPr>
                <w:rFonts w:ascii="仿宋" w:hAnsi="仿宋" w:eastAsia="仿宋" w:cs="宋体"/>
                <w:b/>
                <w:bCs/>
                <w:kern w:val="0"/>
                <w:sz w:val="20"/>
              </w:rPr>
            </w:pPr>
            <w:r>
              <w:rPr>
                <w:rFonts w:hint="eastAsia" w:ascii="仿宋" w:hAnsi="仿宋" w:eastAsia="仿宋" w:cs="宋体"/>
                <w:b/>
                <w:bCs/>
                <w:kern w:val="0"/>
                <w:sz w:val="20"/>
              </w:rPr>
              <w:t>　</w:t>
            </w:r>
          </w:p>
        </w:tc>
        <w:tc>
          <w:tcPr>
            <w:tcW w:w="730" w:type="dxa"/>
            <w:tcBorders>
              <w:top w:val="nil"/>
              <w:left w:val="nil"/>
              <w:bottom w:val="single" w:color="auto" w:sz="4" w:space="0"/>
              <w:right w:val="single" w:color="auto" w:sz="4" w:space="0"/>
            </w:tcBorders>
            <w:vAlign w:val="center"/>
          </w:tcPr>
          <w:p>
            <w:pPr>
              <w:widowControl/>
              <w:jc w:val="right"/>
              <w:rPr>
                <w:rFonts w:ascii="仿宋" w:hAnsi="仿宋" w:eastAsia="仿宋" w:cs="宋体"/>
                <w:b/>
                <w:bCs/>
                <w:kern w:val="0"/>
                <w:sz w:val="20"/>
              </w:rPr>
            </w:pPr>
            <w:r>
              <w:rPr>
                <w:rFonts w:hint="eastAsia" w:ascii="仿宋" w:hAnsi="仿宋" w:eastAsia="仿宋" w:cs="宋体"/>
                <w:b/>
                <w:bCs/>
                <w:kern w:val="0"/>
                <w:sz w:val="20"/>
              </w:rPr>
              <w:t>　</w:t>
            </w:r>
          </w:p>
        </w:tc>
        <w:tc>
          <w:tcPr>
            <w:tcW w:w="697" w:type="dxa"/>
            <w:tcBorders>
              <w:top w:val="nil"/>
              <w:left w:val="nil"/>
              <w:bottom w:val="single" w:color="auto" w:sz="4" w:space="0"/>
              <w:right w:val="single" w:color="auto" w:sz="4" w:space="0"/>
            </w:tcBorders>
            <w:vAlign w:val="center"/>
          </w:tcPr>
          <w:p>
            <w:pPr>
              <w:widowControl/>
              <w:jc w:val="right"/>
              <w:rPr>
                <w:rFonts w:ascii="仿宋" w:hAnsi="仿宋" w:eastAsia="仿宋" w:cs="宋体"/>
                <w:b/>
                <w:bCs/>
                <w:kern w:val="0"/>
                <w:sz w:val="20"/>
              </w:rPr>
            </w:pPr>
            <w:r>
              <w:rPr>
                <w:rFonts w:hint="eastAsia" w:ascii="仿宋" w:hAnsi="仿宋" w:eastAsia="仿宋" w:cs="宋体"/>
                <w:b/>
                <w:bCs/>
                <w:kern w:val="0"/>
                <w:sz w:val="20"/>
              </w:rPr>
              <w:t>　</w:t>
            </w:r>
          </w:p>
        </w:tc>
      </w:tr>
    </w:tbl>
    <w:p/>
    <w:p/>
    <w:p/>
    <w:p/>
    <w:p/>
    <w:p/>
    <w:p/>
    <w:p/>
    <w:p/>
    <w:p>
      <w:pPr>
        <w:widowControl/>
        <w:spacing w:line="580" w:lineRule="atLeast"/>
        <w:ind w:firstLine="723" w:firstLineChars="200"/>
        <w:jc w:val="both"/>
        <w:rPr>
          <w:rFonts w:hint="eastAsia" w:ascii="宋体" w:hAnsi="宋体" w:eastAsia="宋体" w:cs="宋体"/>
          <w:b/>
          <w:kern w:val="0"/>
          <w:sz w:val="36"/>
          <w:szCs w:val="36"/>
        </w:rPr>
      </w:pPr>
      <w:r>
        <w:rPr>
          <w:rFonts w:hint="eastAsia" w:ascii="宋体" w:hAnsi="宋体" w:eastAsia="宋体" w:cs="宋体"/>
          <w:b/>
          <w:kern w:val="0"/>
          <w:sz w:val="36"/>
          <w:szCs w:val="36"/>
          <w:lang w:eastAsia="zh-CN"/>
        </w:rPr>
        <w:t>七、</w:t>
      </w:r>
      <w:r>
        <w:rPr>
          <w:rFonts w:hint="eastAsia" w:ascii="宋体" w:hAnsi="宋体" w:eastAsia="宋体" w:cs="宋体"/>
          <w:b/>
          <w:kern w:val="0"/>
          <w:sz w:val="36"/>
          <w:szCs w:val="36"/>
        </w:rPr>
        <w:t>国有资产信息情况</w:t>
      </w:r>
    </w:p>
    <w:p>
      <w:pPr>
        <w:ind w:firstLine="640" w:firstLineChars="200"/>
        <w:jc w:val="left"/>
        <w:rPr>
          <w:rFonts w:hint="eastAsia" w:ascii="仿宋" w:hAnsi="仿宋" w:eastAsia="仿宋" w:cs="仿宋"/>
          <w:color w:val="000000"/>
          <w:sz w:val="32"/>
          <w:szCs w:val="32"/>
        </w:rPr>
      </w:pPr>
      <w:r>
        <w:rPr>
          <w:rFonts w:hint="eastAsia" w:ascii="仿宋" w:hAnsi="仿宋" w:eastAsia="仿宋" w:cs="仿宋"/>
          <w:color w:val="000000"/>
          <w:kern w:val="0"/>
          <w:sz w:val="32"/>
          <w:szCs w:val="32"/>
        </w:rPr>
        <w:t>我</w:t>
      </w:r>
      <w:r>
        <w:rPr>
          <w:rFonts w:hint="eastAsia" w:ascii="仿宋" w:hAnsi="仿宋" w:eastAsia="仿宋" w:cs="仿宋"/>
          <w:color w:val="000000"/>
          <w:kern w:val="0"/>
          <w:sz w:val="32"/>
          <w:szCs w:val="32"/>
          <w:lang w:eastAsia="zh-CN"/>
        </w:rPr>
        <w:t>单位</w:t>
      </w:r>
      <w:r>
        <w:rPr>
          <w:rFonts w:hint="eastAsia" w:ascii="仿宋" w:hAnsi="仿宋" w:eastAsia="仿宋" w:cs="仿宋"/>
          <w:color w:val="000000"/>
          <w:kern w:val="0"/>
          <w:sz w:val="32"/>
          <w:szCs w:val="32"/>
        </w:rPr>
        <w:t>20</w:t>
      </w:r>
      <w:r>
        <w:rPr>
          <w:rFonts w:hint="eastAsia" w:ascii="仿宋" w:hAnsi="仿宋" w:eastAsia="仿宋" w:cs="仿宋"/>
          <w:color w:val="000000"/>
          <w:kern w:val="0"/>
          <w:sz w:val="32"/>
          <w:szCs w:val="32"/>
          <w:lang w:val="en-US" w:eastAsia="zh-CN"/>
        </w:rPr>
        <w:t>21</w:t>
      </w:r>
      <w:r>
        <w:rPr>
          <w:rFonts w:hint="eastAsia" w:ascii="仿宋" w:hAnsi="仿宋" w:eastAsia="仿宋" w:cs="仿宋"/>
          <w:color w:val="000000"/>
          <w:kern w:val="0"/>
          <w:sz w:val="32"/>
          <w:szCs w:val="32"/>
        </w:rPr>
        <w:t>年末固定资产金额为</w:t>
      </w:r>
      <w:r>
        <w:rPr>
          <w:rFonts w:hint="eastAsia" w:ascii="仿宋" w:hAnsi="仿宋" w:eastAsia="仿宋" w:cs="仿宋"/>
          <w:color w:val="000000"/>
          <w:kern w:val="0"/>
          <w:sz w:val="32"/>
          <w:szCs w:val="32"/>
          <w:lang w:val="en-US" w:eastAsia="zh-CN"/>
        </w:rPr>
        <w:t xml:space="preserve"> 2.012321</w:t>
      </w:r>
      <w:r>
        <w:rPr>
          <w:rFonts w:hint="eastAsia" w:ascii="仿宋" w:hAnsi="仿宋" w:eastAsia="仿宋" w:cs="仿宋"/>
          <w:color w:val="000000"/>
          <w:sz w:val="32"/>
          <w:szCs w:val="32"/>
        </w:rPr>
        <w:t>万元，详见下表。</w:t>
      </w:r>
    </w:p>
    <w:tbl>
      <w:tblPr>
        <w:tblStyle w:val="5"/>
        <w:tblpPr w:leftFromText="180" w:rightFromText="180" w:vertAnchor="text" w:horzAnchor="page" w:tblpX="1828" w:tblpY="5"/>
        <w:tblOverlap w:val="never"/>
        <w:tblW w:w="9260" w:type="dxa"/>
        <w:tblInd w:w="0" w:type="dxa"/>
        <w:tblLayout w:type="fixed"/>
        <w:tblCellMar>
          <w:top w:w="0" w:type="dxa"/>
          <w:left w:w="108" w:type="dxa"/>
          <w:bottom w:w="0" w:type="dxa"/>
          <w:right w:w="108" w:type="dxa"/>
        </w:tblCellMar>
      </w:tblPr>
      <w:tblGrid>
        <w:gridCol w:w="3231"/>
        <w:gridCol w:w="1621"/>
        <w:gridCol w:w="4408"/>
      </w:tblGrid>
      <w:tr>
        <w:tblPrEx>
          <w:tblCellMar>
            <w:top w:w="0" w:type="dxa"/>
            <w:left w:w="108" w:type="dxa"/>
            <w:bottom w:w="0" w:type="dxa"/>
            <w:right w:w="108" w:type="dxa"/>
          </w:tblCellMar>
        </w:tblPrEx>
        <w:trPr>
          <w:trHeight w:val="513" w:hRule="atLeast"/>
        </w:trPr>
        <w:tc>
          <w:tcPr>
            <w:tcW w:w="323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 w:val="24"/>
                <w:szCs w:val="24"/>
              </w:rPr>
            </w:pPr>
            <w:r>
              <w:rPr>
                <w:rFonts w:hint="eastAsia" w:ascii="仿宋" w:hAnsi="仿宋" w:eastAsia="仿宋" w:cs="宋体"/>
                <w:b/>
                <w:bCs/>
                <w:kern w:val="0"/>
                <w:sz w:val="24"/>
                <w:szCs w:val="24"/>
              </w:rPr>
              <w:t>项</w:t>
            </w:r>
            <w:r>
              <w:rPr>
                <w:rFonts w:ascii="仿宋" w:hAnsi="仿宋" w:eastAsia="仿宋" w:cs="宋体"/>
                <w:b/>
                <w:bCs/>
                <w:kern w:val="0"/>
                <w:sz w:val="24"/>
                <w:szCs w:val="24"/>
              </w:rPr>
              <w:t xml:space="preserve">   </w:t>
            </w:r>
            <w:r>
              <w:rPr>
                <w:rFonts w:hint="eastAsia" w:ascii="仿宋" w:hAnsi="仿宋" w:eastAsia="仿宋" w:cs="宋体"/>
                <w:b/>
                <w:bCs/>
                <w:kern w:val="0"/>
                <w:sz w:val="24"/>
                <w:szCs w:val="24"/>
              </w:rPr>
              <w:t>目</w:t>
            </w:r>
          </w:p>
        </w:tc>
        <w:tc>
          <w:tcPr>
            <w:tcW w:w="1621" w:type="dxa"/>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宋体"/>
                <w:b/>
                <w:bCs/>
                <w:kern w:val="0"/>
                <w:sz w:val="24"/>
                <w:szCs w:val="24"/>
              </w:rPr>
            </w:pPr>
            <w:r>
              <w:rPr>
                <w:rFonts w:hint="eastAsia" w:ascii="仿宋" w:hAnsi="仿宋" w:eastAsia="仿宋" w:cs="宋体"/>
                <w:b/>
                <w:bCs/>
                <w:kern w:val="0"/>
                <w:sz w:val="24"/>
                <w:szCs w:val="24"/>
              </w:rPr>
              <w:t>数</w:t>
            </w:r>
            <w:r>
              <w:rPr>
                <w:rFonts w:ascii="仿宋" w:hAnsi="仿宋" w:eastAsia="仿宋" w:cs="宋体"/>
                <w:b/>
                <w:bCs/>
                <w:kern w:val="0"/>
                <w:sz w:val="24"/>
                <w:szCs w:val="24"/>
              </w:rPr>
              <w:t xml:space="preserve">  </w:t>
            </w:r>
            <w:r>
              <w:rPr>
                <w:rFonts w:hint="eastAsia" w:ascii="仿宋" w:hAnsi="仿宋" w:eastAsia="仿宋" w:cs="宋体"/>
                <w:b/>
                <w:bCs/>
                <w:kern w:val="0"/>
                <w:sz w:val="24"/>
                <w:szCs w:val="24"/>
              </w:rPr>
              <w:t>量</w:t>
            </w:r>
          </w:p>
        </w:tc>
        <w:tc>
          <w:tcPr>
            <w:tcW w:w="4408" w:type="dxa"/>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宋体"/>
                <w:b/>
                <w:bCs/>
                <w:kern w:val="0"/>
                <w:sz w:val="24"/>
                <w:szCs w:val="24"/>
              </w:rPr>
            </w:pPr>
            <w:r>
              <w:rPr>
                <w:rFonts w:hint="eastAsia" w:ascii="仿宋" w:hAnsi="仿宋" w:eastAsia="仿宋" w:cs="宋体"/>
                <w:b/>
                <w:bCs/>
                <w:kern w:val="0"/>
                <w:sz w:val="24"/>
                <w:szCs w:val="24"/>
              </w:rPr>
              <w:t>价值（金额单位：万元）</w:t>
            </w:r>
          </w:p>
        </w:tc>
      </w:tr>
      <w:tr>
        <w:tblPrEx>
          <w:tblCellMar>
            <w:top w:w="0" w:type="dxa"/>
            <w:left w:w="108" w:type="dxa"/>
            <w:bottom w:w="0" w:type="dxa"/>
            <w:right w:w="108" w:type="dxa"/>
          </w:tblCellMar>
        </w:tblPrEx>
        <w:trPr>
          <w:trHeight w:val="437" w:hRule="atLeast"/>
        </w:trPr>
        <w:tc>
          <w:tcPr>
            <w:tcW w:w="3231" w:type="dxa"/>
            <w:tcBorders>
              <w:top w:val="nil"/>
              <w:left w:val="single" w:color="auto" w:sz="4" w:space="0"/>
              <w:bottom w:val="single" w:color="auto" w:sz="4" w:space="0"/>
              <w:right w:val="single" w:color="auto" w:sz="4" w:space="0"/>
            </w:tcBorders>
            <w:vAlign w:val="center"/>
          </w:tcPr>
          <w:p>
            <w:pPr>
              <w:widowControl/>
              <w:jc w:val="center"/>
              <w:rPr>
                <w:rFonts w:ascii="仿宋" w:hAnsi="仿宋" w:eastAsia="仿宋" w:cs="宋体"/>
                <w:b/>
                <w:bCs/>
                <w:kern w:val="0"/>
                <w:szCs w:val="21"/>
              </w:rPr>
            </w:pPr>
            <w:r>
              <w:rPr>
                <w:rFonts w:hint="eastAsia" w:ascii="仿宋" w:hAnsi="仿宋" w:eastAsia="仿宋" w:cs="宋体"/>
                <w:b/>
                <w:bCs/>
                <w:kern w:val="0"/>
                <w:szCs w:val="21"/>
              </w:rPr>
              <w:t>固定资产总额</w:t>
            </w:r>
          </w:p>
        </w:tc>
        <w:tc>
          <w:tcPr>
            <w:tcW w:w="1621" w:type="dxa"/>
            <w:tcBorders>
              <w:top w:val="nil"/>
              <w:left w:val="nil"/>
              <w:bottom w:val="single" w:color="auto" w:sz="4" w:space="0"/>
              <w:right w:val="single" w:color="auto" w:sz="4" w:space="0"/>
            </w:tcBorders>
            <w:vAlign w:val="center"/>
          </w:tcPr>
          <w:p>
            <w:pPr>
              <w:widowControl/>
              <w:jc w:val="center"/>
              <w:rPr>
                <w:rFonts w:ascii="仿宋" w:hAnsi="仿宋" w:eastAsia="仿宋" w:cs="宋体"/>
                <w:kern w:val="0"/>
                <w:szCs w:val="21"/>
              </w:rPr>
            </w:pPr>
            <w:r>
              <w:rPr>
                <w:rFonts w:ascii="仿宋" w:hAnsi="仿宋" w:eastAsia="仿宋" w:cs="宋体"/>
                <w:kern w:val="0"/>
                <w:szCs w:val="21"/>
              </w:rPr>
              <w:t>——</w:t>
            </w:r>
          </w:p>
        </w:tc>
        <w:tc>
          <w:tcPr>
            <w:tcW w:w="4408" w:type="dxa"/>
            <w:tcBorders>
              <w:top w:val="nil"/>
              <w:left w:val="nil"/>
              <w:bottom w:val="single" w:color="auto" w:sz="4" w:space="0"/>
              <w:right w:val="single" w:color="auto" w:sz="4" w:space="0"/>
            </w:tcBorders>
            <w:vAlign w:val="center"/>
          </w:tcPr>
          <w:p>
            <w:pPr>
              <w:widowControl/>
              <w:jc w:val="center"/>
              <w:rPr>
                <w:rFonts w:hint="default" w:ascii="仿宋" w:hAnsi="仿宋" w:eastAsia="仿宋" w:cs="宋体"/>
                <w:kern w:val="0"/>
                <w:szCs w:val="21"/>
                <w:lang w:val="en-US" w:eastAsia="zh-CN"/>
              </w:rPr>
            </w:pPr>
            <w:r>
              <w:rPr>
                <w:rFonts w:hint="eastAsia" w:ascii="宋体" w:hAnsi="宋体" w:cs="宋体"/>
                <w:color w:val="000000"/>
                <w:kern w:val="0"/>
                <w:sz w:val="32"/>
                <w:szCs w:val="32"/>
                <w:lang w:val="en-US" w:eastAsia="zh-CN"/>
              </w:rPr>
              <w:t>2.012321</w:t>
            </w:r>
          </w:p>
        </w:tc>
      </w:tr>
      <w:tr>
        <w:tblPrEx>
          <w:tblCellMar>
            <w:top w:w="0" w:type="dxa"/>
            <w:left w:w="108" w:type="dxa"/>
            <w:bottom w:w="0" w:type="dxa"/>
            <w:right w:w="108" w:type="dxa"/>
          </w:tblCellMar>
        </w:tblPrEx>
        <w:trPr>
          <w:trHeight w:val="550" w:hRule="atLeast"/>
        </w:trPr>
        <w:tc>
          <w:tcPr>
            <w:tcW w:w="3231"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Cs w:val="21"/>
              </w:rPr>
            </w:pPr>
            <w:r>
              <w:rPr>
                <w:rFonts w:ascii="仿宋" w:hAnsi="仿宋" w:eastAsia="仿宋" w:cs="宋体"/>
                <w:kern w:val="0"/>
                <w:szCs w:val="21"/>
              </w:rPr>
              <w:t>1.</w:t>
            </w:r>
            <w:r>
              <w:rPr>
                <w:rFonts w:hint="eastAsia" w:ascii="仿宋" w:hAnsi="仿宋" w:eastAsia="仿宋" w:cs="宋体"/>
                <w:kern w:val="0"/>
                <w:szCs w:val="21"/>
              </w:rPr>
              <w:t>房屋（平方米）</w:t>
            </w:r>
          </w:p>
        </w:tc>
        <w:tc>
          <w:tcPr>
            <w:tcW w:w="1621" w:type="dxa"/>
            <w:tcBorders>
              <w:top w:val="single" w:color="000000" w:sz="4" w:space="0"/>
              <w:left w:val="nil"/>
              <w:bottom w:val="single" w:color="000000" w:sz="4" w:space="0"/>
              <w:right w:val="single" w:color="000000" w:sz="8" w:space="0"/>
            </w:tcBorders>
            <w:vAlign w:val="center"/>
          </w:tcPr>
          <w:p>
            <w:pPr>
              <w:widowControl/>
              <w:jc w:val="right"/>
              <w:rPr>
                <w:rFonts w:ascii="仿宋" w:hAnsi="仿宋" w:eastAsia="仿宋" w:cs="宋体"/>
                <w:color w:val="000000"/>
                <w:kern w:val="0"/>
                <w:szCs w:val="21"/>
              </w:rPr>
            </w:pPr>
          </w:p>
        </w:tc>
        <w:tc>
          <w:tcPr>
            <w:tcW w:w="4408" w:type="dxa"/>
            <w:tcBorders>
              <w:top w:val="single" w:color="000000" w:sz="4" w:space="0"/>
              <w:left w:val="nil"/>
              <w:bottom w:val="single" w:color="000000" w:sz="4" w:space="0"/>
              <w:right w:val="single" w:color="000000" w:sz="4" w:space="0"/>
            </w:tcBorders>
            <w:vAlign w:val="center"/>
          </w:tcPr>
          <w:p>
            <w:pPr>
              <w:widowControl/>
              <w:jc w:val="right"/>
              <w:rPr>
                <w:rFonts w:ascii="仿宋" w:hAnsi="仿宋" w:eastAsia="仿宋" w:cs="宋体"/>
                <w:color w:val="000000"/>
                <w:kern w:val="0"/>
                <w:szCs w:val="21"/>
              </w:rPr>
            </w:pPr>
          </w:p>
        </w:tc>
      </w:tr>
      <w:tr>
        <w:tblPrEx>
          <w:tblCellMar>
            <w:top w:w="0" w:type="dxa"/>
            <w:left w:w="108" w:type="dxa"/>
            <w:bottom w:w="0" w:type="dxa"/>
            <w:right w:w="108" w:type="dxa"/>
          </w:tblCellMar>
        </w:tblPrEx>
        <w:trPr>
          <w:trHeight w:val="581" w:hRule="atLeast"/>
        </w:trPr>
        <w:tc>
          <w:tcPr>
            <w:tcW w:w="3231" w:type="dxa"/>
            <w:tcBorders>
              <w:top w:val="nil"/>
              <w:left w:val="single" w:color="auto" w:sz="4" w:space="0"/>
              <w:bottom w:val="single" w:color="auto" w:sz="4" w:space="0"/>
              <w:right w:val="single" w:color="auto" w:sz="4" w:space="0"/>
            </w:tcBorders>
            <w:vAlign w:val="center"/>
          </w:tcPr>
          <w:p>
            <w:pPr>
              <w:widowControl/>
              <w:ind w:firstLine="420" w:firstLineChars="200"/>
              <w:jc w:val="left"/>
              <w:rPr>
                <w:rFonts w:ascii="仿宋" w:hAnsi="仿宋" w:eastAsia="仿宋" w:cs="宋体"/>
                <w:kern w:val="0"/>
                <w:szCs w:val="21"/>
              </w:rPr>
            </w:pPr>
            <w:r>
              <w:rPr>
                <w:rFonts w:hint="eastAsia" w:ascii="仿宋" w:hAnsi="仿宋" w:eastAsia="仿宋" w:cs="宋体"/>
                <w:kern w:val="0"/>
                <w:szCs w:val="21"/>
              </w:rPr>
              <w:t>其中：办公用房</w:t>
            </w:r>
          </w:p>
        </w:tc>
        <w:tc>
          <w:tcPr>
            <w:tcW w:w="1621" w:type="dxa"/>
            <w:tcBorders>
              <w:top w:val="nil"/>
              <w:left w:val="nil"/>
              <w:bottom w:val="single" w:color="000000" w:sz="4" w:space="0"/>
              <w:right w:val="single" w:color="000000" w:sz="8" w:space="0"/>
            </w:tcBorders>
            <w:vAlign w:val="center"/>
          </w:tcPr>
          <w:p>
            <w:pPr>
              <w:widowControl/>
              <w:jc w:val="right"/>
              <w:rPr>
                <w:rFonts w:ascii="仿宋" w:hAnsi="仿宋" w:eastAsia="仿宋" w:cs="宋体"/>
                <w:color w:val="000000"/>
                <w:kern w:val="0"/>
                <w:szCs w:val="21"/>
              </w:rPr>
            </w:pPr>
          </w:p>
        </w:tc>
        <w:tc>
          <w:tcPr>
            <w:tcW w:w="4408" w:type="dxa"/>
            <w:tcBorders>
              <w:top w:val="nil"/>
              <w:left w:val="nil"/>
              <w:bottom w:val="single" w:color="000000" w:sz="4" w:space="0"/>
              <w:right w:val="single" w:color="000000" w:sz="4" w:space="0"/>
            </w:tcBorders>
            <w:vAlign w:val="center"/>
          </w:tcPr>
          <w:p>
            <w:pPr>
              <w:widowControl/>
              <w:jc w:val="right"/>
              <w:rPr>
                <w:rFonts w:ascii="仿宋" w:hAnsi="仿宋" w:eastAsia="仿宋" w:cs="宋体"/>
                <w:color w:val="000000"/>
                <w:kern w:val="0"/>
                <w:szCs w:val="21"/>
              </w:rPr>
            </w:pPr>
          </w:p>
        </w:tc>
      </w:tr>
      <w:tr>
        <w:tblPrEx>
          <w:tblCellMar>
            <w:top w:w="0" w:type="dxa"/>
            <w:left w:w="108" w:type="dxa"/>
            <w:bottom w:w="0" w:type="dxa"/>
            <w:right w:w="108" w:type="dxa"/>
          </w:tblCellMar>
        </w:tblPrEx>
        <w:trPr>
          <w:trHeight w:val="587" w:hRule="atLeast"/>
        </w:trPr>
        <w:tc>
          <w:tcPr>
            <w:tcW w:w="3231"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Cs w:val="21"/>
              </w:rPr>
            </w:pPr>
            <w:r>
              <w:rPr>
                <w:rFonts w:ascii="仿宋" w:hAnsi="仿宋" w:eastAsia="仿宋" w:cs="宋体"/>
                <w:kern w:val="0"/>
                <w:szCs w:val="21"/>
              </w:rPr>
              <w:t>2.</w:t>
            </w:r>
            <w:r>
              <w:rPr>
                <w:rFonts w:hint="eastAsia" w:ascii="仿宋" w:hAnsi="仿宋" w:eastAsia="仿宋" w:cs="宋体"/>
                <w:kern w:val="0"/>
                <w:szCs w:val="21"/>
              </w:rPr>
              <w:t>车辆（台、辆）</w:t>
            </w:r>
          </w:p>
        </w:tc>
        <w:tc>
          <w:tcPr>
            <w:tcW w:w="1621" w:type="dxa"/>
            <w:tcBorders>
              <w:top w:val="single" w:color="auto" w:sz="4" w:space="0"/>
              <w:left w:val="nil"/>
              <w:bottom w:val="single" w:color="auto" w:sz="4" w:space="0"/>
              <w:right w:val="single" w:color="auto" w:sz="4" w:space="0"/>
            </w:tcBorders>
            <w:vAlign w:val="center"/>
          </w:tcPr>
          <w:p>
            <w:pPr>
              <w:widowControl/>
              <w:jc w:val="right"/>
              <w:rPr>
                <w:rFonts w:ascii="仿宋" w:hAnsi="仿宋" w:eastAsia="仿宋" w:cs="宋体"/>
                <w:kern w:val="0"/>
                <w:szCs w:val="21"/>
              </w:rPr>
            </w:pPr>
          </w:p>
        </w:tc>
        <w:tc>
          <w:tcPr>
            <w:tcW w:w="4408" w:type="dxa"/>
            <w:tcBorders>
              <w:top w:val="nil"/>
              <w:left w:val="nil"/>
              <w:bottom w:val="single" w:color="000000" w:sz="4" w:space="0"/>
              <w:right w:val="single" w:color="000000" w:sz="4" w:space="0"/>
            </w:tcBorders>
            <w:vAlign w:val="center"/>
          </w:tcPr>
          <w:p>
            <w:pPr>
              <w:widowControl/>
              <w:jc w:val="right"/>
              <w:rPr>
                <w:rFonts w:ascii="仿宋" w:hAnsi="仿宋" w:eastAsia="仿宋" w:cs="宋体"/>
                <w:color w:val="000000"/>
                <w:kern w:val="0"/>
                <w:szCs w:val="21"/>
              </w:rPr>
            </w:pPr>
          </w:p>
        </w:tc>
      </w:tr>
      <w:tr>
        <w:tblPrEx>
          <w:tblCellMar>
            <w:top w:w="0" w:type="dxa"/>
            <w:left w:w="108" w:type="dxa"/>
            <w:bottom w:w="0" w:type="dxa"/>
            <w:right w:w="108" w:type="dxa"/>
          </w:tblCellMar>
        </w:tblPrEx>
        <w:trPr>
          <w:trHeight w:val="581" w:hRule="atLeast"/>
        </w:trPr>
        <w:tc>
          <w:tcPr>
            <w:tcW w:w="3231"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Cs w:val="21"/>
              </w:rPr>
            </w:pPr>
            <w:r>
              <w:rPr>
                <w:rFonts w:ascii="仿宋" w:hAnsi="仿宋" w:eastAsia="仿宋" w:cs="宋体"/>
                <w:kern w:val="0"/>
                <w:szCs w:val="21"/>
              </w:rPr>
              <w:t>3.</w:t>
            </w:r>
            <w:r>
              <w:rPr>
                <w:rFonts w:hint="eastAsia" w:ascii="仿宋" w:hAnsi="仿宋" w:eastAsia="仿宋" w:cs="宋体"/>
                <w:kern w:val="0"/>
                <w:szCs w:val="21"/>
              </w:rPr>
              <w:t>单价在</w:t>
            </w:r>
            <w:r>
              <w:rPr>
                <w:rFonts w:ascii="仿宋" w:hAnsi="仿宋" w:eastAsia="仿宋" w:cs="宋体"/>
                <w:kern w:val="0"/>
                <w:szCs w:val="21"/>
              </w:rPr>
              <w:t>50</w:t>
            </w:r>
            <w:r>
              <w:rPr>
                <w:rFonts w:hint="eastAsia" w:ascii="仿宋" w:hAnsi="仿宋" w:eastAsia="仿宋" w:cs="宋体"/>
                <w:kern w:val="0"/>
                <w:szCs w:val="21"/>
              </w:rPr>
              <w:t>万元以上的设备（台、套）</w:t>
            </w:r>
          </w:p>
        </w:tc>
        <w:tc>
          <w:tcPr>
            <w:tcW w:w="1621" w:type="dxa"/>
            <w:tcBorders>
              <w:top w:val="single" w:color="auto" w:sz="4" w:space="0"/>
              <w:left w:val="nil"/>
              <w:bottom w:val="single" w:color="auto" w:sz="4" w:space="0"/>
              <w:right w:val="single" w:color="auto" w:sz="4" w:space="0"/>
            </w:tcBorders>
            <w:vAlign w:val="center"/>
          </w:tcPr>
          <w:p>
            <w:pPr>
              <w:widowControl/>
              <w:jc w:val="left"/>
              <w:rPr>
                <w:rFonts w:ascii="仿宋" w:hAnsi="仿宋" w:eastAsia="仿宋" w:cs="宋体"/>
                <w:kern w:val="0"/>
                <w:szCs w:val="21"/>
              </w:rPr>
            </w:pPr>
            <w:r>
              <w:rPr>
                <w:rFonts w:hint="eastAsia" w:ascii="仿宋" w:hAnsi="仿宋" w:eastAsia="仿宋" w:cs="宋体"/>
                <w:kern w:val="0"/>
                <w:szCs w:val="21"/>
              </w:rPr>
              <w:t>　</w:t>
            </w:r>
          </w:p>
        </w:tc>
        <w:tc>
          <w:tcPr>
            <w:tcW w:w="4408" w:type="dxa"/>
            <w:tcBorders>
              <w:top w:val="single" w:color="auto" w:sz="4" w:space="0"/>
              <w:left w:val="nil"/>
              <w:bottom w:val="single" w:color="auto" w:sz="4" w:space="0"/>
              <w:right w:val="single" w:color="auto" w:sz="4" w:space="0"/>
            </w:tcBorders>
            <w:vAlign w:val="center"/>
          </w:tcPr>
          <w:p>
            <w:pPr>
              <w:widowControl/>
              <w:jc w:val="right"/>
              <w:rPr>
                <w:rFonts w:ascii="仿宋" w:hAnsi="仿宋" w:eastAsia="仿宋" w:cs="宋体"/>
                <w:kern w:val="0"/>
                <w:szCs w:val="21"/>
              </w:rPr>
            </w:pPr>
          </w:p>
        </w:tc>
      </w:tr>
      <w:tr>
        <w:tblPrEx>
          <w:tblCellMar>
            <w:top w:w="0" w:type="dxa"/>
            <w:left w:w="108" w:type="dxa"/>
            <w:bottom w:w="0" w:type="dxa"/>
            <w:right w:w="108" w:type="dxa"/>
          </w:tblCellMar>
        </w:tblPrEx>
        <w:trPr>
          <w:trHeight w:val="601" w:hRule="atLeast"/>
        </w:trPr>
        <w:tc>
          <w:tcPr>
            <w:tcW w:w="3231"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Cs w:val="21"/>
              </w:rPr>
            </w:pPr>
            <w:r>
              <w:rPr>
                <w:rFonts w:ascii="仿宋" w:hAnsi="仿宋" w:eastAsia="仿宋" w:cs="宋体"/>
                <w:kern w:val="0"/>
                <w:szCs w:val="21"/>
              </w:rPr>
              <w:t>4.</w:t>
            </w:r>
            <w:r>
              <w:rPr>
                <w:rFonts w:hint="eastAsia" w:ascii="仿宋" w:hAnsi="仿宋" w:eastAsia="仿宋" w:cs="宋体"/>
                <w:kern w:val="0"/>
                <w:szCs w:val="21"/>
              </w:rPr>
              <w:t>其他固定资产</w:t>
            </w:r>
          </w:p>
        </w:tc>
        <w:tc>
          <w:tcPr>
            <w:tcW w:w="1621" w:type="dxa"/>
            <w:tcBorders>
              <w:top w:val="nil"/>
              <w:left w:val="nil"/>
              <w:bottom w:val="single" w:color="auto" w:sz="4" w:space="0"/>
              <w:right w:val="single" w:color="auto" w:sz="4" w:space="0"/>
            </w:tcBorders>
            <w:vAlign w:val="center"/>
          </w:tcPr>
          <w:p>
            <w:pPr>
              <w:widowControl/>
              <w:rPr>
                <w:rFonts w:ascii="仿宋" w:hAnsi="仿宋" w:eastAsia="仿宋" w:cs="宋体"/>
                <w:kern w:val="0"/>
                <w:szCs w:val="21"/>
              </w:rPr>
            </w:pPr>
            <w:r>
              <w:rPr>
                <w:rFonts w:ascii="仿宋" w:hAnsi="仿宋" w:eastAsia="仿宋" w:cs="宋体"/>
                <w:kern w:val="0"/>
                <w:szCs w:val="21"/>
              </w:rPr>
              <w:t>---</w:t>
            </w:r>
          </w:p>
        </w:tc>
        <w:tc>
          <w:tcPr>
            <w:tcW w:w="4408" w:type="dxa"/>
            <w:tcBorders>
              <w:top w:val="single" w:color="000000" w:sz="4" w:space="0"/>
              <w:left w:val="nil"/>
              <w:bottom w:val="single" w:color="000000" w:sz="4" w:space="0"/>
              <w:right w:val="single" w:color="000000" w:sz="4" w:space="0"/>
            </w:tcBorders>
            <w:vAlign w:val="center"/>
          </w:tcPr>
          <w:p>
            <w:pPr>
              <w:widowControl/>
              <w:jc w:val="center"/>
              <w:rPr>
                <w:rFonts w:hint="eastAsia" w:ascii="仿宋" w:hAnsi="仿宋" w:eastAsia="仿宋" w:cs="宋体"/>
                <w:color w:val="000000"/>
                <w:kern w:val="0"/>
                <w:szCs w:val="21"/>
                <w:lang w:val="en-US" w:eastAsia="zh-CN"/>
              </w:rPr>
            </w:pPr>
            <w:r>
              <w:rPr>
                <w:rFonts w:hint="eastAsia" w:ascii="宋体" w:hAnsi="宋体" w:cs="宋体"/>
                <w:color w:val="000000"/>
                <w:kern w:val="0"/>
                <w:sz w:val="32"/>
                <w:szCs w:val="32"/>
                <w:lang w:val="en-US" w:eastAsia="zh-CN"/>
              </w:rPr>
              <w:t>2.012321</w:t>
            </w:r>
          </w:p>
        </w:tc>
      </w:tr>
    </w:tbl>
    <w:p>
      <w:pPr>
        <w:widowControl/>
        <w:spacing w:line="580" w:lineRule="atLeast"/>
        <w:ind w:firstLine="640" w:firstLineChars="200"/>
        <w:jc w:val="left"/>
        <w:rPr>
          <w:rFonts w:hint="eastAsia" w:ascii="仿宋" w:hAnsi="仿宋" w:eastAsia="仿宋" w:cs="仿宋"/>
          <w:color w:val="000000"/>
          <w:kern w:val="0"/>
          <w:sz w:val="32"/>
          <w:szCs w:val="32"/>
        </w:rPr>
      </w:pPr>
    </w:p>
    <w:p>
      <w:pPr>
        <w:pStyle w:val="4"/>
        <w:ind w:left="0" w:leftChars="0" w:firstLine="0" w:firstLineChars="0"/>
      </w:pPr>
    </w:p>
    <w:p>
      <w:pPr>
        <w:pStyle w:val="4"/>
        <w:ind w:left="0" w:leftChars="0" w:firstLine="0" w:firstLineChars="0"/>
      </w:pPr>
    </w:p>
    <w:p>
      <w:pPr>
        <w:numPr>
          <w:ilvl w:val="0"/>
          <w:numId w:val="3"/>
        </w:numPr>
        <w:ind w:firstLine="723" w:firstLineChars="200"/>
        <w:rPr>
          <w:rFonts w:hint="eastAsia" w:ascii="宋体" w:hAnsi="宋体" w:eastAsia="宋体" w:cs="宋体"/>
          <w:b/>
          <w:bCs/>
          <w:kern w:val="0"/>
          <w:sz w:val="36"/>
          <w:szCs w:val="36"/>
        </w:rPr>
      </w:pPr>
    </w:p>
    <w:p>
      <w:pPr>
        <w:numPr>
          <w:ilvl w:val="0"/>
          <w:numId w:val="3"/>
        </w:numPr>
        <w:ind w:firstLine="723" w:firstLineChars="200"/>
        <w:rPr>
          <w:rFonts w:hint="eastAsia" w:ascii="宋体" w:hAnsi="宋体" w:eastAsia="宋体" w:cs="宋体"/>
          <w:b/>
          <w:bCs/>
          <w:kern w:val="0"/>
          <w:sz w:val="36"/>
          <w:szCs w:val="36"/>
        </w:rPr>
      </w:pPr>
    </w:p>
    <w:p>
      <w:pPr>
        <w:numPr>
          <w:ilvl w:val="0"/>
          <w:numId w:val="3"/>
        </w:numPr>
        <w:ind w:firstLine="723" w:firstLineChars="200"/>
        <w:rPr>
          <w:rFonts w:hint="eastAsia" w:ascii="宋体" w:hAnsi="宋体" w:eastAsia="宋体" w:cs="宋体"/>
          <w:b/>
          <w:bCs/>
          <w:kern w:val="0"/>
          <w:sz w:val="36"/>
          <w:szCs w:val="36"/>
        </w:rPr>
      </w:pPr>
    </w:p>
    <w:p>
      <w:pPr>
        <w:numPr>
          <w:ilvl w:val="0"/>
          <w:numId w:val="3"/>
        </w:numPr>
        <w:ind w:firstLine="723" w:firstLineChars="200"/>
        <w:rPr>
          <w:rFonts w:hint="eastAsia" w:ascii="宋体" w:hAnsi="宋体" w:eastAsia="宋体" w:cs="宋体"/>
          <w:b/>
          <w:bCs/>
          <w:kern w:val="0"/>
          <w:sz w:val="36"/>
          <w:szCs w:val="36"/>
        </w:rPr>
      </w:pPr>
    </w:p>
    <w:p>
      <w:pPr>
        <w:numPr>
          <w:ilvl w:val="0"/>
          <w:numId w:val="0"/>
        </w:numPr>
        <w:rPr>
          <w:rFonts w:hint="eastAsia" w:ascii="宋体" w:hAnsi="宋体" w:eastAsia="宋体" w:cs="宋体"/>
          <w:b/>
          <w:bCs/>
          <w:kern w:val="0"/>
          <w:sz w:val="36"/>
          <w:szCs w:val="36"/>
        </w:rPr>
      </w:pPr>
    </w:p>
    <w:p>
      <w:pPr>
        <w:numPr>
          <w:ilvl w:val="0"/>
          <w:numId w:val="0"/>
        </w:numPr>
        <w:ind w:firstLine="361" w:firstLineChars="100"/>
        <w:rPr>
          <w:rFonts w:hint="eastAsia" w:ascii="宋体" w:hAnsi="宋体" w:eastAsia="宋体" w:cs="宋体"/>
          <w:b/>
          <w:bCs/>
          <w:kern w:val="0"/>
          <w:sz w:val="36"/>
          <w:szCs w:val="36"/>
        </w:rPr>
      </w:pPr>
      <w:r>
        <w:rPr>
          <w:rFonts w:hint="eastAsia" w:ascii="宋体" w:hAnsi="宋体" w:eastAsia="宋体" w:cs="宋体"/>
          <w:b/>
          <w:bCs/>
          <w:kern w:val="0"/>
          <w:sz w:val="36"/>
          <w:szCs w:val="36"/>
          <w:lang w:eastAsia="zh-CN"/>
        </w:rPr>
        <w:t>八、</w:t>
      </w:r>
      <w:r>
        <w:rPr>
          <w:rFonts w:hint="eastAsia" w:ascii="宋体" w:hAnsi="宋体" w:eastAsia="宋体" w:cs="宋体"/>
          <w:b/>
          <w:bCs/>
          <w:kern w:val="0"/>
          <w:sz w:val="36"/>
          <w:szCs w:val="36"/>
        </w:rPr>
        <w:t>名词解释</w:t>
      </w:r>
    </w:p>
    <w:p>
      <w:pPr>
        <w:ind w:firstLine="560"/>
        <w:rPr>
          <w:rFonts w:ascii="仿宋" w:hAnsi="仿宋" w:eastAsia="仿宋"/>
          <w:sz w:val="32"/>
          <w:szCs w:val="32"/>
        </w:rPr>
      </w:pPr>
      <w:r>
        <w:rPr>
          <w:rFonts w:ascii="仿宋" w:hAnsi="仿宋" w:eastAsia="仿宋"/>
          <w:color w:val="000000"/>
          <w:sz w:val="32"/>
          <w:szCs w:val="32"/>
        </w:rPr>
        <w:t>1、一般公共预算拨款收入：指</w:t>
      </w:r>
      <w:r>
        <w:rPr>
          <w:rFonts w:hint="eastAsia" w:ascii="仿宋" w:hAnsi="仿宋" w:eastAsia="仿宋"/>
          <w:color w:val="000000"/>
          <w:sz w:val="32"/>
          <w:szCs w:val="32"/>
        </w:rPr>
        <w:t>本</w:t>
      </w:r>
      <w:r>
        <w:rPr>
          <w:rFonts w:ascii="仿宋" w:hAnsi="仿宋" w:eastAsia="仿宋"/>
          <w:color w:val="000000"/>
          <w:sz w:val="32"/>
          <w:szCs w:val="32"/>
        </w:rPr>
        <w:t>级财政当年拨付的资金。</w:t>
      </w:r>
    </w:p>
    <w:p>
      <w:pPr>
        <w:ind w:firstLine="560"/>
        <w:rPr>
          <w:rFonts w:ascii="仿宋" w:hAnsi="仿宋" w:eastAsia="仿宋"/>
          <w:sz w:val="32"/>
          <w:szCs w:val="32"/>
        </w:rPr>
      </w:pPr>
      <w:r>
        <w:rPr>
          <w:rFonts w:ascii="仿宋" w:hAnsi="仿宋" w:eastAsia="仿宋"/>
          <w:color w:val="000000"/>
          <w:sz w:val="32"/>
          <w:szCs w:val="32"/>
        </w:rPr>
        <w:t>2、事业收入：指事业单位开展专业业务活动及辅助活动所取得的收入。</w:t>
      </w:r>
    </w:p>
    <w:p>
      <w:pPr>
        <w:ind w:firstLine="560"/>
        <w:rPr>
          <w:rFonts w:ascii="仿宋" w:hAnsi="仿宋" w:eastAsia="仿宋"/>
          <w:sz w:val="32"/>
          <w:szCs w:val="32"/>
        </w:rPr>
      </w:pPr>
      <w:r>
        <w:rPr>
          <w:rFonts w:ascii="仿宋" w:hAnsi="仿宋" w:eastAsia="仿宋"/>
          <w:color w:val="000000"/>
          <w:sz w:val="32"/>
          <w:szCs w:val="32"/>
        </w:rPr>
        <w:t>3、其他收入：指除“一般公共预算拨款收入”、“事业收入”等以外的收入。主要是按规定动用的租房收入、存款利息收入等。</w:t>
      </w:r>
    </w:p>
    <w:p>
      <w:pPr>
        <w:ind w:firstLine="560"/>
        <w:rPr>
          <w:rFonts w:ascii="仿宋" w:hAnsi="仿宋" w:eastAsia="仿宋"/>
          <w:sz w:val="32"/>
          <w:szCs w:val="32"/>
        </w:rPr>
      </w:pPr>
      <w:r>
        <w:rPr>
          <w:rFonts w:ascii="仿宋" w:hAnsi="仿宋" w:eastAsia="仿宋"/>
          <w:color w:val="000000"/>
          <w:sz w:val="32"/>
          <w:szCs w:val="32"/>
        </w:rPr>
        <w:t>4、基本支出：指为保障机构正常运转、完成日常工作任务而发生的人员支出和公用支出。</w:t>
      </w:r>
    </w:p>
    <w:p>
      <w:pPr>
        <w:ind w:firstLine="560"/>
        <w:rPr>
          <w:rFonts w:ascii="仿宋" w:hAnsi="仿宋" w:eastAsia="仿宋"/>
          <w:sz w:val="32"/>
          <w:szCs w:val="32"/>
        </w:rPr>
      </w:pPr>
      <w:r>
        <w:rPr>
          <w:rFonts w:ascii="仿宋" w:hAnsi="仿宋" w:eastAsia="仿宋"/>
          <w:color w:val="000000"/>
          <w:sz w:val="32"/>
          <w:szCs w:val="32"/>
        </w:rPr>
        <w:t>5、项目支出：指在基本支出之外为完成特定行政任务和事业发展目标所发生的支出。</w:t>
      </w:r>
    </w:p>
    <w:p>
      <w:pPr>
        <w:ind w:firstLine="560"/>
        <w:rPr>
          <w:rFonts w:ascii="仿宋" w:hAnsi="仿宋" w:eastAsia="仿宋"/>
          <w:sz w:val="32"/>
          <w:szCs w:val="32"/>
        </w:rPr>
      </w:pPr>
      <w:r>
        <w:rPr>
          <w:rFonts w:ascii="仿宋" w:hAnsi="仿宋" w:eastAsia="仿宋"/>
          <w:color w:val="000000"/>
          <w:sz w:val="32"/>
          <w:szCs w:val="32"/>
        </w:rPr>
        <w:t>6、上缴上级支出：指下级单位上缴上级的支出。</w:t>
      </w:r>
    </w:p>
    <w:p>
      <w:pPr>
        <w:ind w:firstLine="560"/>
        <w:rPr>
          <w:rFonts w:ascii="仿宋" w:hAnsi="仿宋" w:eastAsia="仿宋"/>
          <w:sz w:val="32"/>
          <w:szCs w:val="32"/>
        </w:rPr>
      </w:pPr>
      <w:r>
        <w:rPr>
          <w:rFonts w:ascii="仿宋" w:hAnsi="仿宋" w:eastAsia="仿宋"/>
          <w:color w:val="000000"/>
          <w:sz w:val="32"/>
          <w:szCs w:val="32"/>
        </w:rPr>
        <w:t>7、“三公”经费：纳入</w:t>
      </w:r>
      <w:r>
        <w:rPr>
          <w:rFonts w:hint="eastAsia" w:ascii="仿宋" w:hAnsi="仿宋" w:eastAsia="仿宋"/>
          <w:color w:val="000000"/>
          <w:sz w:val="32"/>
          <w:szCs w:val="32"/>
        </w:rPr>
        <w:t>本</w:t>
      </w:r>
      <w:r>
        <w:rPr>
          <w:rFonts w:ascii="仿宋" w:hAnsi="仿宋" w:eastAsia="仿宋"/>
          <w:color w:val="000000"/>
          <w:sz w:val="32"/>
          <w:szCs w:val="32"/>
        </w:rPr>
        <w:t>级财政预算管理的“三公”经费，是指</w:t>
      </w:r>
      <w:r>
        <w:rPr>
          <w:rFonts w:hint="eastAsia" w:ascii="仿宋" w:hAnsi="仿宋" w:eastAsia="仿宋"/>
          <w:color w:val="000000"/>
          <w:sz w:val="32"/>
          <w:szCs w:val="32"/>
        </w:rPr>
        <w:t>县</w:t>
      </w:r>
      <w:r>
        <w:rPr>
          <w:rFonts w:ascii="仿宋" w:hAnsi="仿宋" w:eastAsia="仿宋"/>
          <w:color w:val="000000"/>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560"/>
        <w:rPr>
          <w:rFonts w:ascii="仿宋" w:hAnsi="仿宋" w:eastAsia="仿宋"/>
          <w:sz w:val="32"/>
          <w:szCs w:val="32"/>
        </w:rPr>
      </w:pPr>
      <w:r>
        <w:rPr>
          <w:rFonts w:ascii="仿宋" w:hAnsi="仿宋" w:eastAsia="仿宋"/>
          <w:color w:val="000000"/>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560"/>
        <w:rPr>
          <w:rFonts w:ascii="仿宋" w:hAnsi="仿宋" w:eastAsia="仿宋"/>
          <w:sz w:val="32"/>
          <w:szCs w:val="32"/>
        </w:rPr>
      </w:pPr>
      <w:r>
        <w:rPr>
          <w:rFonts w:ascii="仿宋" w:hAnsi="仿宋" w:eastAsia="仿宋"/>
          <w:color w:val="000000"/>
          <w:sz w:val="32"/>
          <w:szCs w:val="32"/>
        </w:rPr>
        <w:t>9、上年结转：指以前年度尚未完成、结转到本年仍按原规定用途继续使用的资金。</w:t>
      </w:r>
    </w:p>
    <w:p>
      <w:pPr>
        <w:ind w:firstLine="560"/>
        <w:rPr>
          <w:rFonts w:ascii="仿宋" w:hAnsi="仿宋" w:eastAsia="仿宋"/>
          <w:sz w:val="32"/>
          <w:szCs w:val="32"/>
        </w:rPr>
      </w:pPr>
      <w:r>
        <w:rPr>
          <w:rFonts w:ascii="仿宋" w:hAnsi="仿宋" w:eastAsia="仿宋"/>
          <w:color w:val="000000"/>
          <w:sz w:val="32"/>
          <w:szCs w:val="32"/>
        </w:rPr>
        <w:t>10、事业单位经营支出：指事业单位在专业业务活动及其辅助活动之外开展非独立核算经营活动发生的支出。</w:t>
      </w:r>
    </w:p>
    <w:p>
      <w:pPr>
        <w:spacing w:before="10" w:after="10"/>
        <w:ind w:firstLine="640"/>
        <w:outlineLvl w:val="2"/>
        <w:rPr>
          <w:rFonts w:ascii="黑体" w:hAnsi="黑体" w:eastAsia="黑体"/>
          <w:sz w:val="32"/>
          <w:szCs w:val="32"/>
        </w:rPr>
      </w:pPr>
      <w:r>
        <w:rPr>
          <w:rFonts w:ascii="黑体" w:hAnsi="黑体" w:eastAsia="黑体" w:cs="黑体"/>
          <w:color w:val="000000"/>
          <w:sz w:val="32"/>
          <w:szCs w:val="32"/>
        </w:rPr>
        <w:t>九、其他需要说明的事项</w:t>
      </w:r>
    </w:p>
    <w:p>
      <w:pPr>
        <w:ind w:firstLine="560"/>
        <w:rPr>
          <w:rFonts w:ascii="仿宋" w:hAnsi="仿宋" w:eastAsia="仿宋"/>
          <w:sz w:val="32"/>
          <w:szCs w:val="32"/>
        </w:rPr>
      </w:pPr>
      <w:r>
        <w:rPr>
          <w:rFonts w:ascii="仿宋" w:hAnsi="仿宋" w:eastAsia="仿宋"/>
          <w:color w:val="000000"/>
          <w:sz w:val="32"/>
          <w:szCs w:val="32"/>
        </w:rPr>
        <w:t>我部门无其他需要说明的事项。</w:t>
      </w:r>
    </w:p>
    <w:p>
      <w:pPr>
        <w:pStyle w:val="4"/>
        <w:ind w:left="0" w:leftChars="0" w:firstLine="0" w:firstLineChars="0"/>
      </w:pPr>
    </w:p>
    <w:p>
      <w:pPr>
        <w:rPr>
          <w:rFonts w:hint="eastAsia" w:ascii="仿宋" w:hAnsi="仿宋" w:eastAsia="仿宋" w:cs="仿宋"/>
          <w:sz w:val="32"/>
          <w:szCs w:val="32"/>
        </w:rPr>
      </w:pPr>
    </w:p>
    <w:sectPr>
      <w:pgSz w:w="16838" w:h="11906" w:orient="landscape"/>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7F65DC0"/>
    <w:multiLevelType w:val="multilevel"/>
    <w:tmpl w:val="17F65DC0"/>
    <w:lvl w:ilvl="0" w:tentative="0">
      <w:start w:val="4"/>
      <w:numFmt w:val="japaneseCounting"/>
      <w:lvlText w:val="%1、"/>
      <w:lvlJc w:val="left"/>
      <w:pPr>
        <w:ind w:left="1770" w:hanging="720"/>
      </w:pPr>
      <w:rPr>
        <w:rFonts w:hint="default" w:cs="Times New Roman"/>
      </w:rPr>
    </w:lvl>
    <w:lvl w:ilvl="1" w:tentative="0">
      <w:start w:val="1"/>
      <w:numFmt w:val="lowerLetter"/>
      <w:lvlText w:val="%2)"/>
      <w:lvlJc w:val="left"/>
      <w:pPr>
        <w:ind w:left="1560" w:hanging="420"/>
      </w:pPr>
      <w:rPr>
        <w:rFonts w:cs="Times New Roman"/>
      </w:rPr>
    </w:lvl>
    <w:lvl w:ilvl="2" w:tentative="0">
      <w:start w:val="1"/>
      <w:numFmt w:val="lowerRoman"/>
      <w:lvlText w:val="%3."/>
      <w:lvlJc w:val="right"/>
      <w:pPr>
        <w:ind w:left="1980" w:hanging="420"/>
      </w:pPr>
      <w:rPr>
        <w:rFonts w:cs="Times New Roman"/>
      </w:rPr>
    </w:lvl>
    <w:lvl w:ilvl="3" w:tentative="0">
      <w:start w:val="1"/>
      <w:numFmt w:val="decimal"/>
      <w:lvlText w:val="%4."/>
      <w:lvlJc w:val="left"/>
      <w:pPr>
        <w:ind w:left="2400" w:hanging="420"/>
      </w:pPr>
      <w:rPr>
        <w:rFonts w:cs="Times New Roman"/>
      </w:rPr>
    </w:lvl>
    <w:lvl w:ilvl="4" w:tentative="0">
      <w:start w:val="1"/>
      <w:numFmt w:val="lowerLetter"/>
      <w:lvlText w:val="%5)"/>
      <w:lvlJc w:val="left"/>
      <w:pPr>
        <w:ind w:left="2820" w:hanging="420"/>
      </w:pPr>
      <w:rPr>
        <w:rFonts w:cs="Times New Roman"/>
      </w:rPr>
    </w:lvl>
    <w:lvl w:ilvl="5" w:tentative="0">
      <w:start w:val="1"/>
      <w:numFmt w:val="lowerRoman"/>
      <w:lvlText w:val="%6."/>
      <w:lvlJc w:val="right"/>
      <w:pPr>
        <w:ind w:left="3240" w:hanging="420"/>
      </w:pPr>
      <w:rPr>
        <w:rFonts w:cs="Times New Roman"/>
      </w:rPr>
    </w:lvl>
    <w:lvl w:ilvl="6" w:tentative="0">
      <w:start w:val="1"/>
      <w:numFmt w:val="decimal"/>
      <w:lvlText w:val="%7."/>
      <w:lvlJc w:val="left"/>
      <w:pPr>
        <w:ind w:left="3660" w:hanging="420"/>
      </w:pPr>
      <w:rPr>
        <w:rFonts w:cs="Times New Roman"/>
      </w:rPr>
    </w:lvl>
    <w:lvl w:ilvl="7" w:tentative="0">
      <w:start w:val="1"/>
      <w:numFmt w:val="lowerLetter"/>
      <w:lvlText w:val="%8)"/>
      <w:lvlJc w:val="left"/>
      <w:pPr>
        <w:ind w:left="4080" w:hanging="420"/>
      </w:pPr>
      <w:rPr>
        <w:rFonts w:cs="Times New Roman"/>
      </w:rPr>
    </w:lvl>
    <w:lvl w:ilvl="8" w:tentative="0">
      <w:start w:val="1"/>
      <w:numFmt w:val="lowerRoman"/>
      <w:lvlText w:val="%9."/>
      <w:lvlJc w:val="right"/>
      <w:pPr>
        <w:ind w:left="4500" w:hanging="420"/>
      </w:pPr>
      <w:rPr>
        <w:rFonts w:cs="Times New Roman"/>
      </w:rPr>
    </w:lvl>
  </w:abstractNum>
  <w:abstractNum w:abstractNumId="1">
    <w:nsid w:val="5197D601"/>
    <w:multiLevelType w:val="singleLevel"/>
    <w:tmpl w:val="5197D601"/>
    <w:lvl w:ilvl="0" w:tentative="0">
      <w:start w:val="8"/>
      <w:numFmt w:val="chineseCounting"/>
      <w:suff w:val="nothing"/>
      <w:lvlText w:val="%1、"/>
      <w:lvlJc w:val="left"/>
      <w:rPr>
        <w:rFonts w:hint="eastAsia"/>
      </w:rPr>
    </w:lvl>
  </w:abstractNum>
  <w:abstractNum w:abstractNumId="2">
    <w:nsid w:val="59424ACC"/>
    <w:multiLevelType w:val="singleLevel"/>
    <w:tmpl w:val="59424ACC"/>
    <w:lvl w:ilvl="0" w:tentative="0">
      <w:start w:val="2"/>
      <w:numFmt w:val="chineseCounting"/>
      <w:suff w:val="nothing"/>
      <w:lvlText w:val="%1、"/>
      <w:lvlJc w:val="left"/>
      <w:pPr>
        <w:ind w:left="3"/>
      </w:pPr>
      <w:rPr>
        <w:rFonts w:cs="Times New Roman"/>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E4NWUwZWQ0ZWY4NGY5MjZkYzU3ZGI3ODMyNmNiNmIifQ=="/>
  </w:docVars>
  <w:rsids>
    <w:rsidRoot w:val="00000000"/>
    <w:rsid w:val="009D0EA3"/>
    <w:rsid w:val="0E552DBD"/>
    <w:rsid w:val="1E1C2390"/>
    <w:rsid w:val="28BB3FCB"/>
    <w:rsid w:val="39F075E3"/>
    <w:rsid w:val="3E6A0C1E"/>
    <w:rsid w:val="482C0CE6"/>
    <w:rsid w:val="4C462FAC"/>
    <w:rsid w:val="59F83D1A"/>
    <w:rsid w:val="5A7B78B8"/>
    <w:rsid w:val="6A06578F"/>
    <w:rsid w:val="6C200552"/>
    <w:rsid w:val="6DD917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w:basedOn w:val="1"/>
    <w:qFormat/>
    <w:uiPriority w:val="0"/>
    <w:pPr>
      <w:spacing w:after="120"/>
      <w:ind w:left="420" w:leftChars="2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Body Text First Indent 2"/>
    <w:basedOn w:val="2"/>
    <w:qFormat/>
    <w:uiPriority w:val="0"/>
    <w:pPr>
      <w:ind w:firstLine="420" w:firstLineChars="200"/>
    </w:pPr>
  </w:style>
  <w:style w:type="character" w:customStyle="1" w:styleId="7">
    <w:name w:val="font21"/>
    <w:basedOn w:val="6"/>
    <w:uiPriority w:val="0"/>
    <w:rPr>
      <w:rFonts w:hint="eastAsia" w:ascii="宋体" w:hAnsi="宋体" w:eastAsia="宋体" w:cs="宋体"/>
      <w:color w:val="000000"/>
      <w:sz w:val="22"/>
      <w:szCs w:val="22"/>
      <w:u w:val="none"/>
    </w:rPr>
  </w:style>
  <w:style w:type="character" w:customStyle="1" w:styleId="8">
    <w:name w:val="font31"/>
    <w:basedOn w:val="6"/>
    <w:uiPriority w:val="0"/>
    <w:rPr>
      <w:rFonts w:hint="eastAsia" w:ascii="宋体" w:hAnsi="宋体" w:eastAsia="宋体" w:cs="宋体"/>
      <w:color w:val="000000"/>
      <w:sz w:val="22"/>
      <w:szCs w:val="22"/>
      <w:u w:val="single"/>
    </w:rPr>
  </w:style>
  <w:style w:type="character" w:customStyle="1" w:styleId="9">
    <w:name w:val="font01"/>
    <w:basedOn w:val="6"/>
    <w:uiPriority w:val="0"/>
    <w:rPr>
      <w:rFonts w:hint="eastAsia" w:ascii="宋体" w:hAnsi="宋体" w:eastAsia="宋体" w:cs="宋体"/>
      <w:color w:val="000000"/>
      <w:sz w:val="22"/>
      <w:szCs w:val="22"/>
      <w:u w:val="none"/>
    </w:rPr>
  </w:style>
  <w:style w:type="character" w:customStyle="1" w:styleId="10">
    <w:name w:val="font11"/>
    <w:basedOn w:val="6"/>
    <w:uiPriority w:val="0"/>
    <w:rPr>
      <w:rFonts w:hint="eastAsia" w:ascii="宋体" w:hAnsi="宋体" w:eastAsia="宋体" w:cs="宋体"/>
      <w:color w:val="000000"/>
      <w:sz w:val="22"/>
      <w:szCs w:val="22"/>
      <w:u w:val="none"/>
    </w:rPr>
  </w:style>
  <w:style w:type="character" w:customStyle="1" w:styleId="11">
    <w:name w:val="font41"/>
    <w:basedOn w:val="6"/>
    <w:uiPriority w:val="0"/>
    <w:rPr>
      <w:rFonts w:hint="eastAsia" w:ascii="宋体" w:hAnsi="宋体" w:eastAsia="宋体" w:cs="宋体"/>
      <w:color w:val="000000"/>
      <w:sz w:val="22"/>
      <w:szCs w:val="22"/>
      <w:u w:val="single"/>
    </w:rPr>
  </w:style>
  <w:style w:type="paragraph" w:customStyle="1" w:styleId="12">
    <w:name w:val="[Normal]"/>
    <w:unhideWhenUsed/>
    <w:qFormat/>
    <w:uiPriority w:val="99"/>
    <w:pPr>
      <w:widowControl w:val="0"/>
      <w:autoSpaceDE w:val="0"/>
      <w:autoSpaceDN w:val="0"/>
      <w:adjustRightInd w:val="0"/>
      <w:spacing w:beforeLines="0" w:afterLines="0"/>
    </w:pPr>
    <w:rPr>
      <w:rFonts w:hint="eastAsia" w:ascii="宋体" w:hAnsi="宋体" w:eastAsia="宋体" w:cstheme="minorBidi"/>
      <w:sz w:val="24"/>
      <w:szCs w:val="22"/>
    </w:rPr>
  </w:style>
  <w:style w:type="paragraph" w:customStyle="1" w:styleId="1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0">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57</Pages>
  <Words>15146</Words>
  <Characters>18266</Characters>
  <Lines>0</Lines>
  <Paragraphs>0</Paragraphs>
  <TotalTime>8</TotalTime>
  <ScaleCrop>false</ScaleCrop>
  <LinksUpToDate>false</LinksUpToDate>
  <CharactersWithSpaces>18445</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2022-09-18T05:35:00Z</dcterms:created>
  <dc:creator>Administrator</dc:creator>
  <cp:lastModifiedBy>你渴望力量吗？</cp:lastModifiedBy>
  <dcterms:modified xsi:type="dcterms:W3CDTF">2024-05-24T02:23:28Z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4AB02BBDC5E34354B4C0EEE60A824BCA</vt:lpwstr>
  </property>
</Properties>
</file>