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eastAsia="方正小标宋_GBK"/>
          <w:sz w:val="52"/>
        </w:rPr>
      </w:pPr>
    </w:p>
    <w:p>
      <w:pPr>
        <w:jc w:val="center"/>
        <w:rPr>
          <w:rFonts w:ascii="Times New Roman" w:hAnsi="宋体"/>
          <w:sz w:val="52"/>
        </w:rPr>
      </w:pPr>
      <w:r>
        <w:rPr>
          <w:rFonts w:ascii="方正小标宋_GBK" w:eastAsia="方正小标宋_GBK"/>
          <w:sz w:val="52"/>
        </w:rPr>
        <w:t xml:space="preserve">  </w:t>
      </w:r>
    </w:p>
    <w:p>
      <w:pPr>
        <w:jc w:val="center"/>
        <w:rPr>
          <w:rFonts w:hint="eastAsia" w:ascii="Times New Roman" w:hAnsi="宋体" w:eastAsia="方正小标宋_GBK"/>
          <w:sz w:val="72"/>
          <w:lang w:eastAsia="zh-CN"/>
        </w:rPr>
      </w:pPr>
      <w:r>
        <w:rPr>
          <w:rFonts w:hint="eastAsia" w:ascii="方正小标宋_GBK" w:eastAsia="方正小标宋_GBK"/>
          <w:sz w:val="72"/>
        </w:rPr>
        <w:t>中共宁晋</w:t>
      </w:r>
      <w:r>
        <w:rPr>
          <w:rFonts w:hint="eastAsia" w:ascii="方正小标宋_GBK" w:eastAsia="方正小标宋_GBK"/>
          <w:sz w:val="72"/>
          <w:lang w:eastAsia="zh-CN"/>
        </w:rPr>
        <w:t>县委</w:t>
      </w:r>
      <w:bookmarkStart w:id="2" w:name="_GoBack"/>
      <w:bookmarkEnd w:id="2"/>
      <w:r>
        <w:rPr>
          <w:rFonts w:hint="eastAsia" w:ascii="方正小标宋_GBK" w:eastAsia="方正小标宋_GBK"/>
          <w:sz w:val="72"/>
          <w:lang w:eastAsia="zh-CN"/>
        </w:rPr>
        <w:t>组织部</w:t>
      </w:r>
    </w:p>
    <w:p>
      <w:pPr>
        <w:jc w:val="center"/>
        <w:rPr>
          <w:rFonts w:hint="eastAsia" w:ascii="Times New Roman" w:hAnsi="宋体"/>
          <w:sz w:val="72"/>
        </w:rPr>
      </w:pPr>
      <w:r>
        <w:rPr>
          <w:rFonts w:hint="eastAsia" w:ascii="方正小标宋_GBK" w:eastAsia="方正小标宋_GBK"/>
          <w:sz w:val="72"/>
        </w:rPr>
        <w:t>2021年部门预算</w:t>
      </w:r>
    </w:p>
    <w:p>
      <w:pPr>
        <w:jc w:val="center"/>
        <w:rPr>
          <w:rFonts w:hint="eastAsia" w:ascii="方正小标宋_GBK" w:eastAsia="方正小标宋_GBK"/>
          <w:sz w:val="52"/>
        </w:rPr>
      </w:pPr>
    </w:p>
    <w:p>
      <w:pPr>
        <w:jc w:val="center"/>
        <w:rPr>
          <w:rFonts w:hint="eastAsia" w:ascii="Times New Roman" w:hAnsi="宋体"/>
          <w:sz w:val="52"/>
        </w:rPr>
      </w:pP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宋体" w:hAnsi="宋体"/>
        </w:rPr>
      </w:pPr>
    </w:p>
    <w:p>
      <w:pPr>
        <w:jc w:val="center"/>
        <w:rPr>
          <w:rFonts w:ascii="宋体" w:hAnsi="宋体"/>
        </w:rPr>
      </w:pPr>
    </w:p>
    <w:p>
      <w:pPr>
        <w:jc w:val="center"/>
        <w:rPr>
          <w:rFonts w:ascii="宋体" w:hAnsi="宋体"/>
        </w:rPr>
      </w:pPr>
    </w:p>
    <w:p>
      <w:pPr>
        <w:jc w:val="center"/>
        <w:rPr>
          <w:rFonts w:ascii="Times New Roman" w:hAnsi="宋体"/>
        </w:rPr>
      </w:pPr>
      <w:r>
        <w:rPr>
          <w:rFonts w:ascii="宋体" w:hAnsi="宋体"/>
        </w:rPr>
        <w:t xml:space="preserve">   </w:t>
      </w:r>
    </w:p>
    <w:p>
      <w:pPr>
        <w:jc w:val="center"/>
        <w:rPr>
          <w:rFonts w:hint="eastAsia" w:ascii="Times New Roman" w:hAnsi="宋体"/>
          <w:b/>
          <w:sz w:val="32"/>
        </w:rPr>
      </w:pPr>
      <w:r>
        <w:rPr>
          <w:rFonts w:hint="eastAsia" w:ascii="方正楷体_GBK" w:eastAsia="方正楷体_GBK"/>
          <w:b/>
          <w:sz w:val="32"/>
        </w:rPr>
        <w:t>中共宁晋</w:t>
      </w:r>
      <w:r>
        <w:rPr>
          <w:rFonts w:hint="eastAsia" w:ascii="方正楷体_GBK" w:eastAsia="方正楷体_GBK"/>
          <w:b/>
          <w:sz w:val="32"/>
          <w:lang w:eastAsia="zh-CN"/>
        </w:rPr>
        <w:t>县委组织部</w:t>
      </w:r>
      <w:r>
        <w:rPr>
          <w:rFonts w:hint="eastAsia" w:ascii="方正楷体_GBK" w:eastAsia="方正楷体_GBK"/>
          <w:b/>
          <w:sz w:val="32"/>
        </w:rPr>
        <w:t>编制</w:t>
      </w:r>
    </w:p>
    <w:p>
      <w:pPr>
        <w:jc w:val="center"/>
        <w:rPr>
          <w:rFonts w:hint="eastAsia" w:ascii="方正楷体_GBK" w:eastAsia="方正楷体_GBK"/>
          <w:b/>
          <w:sz w:val="32"/>
        </w:rPr>
      </w:pPr>
      <w:r>
        <w:rPr>
          <w:rFonts w:hint="eastAsia" w:ascii="方正楷体_GBK" w:eastAsia="方正楷体_GBK"/>
          <w:b/>
          <w:sz w:val="32"/>
        </w:rPr>
        <w:t>审核</w:t>
      </w:r>
    </w:p>
    <w:p>
      <w:pPr>
        <w:rPr>
          <w:rFonts w:hint="eastAsia" w:ascii="方正楷体_GBK" w:eastAsia="方正楷体_GBK"/>
          <w:b/>
          <w:sz w:val="32"/>
        </w:rPr>
      </w:pPr>
    </w:p>
    <w:p/>
    <w:p>
      <w:pPr>
        <w:keepNext w:val="0"/>
        <w:keepLines w:val="0"/>
        <w:pageBreakBefore w:val="0"/>
        <w:widowControl w:val="0"/>
        <w:kinsoku/>
        <w:wordWrap/>
        <w:overflowPunct/>
        <w:topLinePunct w:val="0"/>
        <w:bidi w:val="0"/>
        <w:snapToGrid/>
        <w:spacing w:line="560" w:lineRule="exact"/>
        <w:jc w:val="center"/>
        <w:textAlignment w:val="auto"/>
        <w:rPr>
          <w:rFonts w:hint="eastAsia"/>
          <w:lang w:eastAsia="zh-CN"/>
        </w:rPr>
      </w:pPr>
      <w:r>
        <w:rPr>
          <w:rFonts w:hint="eastAsia" w:ascii="宋体-方正超大字符集" w:hAnsi="宋体-方正超大字符集" w:eastAsia="宋体-方正超大字符集" w:cs="宋体-方正超大字符集"/>
          <w:b/>
          <w:bCs/>
          <w:sz w:val="44"/>
          <w:szCs w:val="44"/>
          <w:lang w:eastAsia="zh-CN"/>
        </w:rPr>
        <w:t>中共宁晋县委组织部</w:t>
      </w:r>
    </w:p>
    <w:p>
      <w:pPr>
        <w:keepNext w:val="0"/>
        <w:keepLines w:val="0"/>
        <w:pageBreakBefore w:val="0"/>
        <w:widowControl w:val="0"/>
        <w:kinsoku/>
        <w:wordWrap/>
        <w:overflowPunct/>
        <w:topLinePunct w:val="0"/>
        <w:bidi w:val="0"/>
        <w:snapToGrid/>
        <w:spacing w:line="560" w:lineRule="exact"/>
        <w:jc w:val="center"/>
        <w:textAlignment w:val="auto"/>
        <w:rPr>
          <w:rFonts w:hint="eastAsia"/>
          <w:b/>
          <w:bCs/>
          <w:sz w:val="44"/>
          <w:szCs w:val="44"/>
        </w:rPr>
      </w:pPr>
      <w:r>
        <w:rPr>
          <w:rFonts w:hint="eastAsia" w:ascii="宋体-方正超大字符集" w:hAnsi="宋体-方正超大字符集" w:eastAsia="宋体-方正超大字符集" w:cs="宋体-方正超大字符集"/>
          <w:b/>
          <w:bCs/>
          <w:sz w:val="44"/>
          <w:szCs w:val="44"/>
        </w:rPr>
        <w:t>20</w:t>
      </w:r>
      <w:r>
        <w:rPr>
          <w:rFonts w:hint="eastAsia" w:ascii="宋体-方正超大字符集" w:hAnsi="宋体-方正超大字符集" w:eastAsia="宋体-方正超大字符集" w:cs="宋体-方正超大字符集"/>
          <w:b/>
          <w:bCs/>
          <w:sz w:val="44"/>
          <w:szCs w:val="44"/>
          <w:lang w:val="en-US" w:eastAsia="zh-CN"/>
        </w:rPr>
        <w:t>21</w:t>
      </w:r>
      <w:r>
        <w:rPr>
          <w:rFonts w:hint="eastAsia" w:ascii="宋体-方正超大字符集" w:hAnsi="宋体-方正超大字符集" w:eastAsia="宋体-方正超大字符集" w:cs="宋体-方正超大字符集"/>
          <w:b/>
          <w:bCs/>
          <w:sz w:val="44"/>
          <w:szCs w:val="44"/>
        </w:rPr>
        <w:t>年部门预算信息公开目录</w:t>
      </w:r>
    </w:p>
    <w:p>
      <w:pPr>
        <w:spacing w:before="0" w:after="0" w:line="360" w:lineRule="auto"/>
        <w:ind w:firstLine="0"/>
        <w:jc w:val="center"/>
        <w:outlineLvl w:val="9"/>
        <w:rPr>
          <w:rFonts w:hint="eastAsia" w:ascii="仿宋_GB2312" w:hAnsi="仿宋_GB2312" w:eastAsia="仿宋_GB2312" w:cs="仿宋_GB2312"/>
          <w:sz w:val="32"/>
          <w:szCs w:val="32"/>
        </w:rPr>
      </w:pPr>
      <w:r>
        <w:rPr>
          <w:rFonts w:ascii="方正小标宋_GBK" w:hAnsi="方正小标宋_GBK" w:eastAsia="方正小标宋_GBK" w:cs="方正小标宋_GBK"/>
          <w:color w:val="000000"/>
          <w:sz w:val="30"/>
        </w:rPr>
        <w:t>第一部分 部门预算情况</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一、20</w:t>
      </w:r>
      <w:r>
        <w:rPr>
          <w:rFonts w:hint="eastAsia" w:ascii="仿宋_GB2312" w:hAnsi="仿宋_GB2312" w:cs="仿宋_GB2312"/>
          <w:sz w:val="32"/>
          <w:szCs w:val="32"/>
          <w:lang w:val="en-US" w:eastAsia="zh-CN"/>
        </w:rPr>
        <w:t>21</w:t>
      </w:r>
      <w:r>
        <w:rPr>
          <w:rFonts w:hint="eastAsia" w:ascii="仿宋_GB2312" w:hAnsi="仿宋_GB2312" w:eastAsia="仿宋_GB2312" w:cs="仿宋_GB2312"/>
          <w:sz w:val="32"/>
          <w:szCs w:val="32"/>
        </w:rPr>
        <w:t>年部门预算公开表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部门预算收支总表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部门预算收入总表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部门预算支出总表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部门预算财政拨款收支总表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部门预算一般公共预算财政拨款支出表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部门预算一般公共预算财政拨款基本支出表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部门预算政府基金预算财政拨款支出表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部门预算国有资本经营预算财政拨款支出表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部门预算财政拨款“三公”经费支出表</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二、20</w:t>
      </w:r>
      <w:r>
        <w:rPr>
          <w:rFonts w:hint="eastAsia" w:ascii="仿宋_GB2312" w:hAnsi="仿宋_GB2312" w:cs="仿宋_GB2312"/>
          <w:sz w:val="32"/>
          <w:szCs w:val="32"/>
          <w:lang w:val="en-US" w:eastAsia="zh-CN"/>
        </w:rPr>
        <w:t>21</w:t>
      </w:r>
      <w:r>
        <w:rPr>
          <w:rFonts w:hint="eastAsia" w:ascii="仿宋_GB2312" w:hAnsi="仿宋_GB2312" w:eastAsia="仿宋_GB2312" w:cs="仿宋_GB2312"/>
          <w:sz w:val="32"/>
          <w:szCs w:val="32"/>
        </w:rPr>
        <w:t>年预算说明</w:t>
      </w:r>
    </w:p>
    <w:p>
      <w:pPr>
        <w:keepNext w:val="0"/>
        <w:keepLines w:val="0"/>
        <w:pageBreakBefore w:val="0"/>
        <w:widowControl w:val="0"/>
        <w:numPr>
          <w:ilvl w:val="0"/>
          <w:numId w:val="2"/>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部门职责及机构设置情况</w:t>
      </w:r>
    </w:p>
    <w:p>
      <w:pPr>
        <w:keepNext w:val="0"/>
        <w:keepLines w:val="0"/>
        <w:pageBreakBefore w:val="0"/>
        <w:widowControl w:val="0"/>
        <w:kinsoku/>
        <w:wordWrap/>
        <w:overflowPunct/>
        <w:topLinePunct w:val="0"/>
        <w:bidi w:val="0"/>
        <w:snapToGrid/>
        <w:spacing w:line="56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2、部门预算安排的总体情况</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3、机关运行经费安排情况</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5、绩效预算信息</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6、政府采购预算情况</w:t>
      </w:r>
    </w:p>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7、国有资产信息</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8、名词解释</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9、其他需要说明的事项</w:t>
      </w:r>
    </w:p>
    <w:p>
      <w:pPr>
        <w:spacing w:before="0" w:after="0" w:line="360" w:lineRule="auto"/>
        <w:ind w:firstLine="0"/>
        <w:jc w:val="center"/>
        <w:outlineLvl w:val="9"/>
      </w:pPr>
      <w:r>
        <w:rPr>
          <w:rFonts w:ascii="方正小标宋_GBK" w:hAnsi="方正小标宋_GBK" w:eastAsia="方正小标宋_GBK" w:cs="方正小标宋_GBK"/>
          <w:color w:val="000000"/>
          <w:sz w:val="30"/>
        </w:rPr>
        <w:t>第二部分 预算单位收支预算情况</w:t>
      </w:r>
    </w:p>
    <w:p>
      <w:pPr>
        <w:pStyle w:val="2"/>
        <w:ind w:left="0" w:leftChars="0" w:firstLine="640" w:firstLineChars="200"/>
        <w:rPr>
          <w:rFonts w:hint="eastAsia"/>
        </w:rPr>
      </w:pPr>
      <w:r>
        <w:rPr>
          <w:rFonts w:hint="default"/>
          <w:lang w:val="en-US"/>
        </w:rPr>
        <w:t>1</w:t>
      </w:r>
      <w:r>
        <w:rPr>
          <w:rFonts w:hint="eastAsia"/>
        </w:rPr>
        <w:t>、中国共产党宁晋县委员会组织部（本级）收支预算</w:t>
      </w:r>
    </w:p>
    <w:p>
      <w:pPr>
        <w:pStyle w:val="2"/>
        <w:ind w:left="0" w:leftChars="0" w:firstLine="640" w:firstLineChars="200"/>
        <w:rPr>
          <w:rFonts w:hint="eastAsia"/>
        </w:rPr>
      </w:pPr>
      <w:r>
        <w:rPr>
          <w:rFonts w:hint="default"/>
          <w:lang w:val="en-US"/>
        </w:rPr>
        <w:t>2</w:t>
      </w:r>
      <w:r>
        <w:rPr>
          <w:rFonts w:hint="eastAsia"/>
        </w:rPr>
        <w:t>、宁晋县党员服务中心收支预算</w:t>
      </w:r>
      <w:r>
        <w:rPr>
          <w:rFonts w:hint="eastAsia"/>
        </w:rPr>
        <w:tab/>
      </w: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spacing w:line="540" w:lineRule="exact"/>
        <w:jc w:val="center"/>
        <w:rPr>
          <w:rFonts w:hint="eastAsia" w:asciiTheme="majorEastAsia" w:hAnsiTheme="majorEastAsia" w:eastAsiaTheme="majorEastAsia" w:cstheme="majorEastAsia"/>
          <w:b/>
          <w:color w:val="auto"/>
          <w:sz w:val="44"/>
          <w:szCs w:val="44"/>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line="540" w:lineRule="exact"/>
        <w:jc w:val="both"/>
        <w:rPr>
          <w:rFonts w:hint="eastAsia" w:asciiTheme="majorEastAsia" w:hAnsiTheme="majorEastAsia" w:eastAsiaTheme="majorEastAsia" w:cstheme="majorEastAsia"/>
          <w:b/>
          <w:color w:val="auto"/>
          <w:sz w:val="44"/>
          <w:szCs w:val="44"/>
        </w:rPr>
      </w:pPr>
    </w:p>
    <w:p>
      <w:pPr>
        <w:spacing w:line="540" w:lineRule="exact"/>
        <w:jc w:val="center"/>
        <w:rPr>
          <w:rFonts w:asciiTheme="majorEastAsia" w:hAnsiTheme="majorEastAsia" w:eastAsiaTheme="majorEastAsia" w:cstheme="majorEastAsia"/>
          <w:b/>
          <w:color w:val="auto"/>
          <w:sz w:val="44"/>
          <w:szCs w:val="44"/>
        </w:rPr>
      </w:pPr>
      <w:r>
        <w:rPr>
          <w:rFonts w:hint="eastAsia" w:asciiTheme="majorEastAsia" w:hAnsiTheme="majorEastAsia" w:eastAsiaTheme="majorEastAsia" w:cstheme="majorEastAsia"/>
          <w:b/>
          <w:color w:val="auto"/>
          <w:sz w:val="44"/>
          <w:szCs w:val="44"/>
        </w:rPr>
        <w:t>中共宁晋县委组织部</w:t>
      </w:r>
    </w:p>
    <w:p>
      <w:pPr>
        <w:spacing w:line="540" w:lineRule="exact"/>
        <w:jc w:val="center"/>
        <w:rPr>
          <w:rFonts w:ascii="宋体" w:hAnsi="宋体"/>
          <w:b/>
          <w:color w:val="auto"/>
          <w:sz w:val="44"/>
          <w:szCs w:val="44"/>
        </w:rPr>
      </w:pPr>
      <w:r>
        <w:rPr>
          <w:rFonts w:hint="eastAsia" w:asciiTheme="majorEastAsia" w:hAnsiTheme="majorEastAsia" w:eastAsiaTheme="majorEastAsia" w:cstheme="majorEastAsia"/>
          <w:b/>
          <w:color w:val="auto"/>
          <w:sz w:val="44"/>
          <w:szCs w:val="44"/>
          <w:lang w:eastAsia="zh-CN"/>
        </w:rPr>
        <w:t>20</w:t>
      </w:r>
      <w:r>
        <w:rPr>
          <w:rFonts w:hint="eastAsia" w:asciiTheme="majorEastAsia" w:hAnsiTheme="majorEastAsia" w:eastAsiaTheme="majorEastAsia" w:cstheme="majorEastAsia"/>
          <w:b/>
          <w:color w:val="auto"/>
          <w:sz w:val="44"/>
          <w:szCs w:val="44"/>
          <w:lang w:val="en-US" w:eastAsia="zh-CN"/>
        </w:rPr>
        <w:t>21</w:t>
      </w:r>
      <w:r>
        <w:rPr>
          <w:rFonts w:hint="eastAsia" w:asciiTheme="majorEastAsia" w:hAnsiTheme="majorEastAsia" w:eastAsiaTheme="majorEastAsia" w:cstheme="majorEastAsia"/>
          <w:b/>
          <w:color w:val="auto"/>
          <w:sz w:val="44"/>
          <w:szCs w:val="44"/>
          <w:lang w:eastAsia="zh-CN"/>
        </w:rPr>
        <w:t>年</w:t>
      </w:r>
      <w:r>
        <w:rPr>
          <w:rFonts w:hint="eastAsia" w:asciiTheme="majorEastAsia" w:hAnsiTheme="majorEastAsia" w:eastAsiaTheme="majorEastAsia" w:cstheme="majorEastAsia"/>
          <w:b/>
          <w:color w:val="auto"/>
          <w:sz w:val="44"/>
          <w:szCs w:val="44"/>
        </w:rPr>
        <w:t>部门预算信息公开情况说明</w:t>
      </w:r>
    </w:p>
    <w:p>
      <w:pPr>
        <w:widowControl/>
        <w:spacing w:line="540" w:lineRule="exact"/>
        <w:jc w:val="left"/>
        <w:rPr>
          <w:color w:val="auto"/>
        </w:rPr>
      </w:pPr>
      <w:r>
        <w:rPr>
          <w:rFonts w:ascii="宋体" w:hAnsi="宋体" w:eastAsia="宋体" w:cs="宋体"/>
          <w:color w:val="auto"/>
          <w:kern w:val="0"/>
          <w:szCs w:val="32"/>
        </w:rPr>
        <w:t xml:space="preserve">    </w:t>
      </w:r>
    </w:p>
    <w:p>
      <w:pPr>
        <w:widowControl/>
        <w:spacing w:line="540" w:lineRule="exact"/>
        <w:ind w:firstLine="640"/>
        <w:jc w:val="left"/>
        <w:rPr>
          <w:rFonts w:ascii="仿宋" w:hAnsi="仿宋" w:eastAsia="仿宋" w:cs="仿宋"/>
          <w:color w:val="auto"/>
          <w:szCs w:val="32"/>
        </w:rPr>
      </w:pPr>
      <w:r>
        <w:rPr>
          <w:rFonts w:hint="eastAsia" w:ascii="仿宋" w:hAnsi="仿宋" w:eastAsia="仿宋" w:cs="仿宋"/>
          <w:color w:val="auto"/>
          <w:kern w:val="0"/>
          <w:szCs w:val="32"/>
        </w:rPr>
        <w:t>按照</w:t>
      </w:r>
      <w:r>
        <w:rPr>
          <w:rFonts w:hint="eastAsia" w:ascii="仿宋" w:hAnsi="仿宋" w:eastAsia="仿宋" w:cs="仿宋"/>
          <w:color w:val="auto"/>
          <w:kern w:val="0"/>
          <w:szCs w:val="32"/>
          <w:lang w:eastAsia="zh-CN"/>
        </w:rPr>
        <w:t>《中华人民共和国预算法》</w:t>
      </w:r>
      <w:r>
        <w:rPr>
          <w:rFonts w:hint="eastAsia" w:ascii="仿宋" w:hAnsi="仿宋" w:eastAsia="仿宋" w:cs="仿宋"/>
          <w:color w:val="auto"/>
          <w:kern w:val="0"/>
          <w:szCs w:val="32"/>
        </w:rPr>
        <w:t>、《地方预决算公开操作规程》和《河北省省级预算公开办法》规定，现将中共宁晋县委组织部</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部门预算公开如下：</w:t>
      </w:r>
    </w:p>
    <w:p>
      <w:pPr>
        <w:widowControl/>
        <w:spacing w:line="540" w:lineRule="exact"/>
        <w:ind w:firstLine="640"/>
        <w:jc w:val="left"/>
        <w:rPr>
          <w:rFonts w:hint="eastAsia" w:ascii="宋体" w:hAnsi="宋体" w:eastAsia="宋体" w:cs="宋体"/>
          <w:b/>
          <w:color w:val="auto"/>
          <w:kern w:val="0"/>
          <w:szCs w:val="32"/>
        </w:rPr>
      </w:pPr>
      <w:r>
        <w:rPr>
          <w:rFonts w:hint="eastAsia" w:ascii="宋体" w:hAnsi="宋体" w:eastAsia="宋体" w:cs="宋体"/>
          <w:b/>
          <w:color w:val="auto"/>
          <w:kern w:val="0"/>
          <w:szCs w:val="32"/>
        </w:rPr>
        <w:t>一、部门职责、机构设置等基本情况</w:t>
      </w:r>
    </w:p>
    <w:p>
      <w:pPr>
        <w:widowControl/>
        <w:spacing w:line="540" w:lineRule="exact"/>
        <w:ind w:firstLine="640"/>
        <w:jc w:val="left"/>
        <w:rPr>
          <w:rFonts w:hint="eastAsia" w:ascii="楷体" w:hAnsi="楷体" w:eastAsia="楷体" w:cs="楷体"/>
          <w:b/>
          <w:bCs/>
          <w:color w:val="auto"/>
          <w:kern w:val="0"/>
          <w:szCs w:val="32"/>
        </w:rPr>
      </w:pPr>
      <w:r>
        <w:rPr>
          <w:rFonts w:hint="eastAsia" w:ascii="楷体" w:hAnsi="楷体" w:eastAsia="楷体" w:cs="楷体"/>
          <w:b/>
          <w:bCs/>
          <w:color w:val="auto"/>
          <w:kern w:val="0"/>
          <w:szCs w:val="32"/>
        </w:rPr>
        <w:t>部门职责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县委组织部的主要职责是：</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围绕党的重大理论和实践问题调查研究，提出加强全县党的建设的建议，负责党的建设制度改革的宏观指导，综合研究党的组织工作、干部工作、人才工作重要方针政策，制定或参与制定全县性重要政策和制度。</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脱贫攻坚工作的谋划指导和组织推动；承担县委非公有制经济组织和社会组织工作委员会职责。</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负责各级领导班子和干部队伍建设的宏观管理。研究提出领导班子和领导干部队伍建设规划以及干部管理体制的建议，指导领导班子思想作风建设；负责事业单位领导人员宏观管理；负责提出乡镇（区、街道）、县直各部门以及其他列入县委管理的领导班子调整、配备的建议；负责县委管理干部的考察，办理职务任免、工资、待遇、退休审批手续；综合管理优秀年轻干部队伍，统筹选育管用工作，指导协调妇女干部、少数民族干部和党外干部培养选拔工作；负责对口支援西藏、新疆干部人才的选派管理及有关工作；负责</w:t>
      </w:r>
      <w:r>
        <w:rPr>
          <w:rFonts w:hint="eastAsia" w:ascii="仿宋_GB2312" w:hAnsi="仿宋_GB2312" w:eastAsia="仿宋_GB2312" w:cs="仿宋_GB2312"/>
          <w:sz w:val="32"/>
          <w:szCs w:val="32"/>
          <w:lang w:val="en-US" w:eastAsia="zh-CN"/>
        </w:rPr>
        <w:t>军队转业干部安置工作；负责乡镇（区、街道）、县直部门股级干部的备案工作；负责全县选调生、大学生村官的选拔、管理、培养和宏观指导；负责干部档案工作的宏观指导。</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（四）负责全县干部教育培训的宏观管理、统筹协调、指导检查；研究拟订全县干部教育工作规划，起草有关政策文件；组织实施县委管理干部和一定层次其他干部的培训</w:t>
      </w:r>
      <w:r>
        <w:rPr>
          <w:rFonts w:hint="eastAsia" w:ascii="仿宋_GB2312" w:hAnsi="仿宋_GB2312" w:eastAsia="仿宋_GB2312" w:cs="仿宋_GB2312"/>
          <w:color w:val="auto"/>
          <w:sz w:val="32"/>
          <w:szCs w:val="32"/>
          <w:lang w:val="en-US" w:eastAsia="zh-CN"/>
        </w:rPr>
        <w:t>；承担县委党员干部教育工作领导小组办公室职责。负责组织部门</w:t>
      </w:r>
      <w:r>
        <w:rPr>
          <w:rFonts w:hint="eastAsia" w:ascii="仿宋_GB2312" w:hAnsi="仿宋_GB2312" w:eastAsia="仿宋_GB2312" w:cs="仿宋_GB2312"/>
          <w:sz w:val="32"/>
          <w:szCs w:val="32"/>
          <w:lang w:val="en-US" w:eastAsia="zh-CN"/>
        </w:rPr>
        <w:t>干部监督工作的综合协调和宏观指导；组织开展选人用人工作和执行干部监督制度规定情况的监督检查，处置反映违反干部选拔任用工作政策法规选人用人问题及领导干部相关问题的举报。负责全县干部考核工作的宏观指导和督导检查，组织实施对县委管理领导班子和领导干部的考核工作；指导全县机关目标绩效管理，组织实施县级机关职能绩效目标考核；承担县委干部考核领导小组办公室职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研究拟订公务员、参照公务员法管理事业单位工作人员管理政策规定并组织实施。负责公务员、参照公务员法管理事业单位工作人员录用调配、考核奖惩、培训和工资福利等工作；指导全县公务员、参照公务员法管理事业单位工作人员队伍建设。</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六）负责全县人才工作和人才队伍建设的牵头抓总、统筹协调、推进落实。负责牵头人才政策规定和规划的制定、实施，推进人才发展体制机制的改革；负责县高端人才、县管优秀专家等高层次人才的联系服务工作；负责县管优秀专家的选拔管理；负责落实京津冀人才一体化发展</w:t>
      </w:r>
      <w:r>
        <w:rPr>
          <w:rFonts w:hint="eastAsia" w:ascii="仿宋_GB2312" w:hAnsi="仿宋_GB2312" w:eastAsia="仿宋_GB2312" w:cs="仿宋_GB2312"/>
          <w:sz w:val="32"/>
          <w:szCs w:val="32"/>
          <w:lang w:val="en-US" w:eastAsia="zh-CN"/>
        </w:rPr>
        <w:t>的决策部署；承担县委人才工作领导小组办公室职责。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全面贯彻加强党对离退休干部工作集中统一领导要求。负责宣传贯彻落实党中央国务院、省委省政府、市委市政府、县委县政府关于离退休干部工作的方针政策；拟定或参与拟订全县离退休干部工作有关具体规定和办法；总结宣传全县离退休干部工作和先进典型。负责指导、督促、检查各级各部门离退休干部工作；组织和协调有关部门做好离退休干部工作。加强对全县离退休干部的政治引领和教育管理。组织拟订和研究制定加强新形势下离退休干部党组织建设、做好离退休干部思想政治工作的制度办法和措施；指导和加强对离退休干部党组织书记的教育培训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指导全县老干部活动中心、老年大学（学校）和老干部门诊部等学习活动阵地的建设与管理，指导全县老干部休养所创新发展。指导各级各单位组织离退休干部利用自身优势，在政治、经济、文化和青少年教育等各领域发挥作用，增添正能量。了解离退休干部对医疗保健方面的意见和要求。组织指导离退休干部开展健康科学的文化健身、保健讲座、健康疗养、参观学习等活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十）负责离退休干部的安置工作（包括易地安置）。负责进出县离退休干部易地安置相关工作，协助上级部门办理补发离休荣誉证，协助县政府办理离退休干部优待（先）证。负责回宁老干部探亲访友和外地老干部工作部门到宁的联络接待工作。会同有关部门拟定治丧办法。指导逝世老干部的善后工作，协助承办县委交办的丧葬事宜。承担县老干部工作领导小组的日常工作。承担县委离退休干部工作委员会工作；承担县关心下一代工作委员会工作。</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（十一）负责全县组织工作的检查督促，及时向县委反映重要情况，提出建议。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（十二）统一管理县委机构编制委员会办公室。</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（十三）完成县委交办的其他任务。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县委组织部设下列内设机构：</w:t>
      </w:r>
    </w:p>
    <w:p>
      <w:pPr>
        <w:keepNext w:val="0"/>
        <w:keepLines w:val="0"/>
        <w:pageBreakBefore w:val="0"/>
        <w:widowControl w:val="0"/>
        <w:kinsoku/>
        <w:wordWrap/>
        <w:overflowPunct/>
        <w:topLinePunct w:val="0"/>
        <w:autoSpaceDE/>
        <w:autoSpaceDN/>
        <w:bidi w:val="0"/>
        <w:adjustRightInd/>
        <w:snapToGrid/>
        <w:spacing w:line="600" w:lineRule="exact"/>
        <w:ind w:firstLine="628"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办公室（研究室、政策法规股）。负责部内工作的综合协调、重要事项的督查督办、部务会服务工作；负责机要运转、文电处理、印信管理、机关保密工作；负责文字综合、文件审核、文书档案工作；负责上报信息，信息化建设的统筹规划和组织推进；负责接待受理党员、干部和群众来信来访，协调办理人大代表建议、政协委员提案；负责机关财务及固定资产管理；负责会议接待、公务用车、办公用房、安全保卫、环境卫生、机关值班、职工福利等行政后勤工作。负责党的组织工作、干部工作、人才工作、公务员工作重要方针政策的综合研究，规划、协调、审核县本级有关政策文件的制定、修订和废止；负责党的建设制度改革的宏观指导，承办县党建制度改革专项小组办公室日常工作；负责全县组织工作综合性会议主要文件、领导交办文稿的起草，对涉及全县组织工作的重要文件、重点文稿研究提出起草和修改建议；负责制定组织工作年度要点和重要规划，谋划、协调、指导全县组织工作重点课题调研；主办部刊《宁晋组工》；</w:t>
      </w:r>
      <w:r>
        <w:rPr>
          <w:rFonts w:hint="eastAsia" w:ascii="Times New Roman" w:hAnsi="Times New Roman" w:eastAsia="仿宋_GB2312"/>
          <w:sz w:val="32"/>
          <w:szCs w:val="32"/>
        </w:rPr>
        <w:t>负责围绕党的重大理论和实际问题进行调查研究，提出加强全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党的建设的建议；承担</w:t>
      </w:r>
      <w:r>
        <w:rPr>
          <w:rFonts w:hint="eastAsia" w:ascii="Times New Roman" w:hAnsi="Times New Roman" w:eastAsia="仿宋_GB2312"/>
          <w:sz w:val="32"/>
          <w:szCs w:val="32"/>
          <w:lang w:eastAsia="zh-CN"/>
        </w:rPr>
        <w:t>市</w:t>
      </w:r>
      <w:r>
        <w:rPr>
          <w:rFonts w:hint="eastAsia" w:ascii="Times New Roman" w:hAnsi="Times New Roman" w:eastAsia="仿宋_GB2312"/>
          <w:sz w:val="32"/>
          <w:szCs w:val="32"/>
        </w:rPr>
        <w:t>委组织部下达的课题任务；收集整理和反映全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党建研究动态的有关情况和有关资料；</w:t>
      </w:r>
      <w:r>
        <w:rPr>
          <w:rFonts w:hint="eastAsia" w:ascii="仿宋_GB2312" w:hAnsi="仿宋_GB2312" w:eastAsia="仿宋_GB2312" w:cs="仿宋_GB2312"/>
          <w:sz w:val="32"/>
          <w:szCs w:val="32"/>
          <w:lang w:val="en-US" w:eastAsia="zh-CN"/>
        </w:rPr>
        <w:t>负责编纂《中共宁晋县组织史资料》。负责部机关和所属单位党的建设、精神文明建设和思想政治工作；负责机关股级干部队伍建设、党员干部队伍建设、机构编制工作和人事业务管理；负责机关纪检监察、党风廉政建设工作；负责机关工、青、妇等群众组织的组织领导工作。</w:t>
      </w:r>
      <w:r>
        <w:rPr>
          <w:rFonts w:hint="eastAsia" w:ascii="仿宋_GB2312" w:hAnsi="仿宋_GB2312" w:eastAsia="仿宋_GB2312" w:cs="仿宋_GB2312"/>
          <w:sz w:val="32"/>
          <w:szCs w:val="32"/>
          <w:lang w:val="en-US" w:eastAsia="zh-CN"/>
        </w:rPr>
        <w:br w:type="textWrapping"/>
      </w:r>
      <w:r>
        <w:rPr>
          <w:rFonts w:hint="eastAsia" w:ascii="仿宋_GB2312" w:hAnsi="仿宋_GB2312" w:eastAsia="仿宋_GB2312" w:cs="仿宋_GB2312"/>
          <w:sz w:val="32"/>
          <w:szCs w:val="32"/>
          <w:lang w:val="en-US" w:eastAsia="zh-CN"/>
        </w:rPr>
        <w:t xml:space="preserve">    （二）组织指导股（组织员办公室）。负责全县党员队伍建设和党的组织制度、党内生活制度建设的宏观指导，研究提出全县党员发展、教育、管理，以及全县各级领导班子民主集中制建设和民主生活会的指导意见；负责全县党内激励、关怀、帮扶工作指导；负责县级优秀共产党员的评选表彰工作；负责全县各级组织员选拔、配备、日常管理和教育培训工作指导；负责全县党内统计和党费管理工作指导，提出党员管理信息化、县管党费管理使用建议；负责全县乡以上党和国家机关党组织设置的研究指导，对县属企事业单位党组织设置和隶属关系的确定、转移事项提出建议；负责县党代表大会、党代表会议、人民代表大会、政治协商会议和乡（镇）党代表大会、人民代表大会及县属企事业单位党代表大会选举工作的组织指导，对全国和省、市、县人大代表、中共政协委员补选、罢免等提出建议；负责组织、联络、协调党代表活动，做好代表的日常管理和服务工作；承办闭会期间代表资格管理的具体工作；指导全县做好代表任期制的相关工作。</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lang w:val="en-US" w:eastAsia="zh-CN"/>
        </w:rPr>
        <w:t>（三）基层组织股。统筹全县基层党的建设。负责全县农村、国有企业、机关、事业单位、街道、社区等基层党组织建设的宏观指导，研究提出加强上述领域党建工作的意见建议，起草有关政策文件；负责全县大学生村官工作的研究指导，以及大学生村官的选聘、教育、管理和使用工作；负责县级先进基层党组织和优秀党务工作者的评选表彰，以及全县基层党建工作先进典型的培树、宣传工作；负责扶贫脱贫驻村帮扶和帮扶责任人结对帮扶工作。</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lang w:val="en-US" w:eastAsia="zh-CN"/>
        </w:rPr>
        <w:t>（四）非公有制经济组织和社会组织党建股。负责县委非公有制经济组织和社会组织工委日常工作；研究制定全县非公有制经济组织和社会组织党建工作规划；负责非公有制经济组织和社会组织党建工作的指导、督促、检查；负责非公有制经济组织和社会组织党组织书记、党务工作者、党员队伍建设指导。</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lang w:val="en-US" w:eastAsia="zh-CN"/>
        </w:rPr>
        <w:t>（五）干部股。负责领导班子和干部队伍建设宏观管理；负责起草县委管理干部职务名称表和具体执行意见；负责县委协助市委管理干部和县委管理干部职务任免的呈报、审批以及备案等工作；会同有关部门承办县政府提请县人大常委会任免议案和提请县政府任免人员的行政任免有关手续；研究制定领导干部兼职、退（离）休和提高待遇等政策，并抓好相关事项办理；负责军转干部安置、挂职干部和对口援助干部人才选派管理；负责制定全县公务员录用计划，负责全县公务员公开遴选、公开选调的调任、调配工作；负责全县公务员及参照公务员法管理事业单位人员调配；负责事业单位领导人员宏观管理和党群系统事业单位人事管理；拟定加强新时代优秀年轻干部队伍建设有关政策规定，统筹做好选育管用工作；负责选调生工作政策研究和选调生队伍培养管理；统筹妇女干部、少数民族干部和党外干部战略性培养选拔工作；负责县委管理干部的考察工作，提出职务任免、交流、待遇、退休等方面的建议，提出乡科级领导班子换届、调整配备建议并参与履职情况的综合考核评价；负责县直党组（党委）成员的审批备案工作；负责乡镇区、县直党政机关和事业单位股级干部备案审核工作；负责对县直政法部门单独职务序列有关职务任免提出建议及审核备案；负责县管干部警衔首次授予和晋升审核工作；了解掌握县委管理乡科级领导班子民主生活会和思想作风情况，并提出工作建议；负责县委委员，县人大常委会、专门委员会组成人员，县政协常委的届中增补工作；配合市有关部门、企业做好县委协管干部的相关工作；会同有关方面，研究提出加强县属国有企业党的建设和领导班子、企业经营管理者队伍建设宏观管理的意见和建议；负责受理反映县委管理乡科级领导班子和干部问题的来信来访。</w:t>
      </w:r>
    </w:p>
    <w:p>
      <w:pPr>
        <w:keepNext w:val="0"/>
        <w:keepLines w:val="0"/>
        <w:pageBreakBefore w:val="0"/>
        <w:widowControl w:val="0"/>
        <w:kinsoku/>
        <w:wordWrap/>
        <w:overflowPunct/>
        <w:topLinePunct w:val="0"/>
        <w:autoSpaceDE/>
        <w:autoSpaceDN/>
        <w:bidi w:val="0"/>
        <w:adjustRightInd/>
        <w:snapToGrid/>
        <w:spacing w:line="600" w:lineRule="exact"/>
        <w:ind w:firstLine="628"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公务员管理指导股。负责指导全县公务员队伍建设。拟订公务员管理地方性政策规定草案并组织实施；督查公务员法律、政策法规贯彻执行情况；承担公务员职位分类、职务与职级并行等工作；负责全县公务员及参照公务员法管理事业单位主任科员及以下职务人员任职备案工作；拟订事业单位、人民团体、群众团体机关工作人员参照公务员法管理办法并组织实施；负责聘任制公务员管理工作；负责全县领导班子和干部队伍、公务员队伍等的统计调查、汇总、上报、分析和资料汇编；负责全县一般干部考核工作；承担以县公务员局名义开展的行政复议和行政应诉有关工作。</w:t>
      </w:r>
      <w:r>
        <w:rPr>
          <w:rFonts w:hint="eastAsia" w:ascii="Times New Roman" w:hAnsi="Times New Roman" w:eastAsia="仿宋_GB2312"/>
          <w:sz w:val="32"/>
          <w:szCs w:val="32"/>
        </w:rPr>
        <w:t>组织、指导和监督全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公务员和参照公务员法管理事业单位工作人员的考试录用、登记工作；完善考试录用质量评价体系；负责全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公务员公开遴选、公开选调、调任等政策研究和宏观指导</w:t>
      </w:r>
      <w:r>
        <w:rPr>
          <w:rFonts w:hint="eastAsia" w:ascii="Times New Roman" w:hAnsi="Times New Roman" w:eastAsia="仿宋_GB2312"/>
          <w:sz w:val="32"/>
          <w:szCs w:val="32"/>
          <w:lang w:eastAsia="zh-CN"/>
        </w:rPr>
        <w:t>，并配合有关科室做好相关工作</w:t>
      </w:r>
      <w:r>
        <w:rPr>
          <w:rFonts w:hint="eastAsia" w:ascii="Times New Roman" w:hAnsi="Times New Roman" w:eastAsia="仿宋_GB2312"/>
          <w:sz w:val="32"/>
          <w:szCs w:val="32"/>
        </w:rPr>
        <w:t>；负责全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公务员面试考官的资格认定和管理培训工作；指导公务员考试录用信息系统建设。拟订全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公务员考核奖惩、申诉等政策</w:t>
      </w:r>
      <w:r>
        <w:rPr>
          <w:rFonts w:hint="eastAsia" w:ascii="Times New Roman" w:hAnsi="Times New Roman" w:eastAsia="仿宋_GB2312"/>
          <w:sz w:val="32"/>
          <w:szCs w:val="32"/>
          <w:lang w:eastAsia="zh-CN"/>
        </w:rPr>
        <w:t>规定</w:t>
      </w:r>
      <w:r>
        <w:rPr>
          <w:rFonts w:hint="eastAsia" w:ascii="Times New Roman" w:hAnsi="Times New Roman" w:eastAsia="仿宋_GB2312"/>
          <w:sz w:val="32"/>
          <w:szCs w:val="32"/>
        </w:rPr>
        <w:t>并组织实施；拟订全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公务员行为规范、职业道德建设和能力建设政策</w:t>
      </w:r>
      <w:r>
        <w:rPr>
          <w:rFonts w:hint="eastAsia" w:ascii="Times New Roman" w:hAnsi="Times New Roman"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（七）公务员工资福利股。负责统筹全县机关事业单位工资、津贴补贴和福利政策，</w:t>
      </w:r>
      <w:r>
        <w:rPr>
          <w:rFonts w:hint="eastAsia" w:ascii="Times New Roman" w:hAnsi="Times New Roman" w:eastAsia="仿宋_GB2312"/>
          <w:sz w:val="32"/>
          <w:szCs w:val="32"/>
        </w:rPr>
        <w:t>拟订全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公务员工资、津贴补贴和福利政策并组织实施</w:t>
      </w:r>
      <w:r>
        <w:rPr>
          <w:rFonts w:hint="eastAsia" w:ascii="Times New Roman" w:hAnsi="Times New Roman" w:eastAsia="仿宋_GB2312"/>
          <w:sz w:val="32"/>
          <w:szCs w:val="32"/>
          <w:lang w:eastAsia="zh-CN"/>
        </w:rPr>
        <w:t>；</w:t>
      </w:r>
      <w:r>
        <w:rPr>
          <w:rFonts w:hint="eastAsia" w:ascii="仿宋_GB2312" w:hAnsi="仿宋_GB2312" w:eastAsia="仿宋_GB2312" w:cs="仿宋_GB2312"/>
          <w:sz w:val="32"/>
          <w:szCs w:val="32"/>
          <w:lang w:val="en-US" w:eastAsia="zh-CN"/>
        </w:rPr>
        <w:t>负责县委管理干部、全县公务员和参照公务员法管理事业单位人员工资、津贴补贴标准审核和统发工作；负责全县公务员、参照公务员法管理事业单位人员工资基金手册办理，以及工龄计算、工龄年限认定等工作；受委托负责中央、省、市驻宁单位公务员工资审核、工作年限认定等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人才工作股。履行全县人才工作和人才队伍建设牵头抓总的职能，指导、协调、督促各乡镇各单位人才工作；统筹抓好重要人才政策法规和规划的落实、人才发展体制机制改革深化推进等；负责牵头实施完善县高层次人才项目；负责落实京津冀人才一体化的决策部署；负责县管优秀专家队伍建设、全县人才工作业务培训、地方人才工作年度专项考核，以及向市委人才工作领导小组办公室推荐报送高层次人才人选；</w:t>
      </w:r>
      <w:r>
        <w:rPr>
          <w:rFonts w:hint="eastAsia" w:ascii="Times New Roman" w:hAnsi="Times New Roman" w:eastAsia="仿宋_GB2312" w:cs="仿宋_GB2312"/>
          <w:sz w:val="32"/>
          <w:szCs w:val="32"/>
        </w:rPr>
        <w:t>负责为</w:t>
      </w:r>
      <w:r>
        <w:rPr>
          <w:rFonts w:hint="eastAsia" w:ascii="Times New Roman" w:hAnsi="Times New Roman" w:eastAsia="仿宋_GB2312" w:cs="仿宋_GB2312"/>
          <w:sz w:val="32"/>
          <w:szCs w:val="32"/>
          <w:lang w:eastAsia="zh-CN"/>
        </w:rPr>
        <w:t>县</w:t>
      </w:r>
      <w:r>
        <w:rPr>
          <w:rFonts w:hint="eastAsia" w:ascii="Times New Roman" w:hAnsi="Times New Roman" w:eastAsia="仿宋_GB2312" w:cs="仿宋_GB2312"/>
          <w:sz w:val="32"/>
          <w:szCs w:val="32"/>
        </w:rPr>
        <w:t>委直接选拔的各类专家及相关高层次人才提供各方面精准服务；负责</w:t>
      </w:r>
      <w:r>
        <w:rPr>
          <w:rFonts w:hint="eastAsia" w:ascii="Times New Roman" w:hAnsi="Times New Roman" w:eastAsia="仿宋_GB2312" w:cs="仿宋_GB2312"/>
          <w:sz w:val="32"/>
          <w:szCs w:val="32"/>
          <w:lang w:eastAsia="zh-CN"/>
        </w:rPr>
        <w:t>县</w:t>
      </w:r>
      <w:r>
        <w:rPr>
          <w:rFonts w:hint="eastAsia" w:ascii="Times New Roman" w:hAnsi="Times New Roman" w:eastAsia="仿宋_GB2312" w:cs="仿宋_GB2312"/>
          <w:sz w:val="32"/>
          <w:szCs w:val="32"/>
        </w:rPr>
        <w:t>委领导同志直接联系服务专家制度、燕赵英才服务卡制度推进服务保障；负责组织相关专家国情研修、咨询服务、休假体检、各类培训，发放相关专家津贴补贴及奖励；负责高层次人才信息库建设与维护；参与人才宣传、人才专项经费年度预算编制、人力资源统计等工作；统筹各类人才服务社会组织等人才服务平台整体建设和作用发挥；</w:t>
      </w:r>
      <w:r>
        <w:rPr>
          <w:rFonts w:hint="eastAsia" w:ascii="仿宋_GB2312" w:hAnsi="仿宋_GB2312" w:eastAsia="仿宋_GB2312" w:cs="仿宋_GB2312"/>
          <w:sz w:val="32"/>
          <w:szCs w:val="32"/>
          <w:lang w:val="en-US" w:eastAsia="zh-CN"/>
        </w:rPr>
        <w:t>负责县委人才工作领导小组办公室日常工作等。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（九）干部教育股。负责全县干部育培训的宏观管理、统筹协调、指导检查，研究拟定全县干部教育培训规划和政策；负责县委管理干部、部分优秀年轻干部、组工干部以及其他干部教育培训的组织实施；</w:t>
      </w:r>
      <w:r>
        <w:rPr>
          <w:rFonts w:hint="eastAsia" w:ascii="Times New Roman" w:hAnsi="Times New Roman" w:eastAsia="仿宋_GB2312"/>
          <w:sz w:val="32"/>
          <w:szCs w:val="32"/>
        </w:rPr>
        <w:t>负责全</w:t>
      </w:r>
      <w:r>
        <w:rPr>
          <w:rFonts w:hint="eastAsia" w:ascii="Times New Roman" w:hAnsi="Times New Roman" w:eastAsia="仿宋_GB2312"/>
          <w:sz w:val="32"/>
          <w:szCs w:val="32"/>
          <w:lang w:eastAsia="zh-CN"/>
        </w:rPr>
        <w:t>县</w:t>
      </w:r>
      <w:r>
        <w:rPr>
          <w:rFonts w:hint="eastAsia" w:ascii="Times New Roman" w:hAnsi="Times New Roman" w:eastAsia="仿宋_GB2312"/>
          <w:sz w:val="32"/>
          <w:szCs w:val="32"/>
        </w:rPr>
        <w:t>公务员培训工作的组织实施；</w:t>
      </w:r>
      <w:r>
        <w:rPr>
          <w:rFonts w:hint="eastAsia" w:ascii="仿宋_GB2312" w:hAnsi="仿宋_GB2312" w:eastAsia="仿宋_GB2312" w:cs="仿宋_GB2312"/>
          <w:sz w:val="32"/>
          <w:szCs w:val="32"/>
          <w:lang w:val="en-US" w:eastAsia="zh-CN"/>
        </w:rPr>
        <w:t>负责全县企业经营管理人员和专业技术人员教育培训的组织协调；负责按照市委组织部干部教育培训计划和安排调训学员；配合协调河北干部网络学院有关工作，指导全县干部网络培训工作；负责指导全县干部教育培训基地、师资队伍建设和教材编写等工作；负责全县干部教育培训理论研究的组织指导；负责县委党员干部教育工作领导小组办公室日常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（十）干部监督股。负责</w:t>
      </w:r>
      <w:r>
        <w:rPr>
          <w:rFonts w:hint="eastAsia" w:ascii="仿宋_GB2312" w:hAnsi="仿宋_GB2312" w:eastAsia="仿宋_GB2312" w:cs="仿宋_GB2312"/>
          <w:color w:val="auto"/>
          <w:sz w:val="32"/>
          <w:szCs w:val="32"/>
          <w:lang w:val="en-US" w:eastAsia="zh-CN"/>
        </w:rPr>
        <w:t>组织部门干部</w:t>
      </w:r>
      <w:r>
        <w:rPr>
          <w:rFonts w:hint="eastAsia" w:ascii="仿宋_GB2312" w:hAnsi="仿宋_GB2312" w:eastAsia="仿宋_GB2312" w:cs="仿宋_GB2312"/>
          <w:sz w:val="32"/>
          <w:szCs w:val="32"/>
          <w:lang w:val="en-US" w:eastAsia="zh-CN"/>
        </w:rPr>
        <w:t>监督工作的综合协调和宏观指导；组织开展选人用人工作和执行干部监督制度规定情况的监督检查；负责督办或直接办理严重违反干部选拔任用工作规定和组织人事纪律的案件，办理市委组织部转交和部领导批办的反映领导干部重要问题的案件；负责县委管理干部的提醒、函询和诫勉的综合协调工作；配合做好领导干部报告个人有关事项填报工作；会同有关科室提出县委管理干部经济责任审计计划建议；负责县委管理干部任前征求纪检监察机关意见；负责配偶已移居国（境）外的国家工作人员任职岗位管理工作；负责审理县委管理干部和部分老同志的党籍、党龄、参加革命工作时间以及其他历史遗留问题；承办县委管理干部出国（境）和赴台的备案和审批工作；负责公务员监督；负责县委巡察和专项检查发现涉及选人用人问题的督促整改及与县委巡察工作领导小组办公室的日常联络工作；</w:t>
      </w:r>
      <w:r>
        <w:rPr>
          <w:rFonts w:hint="eastAsia" w:ascii="Times New Roman" w:hAnsi="Times New Roman" w:eastAsia="仿宋_GB2312"/>
          <w:sz w:val="32"/>
          <w:szCs w:val="32"/>
        </w:rPr>
        <w:t>负责受理反映违反干部选拔任用工作政策法规选人用人问题，以及领导干部相关问题的举报；</w:t>
      </w:r>
      <w:r>
        <w:rPr>
          <w:rFonts w:hint="eastAsia" w:ascii="Times New Roman" w:hAnsi="Times New Roman" w:eastAsia="仿宋_GB2312" w:cs="仿宋_GB2312"/>
          <w:sz w:val="32"/>
          <w:szCs w:val="32"/>
        </w:rPr>
        <w:t>负责对信访举报、网上举报和</w:t>
      </w:r>
      <w:r>
        <w:rPr>
          <w:rFonts w:hint="eastAsia" w:ascii="仿宋_GB2312" w:hAnsi="仿宋_GB2312" w:eastAsia="仿宋_GB2312" w:cs="仿宋_GB2312"/>
          <w:sz w:val="32"/>
          <w:szCs w:val="32"/>
        </w:rPr>
        <w:t>“12380”</w:t>
      </w:r>
      <w:r>
        <w:rPr>
          <w:rFonts w:hint="eastAsia" w:ascii="Times New Roman" w:hAnsi="Times New Roman" w:eastAsia="仿宋_GB2312" w:cs="仿宋_GB2312"/>
          <w:sz w:val="32"/>
          <w:szCs w:val="32"/>
        </w:rPr>
        <w:t>举报电话受理情况进行统计、分析</w:t>
      </w:r>
      <w:r>
        <w:rPr>
          <w:rFonts w:hint="eastAsia" w:ascii="Times New Roman" w:hAnsi="Times New Roman"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干部考核股。负责研究提出贯彻落实中央和省市县委关于干部考核工作方针、政策的具体要求和措施；负责改革完善干部考核评价制度，拟定干部综合考核评价标准、指标体系、政策办法和制度规定；牵头负责县委管理领导班子和领导干部的年度综合考核和日常考核工作的组织实施；负责全县干部考核工作的综合统筹、宏观指导和督促检查，对存在问题提出意见和建议；负责县直部门各类专项业务工作考核的统筹协调和审核备案工作；参与县委管理领导班子和领导干部综合分析研判工作；负责组织指导全县机关目标绩效管理日常工作；组织对目标绩效管理工作总体协调、日常运转和职能绩效目标、机关建设目标、专项工作目标的考核评价；负责绩效考核评价结果的汇总、呈报和通报工作；负责对全县机关目标绩效奖发放的审核工作；负责对县级机关实施目标绩效考核予以统筹指导等；负责县委干部考核领导小组办公室日常工作。</w:t>
      </w:r>
    </w:p>
    <w:p>
      <w:pPr>
        <w:keepNext w:val="0"/>
        <w:keepLines w:val="0"/>
        <w:pageBreakBefore w:val="0"/>
        <w:widowControl w:val="0"/>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十二）离退休干部综合管理股(关心下一代工作委员会办公室)。负责老干部工作的综合协调、重要事项的督查督办工作。负责涉及老干部工作的机要运转、文电处理、印信管理工作；负责老干部工作资料档案管理及保密工作；负责受理老干部和群众来信来访工作；负责协调组织老干部工作人员的培训工作；负责老干部工作信息化建设。负责调查了解全县离退休干部工作情况，为县委决策提供依据；研究拟订或参与拟订关于离退休干部工作全局性、综合性的政策规定；起草综合性会议领导讲话材料；负责党中央、国务院，省委、省政府，市委、市政府和县委、县政府关于离退休干部工作方针政策及老干部工作典型经验的宣传报道工作；承办表彰离退休干部和离退休干部工作先进单位和先进个人有关工作；负责县老干部工作领导小组的日常工作；负责指导全县关心下一代工作和老年大学(学校)工作。</w:t>
      </w:r>
    </w:p>
    <w:p>
      <w:pPr>
        <w:keepNext w:val="0"/>
        <w:keepLines w:val="0"/>
        <w:pageBreakBefore w:val="0"/>
        <w:widowControl w:val="0"/>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十三）离退休干部党建指导股(离退休干部党工委办公室)。负责抓好党中央、国务院，省委、省政府，市委、市政府和县委、县政府关于加强离退休干部党的建设各项政策落实，全面提升离退休干部党组织的组织力。负责对全县离退休干部党建工作进行指导和督促协调；负责指导基层离退休干部党组织设置方式和活动方式的改革创新，研究拟订加强离退休干部党组织建设和党员教育管理的制度和措施；负责组织指导对全县离退休干部党组织负责人的教育培训工作；负责组织指导全县离退休干部开展主题教育活动，利用自身优势，积极发挥作用，凝聚正能量；加强调查研究，及时向县委提出改进离退休干部党建工作的意见建议；负责县委离退休干部工委的日常工作。</w:t>
      </w:r>
    </w:p>
    <w:p>
      <w:pPr>
        <w:keepNext w:val="0"/>
        <w:keepLines w:val="0"/>
        <w:pageBreakBefore w:val="0"/>
        <w:widowControl w:val="0"/>
        <w:kinsoku/>
        <w:wordWrap/>
        <w:overflowPunct/>
        <w:topLinePunct w:val="0"/>
        <w:autoSpaceDE/>
        <w:autoSpaceDN/>
        <w:bidi w:val="0"/>
        <w:adjustRightInd/>
        <w:snapToGrid/>
        <w:spacing w:line="600" w:lineRule="exact"/>
        <w:ind w:firstLine="628"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十四）离退休干部服务股。负责检查指导离退休干部政治和生活待遇的落实。组织和参与拟订落实有关待遇的具体规定和办法；研究探索加强离退休干部精准服务的体制机制；负责组织协调全县离退休干部参加政治、文化、体育活动；负责做好易地安置离退休干部服务管理工作；负责调查了解全县离退休干部服务管理方面的意见建议和诉求；做好走访慰问工作；指导全县离退休干部健康疗养和老干部休养所、活动中心建设;负责全县离退休干部的统计和信息库工作；会同有关部门拟订治丧办法，协助承办县委交办的丧葬事宜。协助上级部门办理补发离休荣誉证，协助县政府办理离退休干部优待(先)证。负责全县财政开支离休干部护理待遇相关工作。负责部机关离退休干部管理服务工作，指导所属事业单位离退休干部工作。</w:t>
      </w:r>
    </w:p>
    <w:p>
      <w:pPr>
        <w:widowControl/>
        <w:spacing w:line="540" w:lineRule="exact"/>
        <w:ind w:firstLine="640"/>
        <w:jc w:val="left"/>
        <w:rPr>
          <w:rFonts w:hint="eastAsia" w:ascii="楷体" w:hAnsi="楷体" w:eastAsia="楷体" w:cs="楷体"/>
          <w:b/>
          <w:bCs/>
          <w:color w:val="auto"/>
          <w:kern w:val="0"/>
          <w:szCs w:val="32"/>
        </w:rPr>
      </w:pPr>
      <w:r>
        <w:rPr>
          <w:rFonts w:hint="eastAsia" w:ascii="楷体" w:hAnsi="楷体" w:eastAsia="楷体" w:cs="楷体"/>
          <w:b/>
          <w:bCs/>
          <w:color w:val="auto"/>
          <w:kern w:val="0"/>
          <w:szCs w:val="32"/>
        </w:rPr>
        <w:t>部门预算单位构成</w:t>
      </w:r>
    </w:p>
    <w:p>
      <w:pPr>
        <w:widowControl/>
        <w:spacing w:line="540" w:lineRule="exact"/>
        <w:ind w:firstLine="640"/>
        <w:jc w:val="left"/>
        <w:rPr>
          <w:rFonts w:ascii="仿宋" w:hAnsi="仿宋" w:eastAsia="仿宋" w:cs="仿宋"/>
          <w:color w:val="auto"/>
          <w:kern w:val="0"/>
          <w:szCs w:val="32"/>
        </w:rPr>
      </w:pPr>
      <w:r>
        <w:rPr>
          <w:rFonts w:hint="eastAsia" w:ascii="仿宋" w:hAnsi="仿宋" w:eastAsia="仿宋" w:cs="仿宋"/>
          <w:color w:val="auto"/>
          <w:kern w:val="0"/>
          <w:szCs w:val="32"/>
        </w:rPr>
        <w:t>从预算单位构成看，宁晋委组织部</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度部门预算包括部门本级预算。</w:t>
      </w:r>
    </w:p>
    <w:p>
      <w:pPr>
        <w:widowControl/>
        <w:spacing w:line="540" w:lineRule="exact"/>
        <w:ind w:firstLine="640"/>
        <w:jc w:val="left"/>
        <w:rPr>
          <w:rFonts w:hint="eastAsia" w:ascii="仿宋" w:hAnsi="仿宋" w:eastAsia="仿宋" w:cs="宋体"/>
          <w:color w:val="auto"/>
          <w:kern w:val="0"/>
          <w:szCs w:val="32"/>
        </w:rPr>
      </w:pPr>
      <w:r>
        <w:rPr>
          <w:rFonts w:hint="eastAsia" w:ascii="仿宋" w:hAnsi="仿宋" w:eastAsia="仿宋" w:cs="仿宋"/>
          <w:color w:val="auto"/>
          <w:kern w:val="0"/>
          <w:szCs w:val="32"/>
        </w:rPr>
        <w:t>纳入宁晋县委组织部</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度部门预算编制范围的单位共1个，详细情况见下表：</w:t>
      </w:r>
    </w:p>
    <w:tbl>
      <w:tblPr>
        <w:tblStyle w:val="7"/>
        <w:tblW w:w="8034" w:type="dxa"/>
        <w:tblInd w:w="624" w:type="dxa"/>
        <w:shd w:val="clear" w:color="auto" w:fill="FFFFFF"/>
        <w:tblLayout w:type="fixed"/>
        <w:tblCellMar>
          <w:top w:w="0" w:type="dxa"/>
          <w:left w:w="0" w:type="dxa"/>
          <w:bottom w:w="0" w:type="dxa"/>
          <w:right w:w="0" w:type="dxa"/>
        </w:tblCellMar>
      </w:tblPr>
      <w:tblGrid>
        <w:gridCol w:w="3090"/>
        <w:gridCol w:w="1442"/>
        <w:gridCol w:w="1545"/>
        <w:gridCol w:w="1957"/>
      </w:tblGrid>
      <w:tr>
        <w:tblPrEx>
          <w:shd w:val="clear" w:color="auto" w:fill="FFFFFF"/>
          <w:tblCellMar>
            <w:top w:w="0" w:type="dxa"/>
            <w:left w:w="0" w:type="dxa"/>
            <w:bottom w:w="0" w:type="dxa"/>
            <w:right w:w="0" w:type="dxa"/>
          </w:tblCellMar>
        </w:tblPrEx>
        <w:trPr>
          <w:trHeight w:val="600" w:hRule="exact"/>
        </w:trPr>
        <w:tc>
          <w:tcPr>
            <w:tcW w:w="3090"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单位名称</w:t>
            </w:r>
          </w:p>
        </w:tc>
        <w:tc>
          <w:tcPr>
            <w:tcW w:w="1442"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单位性质</w:t>
            </w:r>
          </w:p>
        </w:tc>
        <w:tc>
          <w:tcPr>
            <w:tcW w:w="1545"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单位规格</w:t>
            </w:r>
          </w:p>
        </w:tc>
        <w:tc>
          <w:tcPr>
            <w:tcW w:w="1957" w:type="dxa"/>
            <w:tcBorders>
              <w:top w:val="single" w:color="auto" w:sz="8" w:space="0"/>
              <w:left w:val="single" w:color="auto" w:sz="4" w:space="0"/>
              <w:bottom w:val="single" w:color="auto" w:sz="4" w:space="0"/>
              <w:right w:val="single" w:color="auto" w:sz="8"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经费保障形式</w:t>
            </w:r>
          </w:p>
        </w:tc>
      </w:tr>
      <w:tr>
        <w:tblPrEx>
          <w:tblCellMar>
            <w:top w:w="0" w:type="dxa"/>
            <w:left w:w="0" w:type="dxa"/>
            <w:bottom w:w="0" w:type="dxa"/>
            <w:right w:w="0" w:type="dxa"/>
          </w:tblCellMar>
        </w:tblPrEx>
        <w:trPr>
          <w:trHeight w:val="862" w:hRule="exact"/>
        </w:trPr>
        <w:tc>
          <w:tcPr>
            <w:tcW w:w="309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宁晋县委组织部本级</w:t>
            </w:r>
          </w:p>
        </w:tc>
        <w:tc>
          <w:tcPr>
            <w:tcW w:w="1442"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行政</w:t>
            </w:r>
          </w:p>
        </w:tc>
        <w:tc>
          <w:tcPr>
            <w:tcW w:w="1545"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正科</w:t>
            </w:r>
          </w:p>
        </w:tc>
        <w:tc>
          <w:tcPr>
            <w:tcW w:w="1957" w:type="dxa"/>
            <w:tcBorders>
              <w:top w:val="single" w:color="auto" w:sz="4" w:space="0"/>
              <w:left w:val="single" w:color="auto" w:sz="4" w:space="0"/>
              <w:bottom w:val="single" w:color="auto" w:sz="4" w:space="0"/>
              <w:right w:val="single" w:color="auto" w:sz="8"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财政拨款</w:t>
            </w:r>
          </w:p>
        </w:tc>
      </w:tr>
    </w:tbl>
    <w:p>
      <w:pPr>
        <w:spacing w:line="540" w:lineRule="exact"/>
        <w:ind w:firstLine="640"/>
        <w:rPr>
          <w:rFonts w:ascii="黑体" w:hAnsi="黑体" w:eastAsia="黑体" w:cs="Times New Roman"/>
          <w:color w:val="auto"/>
          <w:szCs w:val="32"/>
        </w:rPr>
      </w:pPr>
      <w:r>
        <w:rPr>
          <w:rFonts w:hint="eastAsia" w:ascii="黑体" w:hAnsi="黑体" w:eastAsia="黑体" w:cs="Times New Roman"/>
          <w:color w:val="auto"/>
          <w:szCs w:val="32"/>
        </w:rPr>
        <w:t>二、部门预算安排的总体情况</w:t>
      </w:r>
    </w:p>
    <w:p>
      <w:pPr>
        <w:widowControl/>
        <w:spacing w:line="540" w:lineRule="exact"/>
        <w:ind w:firstLine="640"/>
        <w:jc w:val="left"/>
        <w:rPr>
          <w:rFonts w:ascii="宋体" w:hAnsi="宋体" w:eastAsia="宋体" w:cs="宋体"/>
          <w:color w:val="auto"/>
          <w:kern w:val="0"/>
          <w:szCs w:val="32"/>
        </w:rPr>
      </w:pPr>
      <w:r>
        <w:rPr>
          <w:rFonts w:hint="eastAsia" w:ascii="仿宋" w:hAnsi="仿宋" w:eastAsia="仿宋" w:cs="仿宋"/>
          <w:color w:val="auto"/>
          <w:kern w:val="0"/>
          <w:szCs w:val="32"/>
        </w:rPr>
        <w:t>按照预算管理有关规定，目前我</w:t>
      </w:r>
      <w:r>
        <w:rPr>
          <w:rFonts w:hint="eastAsia" w:ascii="仿宋" w:hAnsi="仿宋" w:eastAsia="仿宋" w:cs="仿宋"/>
          <w:color w:val="auto"/>
          <w:kern w:val="0"/>
          <w:szCs w:val="32"/>
          <w:lang w:eastAsia="zh-CN"/>
        </w:rPr>
        <w:t>县</w:t>
      </w:r>
      <w:r>
        <w:rPr>
          <w:rFonts w:hint="eastAsia" w:ascii="仿宋" w:hAnsi="仿宋" w:eastAsia="仿宋" w:cs="仿宋"/>
          <w:color w:val="auto"/>
          <w:kern w:val="0"/>
          <w:szCs w:val="32"/>
        </w:rPr>
        <w:t>部门预算的编制实行综合预算制度，即全部收入和支出都反映的预算中。</w:t>
      </w:r>
    </w:p>
    <w:p>
      <w:pPr>
        <w:spacing w:line="540" w:lineRule="exact"/>
        <w:ind w:firstLine="628" w:firstLineChars="200"/>
        <w:rPr>
          <w:rFonts w:hint="eastAsia" w:ascii="楷体" w:hAnsi="楷体" w:eastAsia="楷体" w:cs="楷体"/>
          <w:b/>
          <w:bCs/>
          <w:color w:val="auto"/>
          <w:szCs w:val="32"/>
        </w:rPr>
      </w:pPr>
      <w:r>
        <w:rPr>
          <w:rFonts w:hint="eastAsia" w:ascii="楷体" w:hAnsi="楷体" w:eastAsia="楷体" w:cs="楷体"/>
          <w:b/>
          <w:bCs/>
          <w:color w:val="auto"/>
          <w:szCs w:val="32"/>
          <w:lang w:val="en-US" w:eastAsia="zh-CN"/>
        </w:rPr>
        <w:t>1.</w:t>
      </w:r>
      <w:r>
        <w:rPr>
          <w:rFonts w:hint="eastAsia" w:ascii="楷体" w:hAnsi="楷体" w:eastAsia="楷体" w:cs="楷体"/>
          <w:b/>
          <w:bCs/>
          <w:color w:val="auto"/>
          <w:szCs w:val="32"/>
        </w:rPr>
        <w:t xml:space="preserve">收入说明 </w:t>
      </w:r>
    </w:p>
    <w:p>
      <w:pPr>
        <w:widowControl/>
        <w:spacing w:line="540" w:lineRule="exact"/>
        <w:ind w:firstLine="640"/>
        <w:jc w:val="left"/>
        <w:rPr>
          <w:rFonts w:ascii="仿宋" w:hAnsi="仿宋" w:eastAsia="仿宋" w:cs="仿宋"/>
          <w:color w:val="auto"/>
          <w:kern w:val="0"/>
          <w:szCs w:val="32"/>
        </w:rPr>
      </w:pPr>
      <w:r>
        <w:rPr>
          <w:rFonts w:hint="eastAsia" w:ascii="仿宋" w:hAnsi="仿宋" w:eastAsia="仿宋" w:cs="仿宋"/>
          <w:color w:val="auto"/>
          <w:kern w:val="0"/>
          <w:szCs w:val="32"/>
        </w:rPr>
        <w:t>反应本部门当年全部收入，</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预算收入</w:t>
      </w:r>
      <w:r>
        <w:rPr>
          <w:rFonts w:hint="eastAsia" w:ascii="仿宋" w:hAnsi="仿宋" w:eastAsia="仿宋" w:cs="仿宋"/>
          <w:color w:val="auto"/>
          <w:kern w:val="0"/>
          <w:szCs w:val="32"/>
          <w:lang w:val="en-US" w:eastAsia="zh-CN"/>
        </w:rPr>
        <w:t>7072</w:t>
      </w:r>
      <w:r>
        <w:rPr>
          <w:rFonts w:hint="eastAsia" w:ascii="仿宋" w:hAnsi="仿宋" w:eastAsia="仿宋" w:cs="仿宋"/>
          <w:color w:val="auto"/>
          <w:kern w:val="0"/>
          <w:szCs w:val="32"/>
        </w:rPr>
        <w:t>万元，其中一般公共预算拨款</w:t>
      </w:r>
      <w:r>
        <w:rPr>
          <w:rFonts w:hint="eastAsia" w:ascii="仿宋" w:hAnsi="仿宋" w:eastAsia="仿宋" w:cs="仿宋"/>
          <w:color w:val="auto"/>
          <w:kern w:val="0"/>
          <w:szCs w:val="32"/>
          <w:lang w:val="en-US" w:eastAsia="zh-CN"/>
        </w:rPr>
        <w:t>7072</w:t>
      </w:r>
      <w:r>
        <w:rPr>
          <w:rFonts w:hint="eastAsia" w:ascii="仿宋" w:hAnsi="仿宋" w:eastAsia="仿宋" w:cs="仿宋"/>
          <w:color w:val="auto"/>
          <w:kern w:val="0"/>
          <w:szCs w:val="32"/>
        </w:rPr>
        <w:t>万元,</w:t>
      </w:r>
      <w:r>
        <w:rPr>
          <w:rFonts w:hint="eastAsia" w:ascii="仿宋_GB2312" w:hAnsi="仿宋"/>
          <w:color w:val="auto"/>
          <w:szCs w:val="32"/>
        </w:rPr>
        <w:t>基金预算收入0万元，财政专户核拨收入0万元，其他来源收入0万元</w:t>
      </w:r>
      <w:r>
        <w:rPr>
          <w:rFonts w:hint="eastAsia" w:ascii="仿宋" w:hAnsi="仿宋" w:eastAsia="仿宋" w:cs="仿宋"/>
          <w:color w:val="auto"/>
          <w:kern w:val="0"/>
          <w:szCs w:val="32"/>
        </w:rPr>
        <w:t>。</w:t>
      </w:r>
    </w:p>
    <w:p>
      <w:pPr>
        <w:numPr>
          <w:ilvl w:val="0"/>
          <w:numId w:val="0"/>
        </w:numPr>
        <w:spacing w:line="540" w:lineRule="exact"/>
        <w:ind w:firstLine="628" w:firstLineChars="200"/>
        <w:rPr>
          <w:rFonts w:ascii="Times New Roman" w:hAnsi="Times New Roman" w:eastAsia="方正仿宋_GBK" w:cs="Times New Roman"/>
          <w:b/>
          <w:bCs/>
          <w:color w:val="auto"/>
          <w:szCs w:val="32"/>
        </w:rPr>
      </w:pPr>
      <w:r>
        <w:rPr>
          <w:rFonts w:hint="eastAsia" w:ascii="楷体" w:hAnsi="楷体" w:eastAsia="楷体" w:cs="楷体"/>
          <w:b/>
          <w:bCs/>
          <w:color w:val="auto"/>
          <w:szCs w:val="32"/>
          <w:lang w:val="en-US" w:eastAsia="zh-CN"/>
        </w:rPr>
        <w:t>2.</w:t>
      </w:r>
      <w:r>
        <w:rPr>
          <w:rFonts w:hint="eastAsia" w:ascii="楷体" w:hAnsi="楷体" w:eastAsia="楷体" w:cs="楷体"/>
          <w:b/>
          <w:bCs/>
          <w:color w:val="auto"/>
          <w:szCs w:val="32"/>
        </w:rPr>
        <w:t>支出说明</w:t>
      </w:r>
    </w:p>
    <w:p>
      <w:pPr>
        <w:widowControl/>
        <w:spacing w:line="540" w:lineRule="exact"/>
        <w:ind w:firstLine="640"/>
        <w:jc w:val="left"/>
        <w:rPr>
          <w:rFonts w:ascii="仿宋" w:hAnsi="仿宋" w:eastAsia="仿宋" w:cs="仿宋"/>
          <w:color w:val="auto"/>
          <w:kern w:val="0"/>
          <w:szCs w:val="32"/>
        </w:rPr>
      </w:pPr>
      <w:r>
        <w:rPr>
          <w:rFonts w:hint="eastAsia" w:ascii="仿宋" w:hAnsi="仿宋" w:eastAsia="仿宋" w:cs="仿宋"/>
          <w:color w:val="auto"/>
          <w:kern w:val="0"/>
          <w:szCs w:val="32"/>
        </w:rPr>
        <w:t>收支预算总表支出栏、基本支出表、项目支出表按经济分类和支出功能分类科目编制，反映中共宁晋县委组织部年度部门预算中支出预算的总体情况。</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部门支出预算为</w:t>
      </w:r>
      <w:r>
        <w:rPr>
          <w:rFonts w:hint="eastAsia" w:ascii="仿宋" w:hAnsi="仿宋" w:eastAsia="仿宋" w:cs="仿宋"/>
          <w:color w:val="auto"/>
          <w:kern w:val="0"/>
          <w:szCs w:val="32"/>
          <w:lang w:val="en-US" w:eastAsia="zh-CN"/>
        </w:rPr>
        <w:t>7072</w:t>
      </w:r>
      <w:r>
        <w:rPr>
          <w:rFonts w:hint="eastAsia" w:ascii="仿宋" w:hAnsi="仿宋" w:eastAsia="仿宋" w:cs="仿宋"/>
          <w:color w:val="auto"/>
          <w:kern w:val="0"/>
          <w:szCs w:val="32"/>
        </w:rPr>
        <w:t>万元，其中基本支出</w:t>
      </w:r>
      <w:r>
        <w:rPr>
          <w:rFonts w:hint="eastAsia" w:ascii="仿宋" w:hAnsi="仿宋" w:eastAsia="仿宋" w:cs="仿宋"/>
          <w:color w:val="auto"/>
          <w:kern w:val="0"/>
          <w:szCs w:val="32"/>
          <w:lang w:val="en-US" w:eastAsia="zh-CN"/>
        </w:rPr>
        <w:t>623.51</w:t>
      </w:r>
      <w:r>
        <w:rPr>
          <w:rFonts w:hint="eastAsia" w:ascii="仿宋" w:hAnsi="仿宋" w:eastAsia="仿宋" w:cs="仿宋"/>
          <w:color w:val="auto"/>
          <w:kern w:val="0"/>
          <w:szCs w:val="32"/>
        </w:rPr>
        <w:t>万元，包括人员经费</w:t>
      </w:r>
      <w:r>
        <w:rPr>
          <w:rFonts w:hint="eastAsia" w:ascii="仿宋" w:hAnsi="仿宋" w:eastAsia="仿宋" w:cs="仿宋"/>
          <w:color w:val="auto"/>
          <w:kern w:val="0"/>
          <w:szCs w:val="32"/>
          <w:highlight w:val="none"/>
          <w:lang w:val="en-US" w:eastAsia="zh-CN"/>
        </w:rPr>
        <w:t>562.49</w:t>
      </w:r>
      <w:r>
        <w:rPr>
          <w:rFonts w:hint="eastAsia" w:ascii="仿宋" w:hAnsi="仿宋" w:eastAsia="仿宋" w:cs="仿宋"/>
          <w:color w:val="auto"/>
          <w:kern w:val="0"/>
          <w:szCs w:val="32"/>
          <w:highlight w:val="none"/>
        </w:rPr>
        <w:t>万元和日常公用经费</w:t>
      </w:r>
      <w:r>
        <w:rPr>
          <w:rFonts w:hint="eastAsia" w:ascii="仿宋" w:hAnsi="仿宋" w:eastAsia="仿宋" w:cs="仿宋"/>
          <w:color w:val="auto"/>
          <w:kern w:val="0"/>
          <w:szCs w:val="32"/>
          <w:highlight w:val="none"/>
          <w:lang w:val="en-US" w:eastAsia="zh-CN"/>
        </w:rPr>
        <w:t>61.02</w:t>
      </w:r>
      <w:r>
        <w:rPr>
          <w:rFonts w:hint="eastAsia" w:ascii="仿宋" w:hAnsi="仿宋" w:eastAsia="仿宋" w:cs="仿宋"/>
          <w:color w:val="auto"/>
          <w:kern w:val="0"/>
          <w:szCs w:val="32"/>
        </w:rPr>
        <w:t>万元；项目支出</w:t>
      </w:r>
      <w:r>
        <w:rPr>
          <w:rFonts w:hint="eastAsia" w:ascii="仿宋" w:hAnsi="仿宋" w:eastAsia="仿宋" w:cs="仿宋"/>
          <w:color w:val="auto"/>
          <w:kern w:val="0"/>
          <w:szCs w:val="32"/>
          <w:lang w:val="en-US" w:eastAsia="zh-CN"/>
        </w:rPr>
        <w:t>6448.49</w:t>
      </w:r>
      <w:r>
        <w:rPr>
          <w:rFonts w:hint="eastAsia" w:ascii="仿宋" w:hAnsi="仿宋" w:eastAsia="仿宋" w:cs="仿宋"/>
          <w:color w:val="auto"/>
          <w:kern w:val="0"/>
          <w:szCs w:val="32"/>
        </w:rPr>
        <w:t>万元，全部为本级支出</w:t>
      </w:r>
      <w:r>
        <w:rPr>
          <w:rFonts w:hint="eastAsia" w:ascii="仿宋_GB2312" w:hAnsi="仿宋"/>
          <w:color w:val="auto"/>
          <w:szCs w:val="32"/>
        </w:rPr>
        <w:t>。</w:t>
      </w:r>
    </w:p>
    <w:p>
      <w:pPr>
        <w:spacing w:line="540" w:lineRule="exact"/>
        <w:ind w:firstLine="628" w:firstLineChars="200"/>
        <w:rPr>
          <w:rFonts w:hint="eastAsia" w:ascii="楷体" w:hAnsi="楷体" w:eastAsia="楷体" w:cs="楷体"/>
          <w:b/>
          <w:bCs/>
          <w:color w:val="auto"/>
          <w:szCs w:val="32"/>
        </w:rPr>
      </w:pPr>
      <w:r>
        <w:rPr>
          <w:rFonts w:hint="eastAsia" w:ascii="楷体" w:hAnsi="楷体" w:eastAsia="楷体" w:cs="楷体"/>
          <w:b/>
          <w:bCs/>
          <w:color w:val="auto"/>
          <w:szCs w:val="32"/>
          <w:lang w:val="en-US" w:eastAsia="zh-CN"/>
        </w:rPr>
        <w:t>3.</w:t>
      </w:r>
      <w:r>
        <w:rPr>
          <w:rFonts w:hint="eastAsia" w:ascii="楷体" w:hAnsi="楷体" w:eastAsia="楷体" w:cs="楷体"/>
          <w:b/>
          <w:bCs/>
          <w:color w:val="auto"/>
          <w:szCs w:val="32"/>
        </w:rPr>
        <w:t>比上年增减情况</w:t>
      </w:r>
    </w:p>
    <w:p>
      <w:pPr>
        <w:spacing w:line="540" w:lineRule="exact"/>
        <w:rPr>
          <w:rFonts w:ascii="仿宋" w:hAnsi="仿宋" w:eastAsia="仿宋" w:cs="仿宋"/>
          <w:color w:val="auto"/>
          <w:kern w:val="0"/>
          <w:szCs w:val="32"/>
        </w:rPr>
      </w:pPr>
      <w:r>
        <w:rPr>
          <w:rFonts w:hint="eastAsia" w:ascii="Times New Roman" w:hAnsi="Times New Roman" w:eastAsia="方正仿宋_GBK" w:cs="Times New Roman"/>
          <w:color w:val="auto"/>
          <w:szCs w:val="32"/>
        </w:rPr>
        <w:t xml:space="preserve">   </w:t>
      </w:r>
      <w:r>
        <w:rPr>
          <w:rFonts w:hint="eastAsia" w:ascii="仿宋_GB2312" w:hAnsi="仿宋_GB2312" w:cs="仿宋_GB2312"/>
          <w:color w:val="auto"/>
          <w:szCs w:val="32"/>
          <w:highlight w:val="none"/>
        </w:rPr>
        <w:t xml:space="preserve"> </w:t>
      </w:r>
      <w:r>
        <w:rPr>
          <w:rFonts w:hint="eastAsia" w:ascii="仿宋" w:hAnsi="仿宋" w:eastAsia="仿宋" w:cs="仿宋"/>
          <w:color w:val="auto"/>
          <w:kern w:val="0"/>
          <w:szCs w:val="32"/>
          <w:highlight w:val="none"/>
          <w:lang w:eastAsia="zh-CN"/>
        </w:rPr>
        <w:t>20</w:t>
      </w:r>
      <w:r>
        <w:rPr>
          <w:rFonts w:hint="eastAsia" w:ascii="仿宋" w:hAnsi="仿宋" w:eastAsia="仿宋" w:cs="仿宋"/>
          <w:color w:val="auto"/>
          <w:kern w:val="0"/>
          <w:szCs w:val="32"/>
          <w:highlight w:val="none"/>
          <w:lang w:val="en-US" w:eastAsia="zh-CN"/>
        </w:rPr>
        <w:t>21</w:t>
      </w:r>
      <w:r>
        <w:rPr>
          <w:rFonts w:hint="eastAsia" w:ascii="仿宋" w:hAnsi="仿宋" w:eastAsia="仿宋" w:cs="仿宋"/>
          <w:color w:val="auto"/>
          <w:kern w:val="0"/>
          <w:szCs w:val="32"/>
          <w:highlight w:val="none"/>
          <w:lang w:eastAsia="zh-CN"/>
        </w:rPr>
        <w:t>年</w:t>
      </w:r>
      <w:r>
        <w:rPr>
          <w:rFonts w:hint="eastAsia" w:ascii="仿宋" w:hAnsi="仿宋" w:eastAsia="仿宋" w:cs="仿宋"/>
          <w:color w:val="auto"/>
          <w:kern w:val="0"/>
          <w:szCs w:val="32"/>
          <w:highlight w:val="none"/>
        </w:rPr>
        <w:t>部门预算较</w:t>
      </w:r>
      <w:r>
        <w:rPr>
          <w:rFonts w:hint="eastAsia" w:ascii="仿宋" w:hAnsi="仿宋" w:eastAsia="仿宋" w:cs="仿宋"/>
          <w:color w:val="auto"/>
          <w:kern w:val="0"/>
          <w:szCs w:val="32"/>
          <w:highlight w:val="none"/>
          <w:lang w:eastAsia="zh-CN"/>
        </w:rPr>
        <w:t>20</w:t>
      </w:r>
      <w:r>
        <w:rPr>
          <w:rFonts w:hint="eastAsia" w:ascii="仿宋" w:hAnsi="仿宋" w:eastAsia="仿宋" w:cs="仿宋"/>
          <w:color w:val="auto"/>
          <w:kern w:val="0"/>
          <w:szCs w:val="32"/>
          <w:highlight w:val="none"/>
          <w:lang w:val="en-US" w:eastAsia="zh-CN"/>
        </w:rPr>
        <w:t>20</w:t>
      </w:r>
      <w:r>
        <w:rPr>
          <w:rFonts w:hint="eastAsia" w:ascii="仿宋" w:hAnsi="仿宋" w:eastAsia="仿宋" w:cs="仿宋"/>
          <w:color w:val="auto"/>
          <w:kern w:val="0"/>
          <w:szCs w:val="32"/>
          <w:highlight w:val="none"/>
          <w:lang w:eastAsia="zh-CN"/>
        </w:rPr>
        <w:t>年增加</w:t>
      </w:r>
      <w:r>
        <w:rPr>
          <w:rFonts w:hint="eastAsia" w:ascii="仿宋" w:hAnsi="仿宋" w:eastAsia="仿宋" w:cs="仿宋"/>
          <w:color w:val="auto"/>
          <w:kern w:val="0"/>
          <w:szCs w:val="32"/>
          <w:highlight w:val="none"/>
          <w:lang w:val="en-US" w:eastAsia="zh-CN"/>
        </w:rPr>
        <w:t>2341.45</w:t>
      </w:r>
      <w:r>
        <w:rPr>
          <w:rFonts w:hint="eastAsia" w:ascii="仿宋" w:hAnsi="仿宋" w:eastAsia="仿宋" w:cs="仿宋"/>
          <w:color w:val="auto"/>
          <w:kern w:val="0"/>
          <w:szCs w:val="32"/>
          <w:highlight w:val="none"/>
        </w:rPr>
        <w:t>万元，其中：基本支出</w:t>
      </w:r>
      <w:r>
        <w:rPr>
          <w:rFonts w:hint="eastAsia" w:ascii="仿宋" w:hAnsi="仿宋" w:eastAsia="仿宋" w:cs="仿宋"/>
          <w:color w:val="auto"/>
          <w:kern w:val="0"/>
          <w:szCs w:val="32"/>
          <w:highlight w:val="none"/>
          <w:lang w:eastAsia="zh-CN"/>
        </w:rPr>
        <w:t>增加</w:t>
      </w:r>
      <w:r>
        <w:rPr>
          <w:rFonts w:hint="eastAsia" w:ascii="仿宋" w:hAnsi="仿宋" w:eastAsia="仿宋" w:cs="仿宋"/>
          <w:color w:val="auto"/>
          <w:kern w:val="0"/>
          <w:szCs w:val="32"/>
          <w:highlight w:val="none"/>
          <w:lang w:val="en-US" w:eastAsia="zh-CN"/>
        </w:rPr>
        <w:t>2.8</w:t>
      </w:r>
      <w:r>
        <w:rPr>
          <w:rFonts w:hint="eastAsia" w:ascii="仿宋" w:hAnsi="仿宋" w:eastAsia="仿宋" w:cs="仿宋"/>
          <w:color w:val="auto"/>
          <w:kern w:val="0"/>
          <w:szCs w:val="32"/>
          <w:highlight w:val="none"/>
        </w:rPr>
        <w:t>万元，主要是</w:t>
      </w:r>
      <w:r>
        <w:rPr>
          <w:rFonts w:hint="eastAsia" w:ascii="仿宋" w:hAnsi="仿宋" w:eastAsia="仿宋" w:cs="仿宋"/>
          <w:color w:val="auto"/>
          <w:kern w:val="0"/>
          <w:szCs w:val="32"/>
          <w:highlight w:val="none"/>
          <w:lang w:eastAsia="zh-CN"/>
        </w:rPr>
        <w:t>增加日常公用经费</w:t>
      </w:r>
      <w:r>
        <w:rPr>
          <w:rFonts w:hint="eastAsia" w:ascii="仿宋" w:hAnsi="仿宋" w:eastAsia="仿宋" w:cs="仿宋"/>
          <w:color w:val="auto"/>
          <w:kern w:val="0"/>
          <w:szCs w:val="32"/>
          <w:highlight w:val="none"/>
        </w:rPr>
        <w:t>；项目支出</w:t>
      </w:r>
      <w:r>
        <w:rPr>
          <w:rFonts w:hint="eastAsia" w:ascii="仿宋" w:hAnsi="仿宋" w:eastAsia="仿宋" w:cs="仿宋"/>
          <w:color w:val="auto"/>
          <w:kern w:val="0"/>
          <w:szCs w:val="32"/>
          <w:highlight w:val="none"/>
          <w:lang w:eastAsia="zh-CN"/>
        </w:rPr>
        <w:t>增加</w:t>
      </w:r>
      <w:r>
        <w:rPr>
          <w:rFonts w:hint="eastAsia" w:ascii="仿宋" w:hAnsi="仿宋" w:eastAsia="仿宋" w:cs="仿宋"/>
          <w:color w:val="auto"/>
          <w:kern w:val="0"/>
          <w:szCs w:val="32"/>
          <w:highlight w:val="none"/>
          <w:lang w:val="en-US" w:eastAsia="zh-CN"/>
        </w:rPr>
        <w:t>2338.65</w:t>
      </w:r>
      <w:r>
        <w:rPr>
          <w:rFonts w:hint="eastAsia" w:ascii="仿宋" w:hAnsi="仿宋" w:eastAsia="仿宋" w:cs="仿宋"/>
          <w:color w:val="auto"/>
          <w:kern w:val="0"/>
          <w:szCs w:val="32"/>
          <w:highlight w:val="none"/>
        </w:rPr>
        <w:t>万元，主要是</w:t>
      </w:r>
      <w:r>
        <w:rPr>
          <w:rFonts w:hint="eastAsia" w:ascii="仿宋" w:hAnsi="仿宋" w:eastAsia="仿宋" w:cs="仿宋"/>
          <w:color w:val="auto"/>
          <w:kern w:val="0"/>
          <w:szCs w:val="32"/>
          <w:highlight w:val="none"/>
          <w:lang w:eastAsia="zh-CN"/>
        </w:rPr>
        <w:t>增加集体经济现场会费用、乡镇（街道）机关人员补贴。</w:t>
      </w:r>
    </w:p>
    <w:p>
      <w:pPr>
        <w:spacing w:line="540" w:lineRule="exact"/>
        <w:ind w:firstLine="640"/>
        <w:rPr>
          <w:rFonts w:hint="eastAsia" w:ascii="黑体" w:hAnsi="黑体" w:eastAsia="黑体" w:cs="Times New Roman"/>
          <w:color w:val="auto"/>
          <w:szCs w:val="32"/>
        </w:rPr>
      </w:pPr>
      <w:r>
        <w:rPr>
          <w:rFonts w:hint="eastAsia" w:ascii="黑体" w:hAnsi="黑体" w:eastAsia="黑体" w:cs="Times New Roman"/>
          <w:color w:val="auto"/>
          <w:szCs w:val="32"/>
        </w:rPr>
        <w:t>三、机关运行经费安排情况</w:t>
      </w:r>
    </w:p>
    <w:p>
      <w:pPr>
        <w:widowControl/>
        <w:spacing w:line="540" w:lineRule="exact"/>
        <w:ind w:firstLine="640"/>
        <w:jc w:val="left"/>
        <w:rPr>
          <w:rFonts w:ascii="仿宋" w:hAnsi="仿宋" w:eastAsia="仿宋" w:cs="仿宋"/>
          <w:color w:val="auto"/>
          <w:kern w:val="0"/>
          <w:szCs w:val="32"/>
        </w:rPr>
      </w:pP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度宁晋县委组织部机关运行经费</w:t>
      </w:r>
      <w:r>
        <w:rPr>
          <w:rFonts w:hint="eastAsia" w:ascii="仿宋" w:hAnsi="仿宋" w:eastAsia="仿宋" w:cs="仿宋"/>
          <w:color w:val="auto"/>
          <w:kern w:val="0"/>
          <w:szCs w:val="32"/>
          <w:lang w:val="en-US" w:eastAsia="zh-CN"/>
        </w:rPr>
        <w:t>61.02</w:t>
      </w:r>
      <w:r>
        <w:rPr>
          <w:rFonts w:hint="eastAsia" w:ascii="仿宋" w:hAnsi="仿宋" w:eastAsia="仿宋" w:cs="仿宋"/>
          <w:color w:val="auto"/>
          <w:kern w:val="0"/>
          <w:szCs w:val="32"/>
        </w:rPr>
        <w:t>万元，比</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增加</w:t>
      </w:r>
      <w:r>
        <w:rPr>
          <w:rFonts w:hint="eastAsia" w:ascii="仿宋" w:hAnsi="仿宋" w:eastAsia="仿宋" w:cs="仿宋"/>
          <w:color w:val="auto"/>
          <w:kern w:val="0"/>
          <w:szCs w:val="32"/>
          <w:lang w:val="en-US" w:eastAsia="zh-CN"/>
        </w:rPr>
        <w:t>0.77</w:t>
      </w:r>
      <w:r>
        <w:rPr>
          <w:rFonts w:hint="eastAsia" w:ascii="仿宋" w:hAnsi="仿宋" w:eastAsia="仿宋" w:cs="仿宋"/>
          <w:color w:val="auto"/>
          <w:kern w:val="0"/>
          <w:szCs w:val="32"/>
        </w:rPr>
        <w:t>万元，其中办公费</w:t>
      </w:r>
      <w:r>
        <w:rPr>
          <w:rFonts w:hint="eastAsia" w:ascii="仿宋" w:hAnsi="仿宋" w:eastAsia="仿宋" w:cs="仿宋"/>
          <w:color w:val="auto"/>
          <w:kern w:val="0"/>
          <w:szCs w:val="32"/>
          <w:lang w:val="en-US" w:eastAsia="zh-CN"/>
        </w:rPr>
        <w:t>7.1</w:t>
      </w:r>
      <w:r>
        <w:rPr>
          <w:rFonts w:hint="eastAsia" w:ascii="仿宋" w:hAnsi="仿宋" w:eastAsia="仿宋" w:cs="仿宋"/>
          <w:color w:val="auto"/>
          <w:kern w:val="0"/>
          <w:szCs w:val="32"/>
        </w:rPr>
        <w:t>万元，</w:t>
      </w:r>
      <w:r>
        <w:rPr>
          <w:rFonts w:hint="eastAsia" w:ascii="仿宋" w:hAnsi="仿宋" w:eastAsia="仿宋" w:cs="仿宋"/>
          <w:color w:val="auto"/>
          <w:kern w:val="0"/>
          <w:szCs w:val="32"/>
          <w:lang w:eastAsia="zh-CN"/>
        </w:rPr>
        <w:t>水费</w:t>
      </w:r>
      <w:r>
        <w:rPr>
          <w:rFonts w:hint="eastAsia" w:ascii="仿宋" w:hAnsi="仿宋" w:eastAsia="仿宋" w:cs="仿宋"/>
          <w:color w:val="auto"/>
          <w:kern w:val="0"/>
          <w:szCs w:val="32"/>
          <w:lang w:val="en-US" w:eastAsia="zh-CN"/>
        </w:rPr>
        <w:t>0.18万元，</w:t>
      </w:r>
      <w:r>
        <w:rPr>
          <w:rFonts w:hint="eastAsia" w:ascii="仿宋" w:hAnsi="仿宋" w:eastAsia="仿宋" w:cs="仿宋"/>
          <w:color w:val="auto"/>
          <w:kern w:val="0"/>
          <w:szCs w:val="32"/>
        </w:rPr>
        <w:t>电费</w:t>
      </w:r>
      <w:r>
        <w:rPr>
          <w:rFonts w:hint="eastAsia" w:ascii="仿宋" w:hAnsi="仿宋" w:eastAsia="仿宋" w:cs="仿宋"/>
          <w:color w:val="auto"/>
          <w:kern w:val="0"/>
          <w:szCs w:val="32"/>
          <w:lang w:val="en-US" w:eastAsia="zh-CN"/>
        </w:rPr>
        <w:t>2</w:t>
      </w:r>
      <w:r>
        <w:rPr>
          <w:rFonts w:hint="eastAsia" w:ascii="仿宋" w:hAnsi="仿宋" w:eastAsia="仿宋" w:cs="仿宋"/>
          <w:color w:val="auto"/>
          <w:kern w:val="0"/>
          <w:szCs w:val="32"/>
        </w:rPr>
        <w:t>万元，邮电费</w:t>
      </w:r>
      <w:r>
        <w:rPr>
          <w:rFonts w:hint="eastAsia" w:ascii="仿宋" w:hAnsi="仿宋" w:eastAsia="仿宋" w:cs="仿宋"/>
          <w:color w:val="auto"/>
          <w:kern w:val="0"/>
          <w:szCs w:val="32"/>
          <w:lang w:val="en-US" w:eastAsia="zh-CN"/>
        </w:rPr>
        <w:t>13.1</w:t>
      </w:r>
      <w:r>
        <w:rPr>
          <w:rFonts w:hint="eastAsia" w:ascii="仿宋" w:hAnsi="仿宋" w:eastAsia="仿宋" w:cs="仿宋"/>
          <w:color w:val="auto"/>
          <w:kern w:val="0"/>
          <w:szCs w:val="32"/>
        </w:rPr>
        <w:t>万元，</w:t>
      </w:r>
      <w:r>
        <w:rPr>
          <w:rFonts w:hint="eastAsia" w:ascii="仿宋" w:hAnsi="仿宋" w:eastAsia="仿宋" w:cs="仿宋"/>
          <w:color w:val="auto"/>
          <w:kern w:val="0"/>
          <w:szCs w:val="32"/>
          <w:lang w:eastAsia="zh-CN"/>
        </w:rPr>
        <w:t>办公</w:t>
      </w:r>
      <w:r>
        <w:rPr>
          <w:rFonts w:hint="eastAsia" w:ascii="仿宋" w:hAnsi="仿宋" w:eastAsia="仿宋" w:cs="仿宋"/>
          <w:color w:val="auto"/>
          <w:kern w:val="0"/>
          <w:szCs w:val="32"/>
        </w:rPr>
        <w:t>取暖费</w:t>
      </w:r>
      <w:r>
        <w:rPr>
          <w:rFonts w:hint="eastAsia" w:ascii="仿宋" w:hAnsi="仿宋" w:eastAsia="仿宋" w:cs="仿宋"/>
          <w:color w:val="auto"/>
          <w:kern w:val="0"/>
          <w:szCs w:val="32"/>
          <w:lang w:val="en-US" w:eastAsia="zh-CN"/>
        </w:rPr>
        <w:t>2</w:t>
      </w:r>
      <w:r>
        <w:rPr>
          <w:rFonts w:hint="eastAsia" w:ascii="仿宋" w:hAnsi="仿宋" w:eastAsia="仿宋" w:cs="仿宋"/>
          <w:color w:val="auto"/>
          <w:kern w:val="0"/>
          <w:szCs w:val="32"/>
        </w:rPr>
        <w:t>万元，差旅费</w:t>
      </w:r>
      <w:r>
        <w:rPr>
          <w:rFonts w:hint="eastAsia" w:ascii="仿宋" w:hAnsi="仿宋" w:eastAsia="仿宋" w:cs="仿宋"/>
          <w:color w:val="auto"/>
          <w:kern w:val="0"/>
          <w:szCs w:val="32"/>
          <w:lang w:val="en-US" w:eastAsia="zh-CN"/>
        </w:rPr>
        <w:t>3</w:t>
      </w:r>
      <w:r>
        <w:rPr>
          <w:rFonts w:hint="eastAsia" w:ascii="仿宋" w:hAnsi="仿宋" w:eastAsia="仿宋" w:cs="仿宋"/>
          <w:color w:val="auto"/>
          <w:kern w:val="0"/>
          <w:szCs w:val="32"/>
        </w:rPr>
        <w:t>万元，</w:t>
      </w:r>
      <w:r>
        <w:rPr>
          <w:rFonts w:hint="eastAsia" w:ascii="仿宋" w:hAnsi="仿宋" w:eastAsia="仿宋" w:cs="仿宋"/>
          <w:color w:val="auto"/>
          <w:kern w:val="0"/>
          <w:szCs w:val="32"/>
          <w:lang w:eastAsia="zh-CN"/>
        </w:rPr>
        <w:t>维修（护）费</w:t>
      </w:r>
      <w:r>
        <w:rPr>
          <w:rFonts w:hint="eastAsia" w:ascii="仿宋" w:hAnsi="仿宋" w:eastAsia="仿宋" w:cs="仿宋"/>
          <w:color w:val="auto"/>
          <w:kern w:val="0"/>
          <w:szCs w:val="32"/>
          <w:lang w:val="en-US" w:eastAsia="zh-CN"/>
        </w:rPr>
        <w:t>0.2万元</w:t>
      </w:r>
      <w:r>
        <w:rPr>
          <w:rFonts w:hint="eastAsia" w:ascii="仿宋" w:hAnsi="仿宋" w:eastAsia="仿宋" w:cs="仿宋"/>
          <w:color w:val="auto"/>
          <w:kern w:val="0"/>
          <w:szCs w:val="32"/>
          <w:lang w:eastAsia="zh-CN"/>
        </w:rPr>
        <w:t>，</w:t>
      </w:r>
      <w:r>
        <w:rPr>
          <w:rFonts w:hint="eastAsia" w:ascii="仿宋" w:hAnsi="仿宋" w:eastAsia="仿宋" w:cs="仿宋"/>
          <w:color w:val="auto"/>
          <w:kern w:val="0"/>
          <w:szCs w:val="32"/>
        </w:rPr>
        <w:t>公务用车运行维护费</w:t>
      </w:r>
      <w:r>
        <w:rPr>
          <w:rFonts w:hint="eastAsia" w:ascii="仿宋" w:hAnsi="仿宋" w:eastAsia="仿宋" w:cs="仿宋"/>
          <w:color w:val="auto"/>
          <w:kern w:val="0"/>
          <w:szCs w:val="32"/>
          <w:lang w:val="en-US" w:eastAsia="zh-CN"/>
        </w:rPr>
        <w:t>8</w:t>
      </w:r>
      <w:r>
        <w:rPr>
          <w:rFonts w:hint="eastAsia" w:ascii="仿宋" w:hAnsi="仿宋" w:eastAsia="仿宋" w:cs="仿宋"/>
          <w:color w:val="auto"/>
          <w:kern w:val="0"/>
          <w:szCs w:val="32"/>
        </w:rPr>
        <w:t>万元，福利费</w:t>
      </w:r>
      <w:r>
        <w:rPr>
          <w:rFonts w:hint="eastAsia" w:ascii="仿宋" w:hAnsi="仿宋" w:eastAsia="仿宋" w:cs="仿宋"/>
          <w:color w:val="auto"/>
          <w:kern w:val="0"/>
          <w:szCs w:val="32"/>
          <w:lang w:val="en-US" w:eastAsia="zh-CN"/>
        </w:rPr>
        <w:t>4.24</w:t>
      </w:r>
      <w:r>
        <w:rPr>
          <w:rFonts w:hint="eastAsia" w:ascii="仿宋" w:hAnsi="仿宋" w:eastAsia="仿宋" w:cs="仿宋"/>
          <w:color w:val="auto"/>
          <w:kern w:val="0"/>
          <w:szCs w:val="32"/>
        </w:rPr>
        <w:t>万元</w:t>
      </w:r>
      <w:r>
        <w:rPr>
          <w:rFonts w:hint="eastAsia" w:ascii="仿宋" w:hAnsi="仿宋" w:eastAsia="仿宋" w:cs="仿宋"/>
          <w:color w:val="auto"/>
          <w:kern w:val="0"/>
          <w:szCs w:val="32"/>
          <w:lang w:eastAsia="zh-CN"/>
        </w:rPr>
        <w:t>，其它交通费用</w:t>
      </w:r>
      <w:r>
        <w:rPr>
          <w:rFonts w:hint="eastAsia" w:ascii="仿宋" w:hAnsi="仿宋" w:eastAsia="仿宋" w:cs="仿宋"/>
          <w:color w:val="auto"/>
          <w:kern w:val="0"/>
          <w:szCs w:val="32"/>
          <w:lang w:val="en-US" w:eastAsia="zh-CN"/>
        </w:rPr>
        <w:t>21.2万元</w:t>
      </w:r>
      <w:r>
        <w:rPr>
          <w:rFonts w:hint="eastAsia" w:ascii="仿宋" w:hAnsi="仿宋" w:eastAsia="仿宋" w:cs="仿宋"/>
          <w:color w:val="auto"/>
          <w:kern w:val="0"/>
          <w:szCs w:val="32"/>
        </w:rPr>
        <w:t>。</w:t>
      </w:r>
    </w:p>
    <w:p>
      <w:pPr>
        <w:widowControl/>
        <w:numPr>
          <w:ilvl w:val="0"/>
          <w:numId w:val="4"/>
        </w:numPr>
        <w:spacing w:line="540" w:lineRule="exact"/>
        <w:jc w:val="left"/>
        <w:rPr>
          <w:rFonts w:ascii="宋体" w:hAnsi="宋体" w:eastAsia="宋体" w:cs="宋体"/>
          <w:b/>
          <w:color w:val="auto"/>
          <w:kern w:val="0"/>
          <w:szCs w:val="32"/>
        </w:rPr>
      </w:pPr>
      <w:r>
        <w:rPr>
          <w:rFonts w:hint="eastAsia" w:ascii="黑体" w:hAnsi="黑体" w:eastAsia="黑体" w:cs="Times New Roman"/>
          <w:color w:val="auto"/>
          <w:szCs w:val="32"/>
        </w:rPr>
        <w:t>财政拨款“三公”经费预算情况</w:t>
      </w:r>
    </w:p>
    <w:p>
      <w:pPr>
        <w:adjustRightInd w:val="0"/>
        <w:snapToGrid w:val="0"/>
        <w:spacing w:line="540" w:lineRule="exact"/>
        <w:ind w:firstLine="628" w:firstLineChars="200"/>
        <w:rPr>
          <w:rFonts w:ascii="仿宋" w:hAnsi="仿宋" w:eastAsia="仿宋" w:cs="仿宋"/>
          <w:color w:val="auto"/>
          <w:kern w:val="0"/>
          <w:szCs w:val="32"/>
        </w:rPr>
      </w:pP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20</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“三公”经费预算数为</w:t>
      </w:r>
      <w:r>
        <w:rPr>
          <w:rFonts w:hint="eastAsia" w:ascii="仿宋" w:hAnsi="仿宋" w:eastAsia="仿宋" w:cs="仿宋"/>
          <w:color w:val="auto"/>
          <w:kern w:val="0"/>
          <w:szCs w:val="32"/>
          <w:lang w:val="en-US" w:eastAsia="zh-CN"/>
        </w:rPr>
        <w:t>8</w:t>
      </w:r>
      <w:r>
        <w:rPr>
          <w:rFonts w:hint="eastAsia" w:ascii="仿宋" w:hAnsi="仿宋" w:eastAsia="仿宋" w:cs="仿宋"/>
          <w:color w:val="auto"/>
          <w:kern w:val="0"/>
          <w:szCs w:val="32"/>
        </w:rPr>
        <w:t>万元，公务用车购置及运维费</w:t>
      </w:r>
      <w:r>
        <w:rPr>
          <w:rFonts w:hint="eastAsia" w:ascii="仿宋" w:hAnsi="仿宋" w:eastAsia="仿宋" w:cs="仿宋"/>
          <w:color w:val="auto"/>
          <w:kern w:val="0"/>
          <w:szCs w:val="32"/>
          <w:lang w:val="en-US" w:eastAsia="zh-CN"/>
        </w:rPr>
        <w:t>8</w:t>
      </w:r>
      <w:r>
        <w:rPr>
          <w:rFonts w:hint="eastAsia" w:ascii="仿宋" w:hAnsi="仿宋" w:eastAsia="仿宋" w:cs="仿宋"/>
          <w:color w:val="auto"/>
          <w:kern w:val="0"/>
          <w:szCs w:val="32"/>
        </w:rPr>
        <w:t>万元（其中：公务用车购置费0万元，公务用车运行维护费</w:t>
      </w:r>
      <w:r>
        <w:rPr>
          <w:rFonts w:hint="eastAsia" w:ascii="仿宋" w:hAnsi="仿宋" w:eastAsia="仿宋" w:cs="仿宋"/>
          <w:color w:val="auto"/>
          <w:kern w:val="0"/>
          <w:szCs w:val="32"/>
          <w:lang w:val="en-US" w:eastAsia="zh-CN"/>
        </w:rPr>
        <w:t>8</w:t>
      </w:r>
      <w:r>
        <w:rPr>
          <w:rFonts w:hint="eastAsia" w:ascii="仿宋" w:hAnsi="仿宋" w:eastAsia="仿宋" w:cs="仿宋"/>
          <w:color w:val="auto"/>
          <w:kern w:val="0"/>
          <w:szCs w:val="32"/>
        </w:rPr>
        <w:t>万元）。</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年“三公”经费预算与20</w:t>
      </w:r>
      <w:r>
        <w:rPr>
          <w:rFonts w:hint="eastAsia" w:ascii="仿宋" w:hAnsi="仿宋" w:eastAsia="仿宋" w:cs="仿宋"/>
          <w:color w:val="auto"/>
          <w:kern w:val="0"/>
          <w:szCs w:val="32"/>
          <w:lang w:val="en-US" w:eastAsia="zh-CN"/>
        </w:rPr>
        <w:t>20</w:t>
      </w:r>
      <w:r>
        <w:rPr>
          <w:rFonts w:hint="eastAsia" w:ascii="仿宋" w:hAnsi="仿宋" w:eastAsia="仿宋" w:cs="仿宋"/>
          <w:color w:val="auto"/>
          <w:kern w:val="0"/>
          <w:szCs w:val="32"/>
          <w:lang w:eastAsia="zh-CN"/>
        </w:rPr>
        <w:t>年持平。20</w:t>
      </w:r>
      <w:r>
        <w:rPr>
          <w:rFonts w:hint="eastAsia" w:ascii="仿宋" w:hAnsi="仿宋" w:eastAsia="仿宋" w:cs="仿宋"/>
          <w:color w:val="auto"/>
          <w:kern w:val="0"/>
          <w:szCs w:val="32"/>
          <w:lang w:val="en-US" w:eastAsia="zh-CN"/>
        </w:rPr>
        <w:t>20</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w:t>
      </w:r>
      <w:r>
        <w:rPr>
          <w:rFonts w:hint="eastAsia" w:ascii="仿宋" w:hAnsi="仿宋" w:eastAsia="仿宋" w:cs="仿宋"/>
          <w:color w:val="auto"/>
          <w:kern w:val="0"/>
          <w:szCs w:val="32"/>
          <w:lang w:eastAsia="zh-CN"/>
        </w:rPr>
        <w:t>20</w:t>
      </w:r>
      <w:r>
        <w:rPr>
          <w:rFonts w:hint="eastAsia" w:ascii="仿宋" w:hAnsi="仿宋" w:eastAsia="仿宋" w:cs="仿宋"/>
          <w:color w:val="auto"/>
          <w:kern w:val="0"/>
          <w:szCs w:val="32"/>
          <w:lang w:val="en-US" w:eastAsia="zh-CN"/>
        </w:rPr>
        <w:t>21</w:t>
      </w:r>
      <w:r>
        <w:rPr>
          <w:rFonts w:hint="eastAsia" w:ascii="仿宋" w:hAnsi="仿宋" w:eastAsia="仿宋" w:cs="仿宋"/>
          <w:color w:val="auto"/>
          <w:kern w:val="0"/>
          <w:szCs w:val="32"/>
          <w:lang w:eastAsia="zh-CN"/>
        </w:rPr>
        <w:t>年</w:t>
      </w:r>
      <w:r>
        <w:rPr>
          <w:rFonts w:hint="eastAsia" w:ascii="仿宋" w:hAnsi="仿宋" w:eastAsia="仿宋" w:cs="仿宋"/>
          <w:color w:val="auto"/>
          <w:kern w:val="0"/>
          <w:szCs w:val="32"/>
        </w:rPr>
        <w:t>均未安排因公出国经费及公车购置费。</w:t>
      </w:r>
    </w:p>
    <w:p>
      <w:pPr>
        <w:spacing w:line="540" w:lineRule="exact"/>
        <w:ind w:firstLine="640"/>
        <w:rPr>
          <w:rFonts w:hint="eastAsia" w:ascii="黑体" w:hAnsi="黑体" w:eastAsia="黑体" w:cs="Times New Roman"/>
          <w:color w:val="auto"/>
          <w:szCs w:val="32"/>
        </w:rPr>
      </w:pPr>
      <w:r>
        <w:rPr>
          <w:rFonts w:hint="eastAsia" w:ascii="黑体" w:hAnsi="黑体" w:eastAsia="黑体" w:cs="Times New Roman"/>
          <w:color w:val="auto"/>
          <w:szCs w:val="32"/>
        </w:rPr>
        <w:t>五、绩效预算信息情况</w:t>
      </w:r>
    </w:p>
    <w:p>
      <w:pPr>
        <w:widowControl/>
        <w:spacing w:line="540" w:lineRule="exact"/>
        <w:ind w:firstLine="643"/>
        <w:jc w:val="left"/>
        <w:rPr>
          <w:rFonts w:hint="eastAsia" w:ascii="楷体" w:hAnsi="楷体" w:eastAsia="楷体" w:cs="楷体"/>
          <w:b/>
          <w:bCs/>
          <w:color w:val="auto"/>
        </w:rPr>
      </w:pPr>
      <w:r>
        <w:rPr>
          <w:rFonts w:hint="eastAsia" w:ascii="楷体" w:hAnsi="楷体" w:eastAsia="楷体" w:cs="楷体"/>
          <w:b/>
          <w:bCs/>
          <w:color w:val="auto"/>
          <w:szCs w:val="32"/>
        </w:rPr>
        <w:t>总体</w:t>
      </w:r>
      <w:r>
        <w:rPr>
          <w:rFonts w:hint="eastAsia" w:ascii="楷体" w:hAnsi="楷体" w:eastAsia="楷体" w:cs="楷体"/>
          <w:b/>
          <w:bCs/>
          <w:color w:val="auto"/>
          <w:kern w:val="0"/>
          <w:szCs w:val="32"/>
        </w:rPr>
        <w:t>绩效目标：</w:t>
      </w:r>
    </w:p>
    <w:p>
      <w:pPr>
        <w:widowControl/>
        <w:spacing w:line="540" w:lineRule="exact"/>
        <w:ind w:firstLine="643"/>
        <w:jc w:val="left"/>
        <w:rPr>
          <w:rFonts w:hint="eastAsia"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val="0"/>
          <w:bCs w:val="0"/>
          <w:color w:val="auto"/>
          <w:kern w:val="2"/>
          <w:sz w:val="32"/>
          <w:szCs w:val="32"/>
          <w:highlight w:val="none"/>
          <w:lang w:val="en-US" w:eastAsia="zh-CN" w:bidi="ar-SA"/>
        </w:rPr>
        <w:t>2021年全县组织工作坚持以习近平新时代中国特色社会主义思想和党的十九大精神为统领，深入贯彻落实新时代党的建设总要求和新时代党的组织路线，深入贯彻落实全国全省全市组织部长会议精神和省市县委全会精神，把党的政治建设摆在首位，深入巩固“不忘初心、牢记使命”主题教育成果，按照“高质量发展突破年”要求，扎实推进党的组织体系建设、干部队伍建设、人才队伍建设、组织部门自身建设，强化责任担当，狠抓工作落实，着力构建“五个宁晋”、推进高质量发展全面突破提供坚强组织保证。</w:t>
      </w:r>
    </w:p>
    <w:p>
      <w:pPr>
        <w:widowControl/>
        <w:spacing w:line="540" w:lineRule="exact"/>
        <w:ind w:firstLine="643"/>
        <w:jc w:val="left"/>
        <w:rPr>
          <w:rFonts w:hint="eastAsia" w:ascii="楷体" w:hAnsi="楷体" w:eastAsia="楷体" w:cs="楷体"/>
          <w:b/>
          <w:bCs/>
          <w:color w:val="auto"/>
          <w:szCs w:val="32"/>
        </w:rPr>
      </w:pPr>
      <w:r>
        <w:rPr>
          <w:rFonts w:hint="eastAsia" w:ascii="楷体" w:hAnsi="楷体" w:eastAsia="楷体" w:cs="楷体"/>
          <w:b/>
          <w:bCs/>
          <w:color w:val="auto"/>
          <w:szCs w:val="32"/>
        </w:rPr>
        <w:t>职责分类绩效目标：</w:t>
      </w:r>
    </w:p>
    <w:p>
      <w:pPr>
        <w:widowControl/>
        <w:spacing w:line="540" w:lineRule="exact"/>
        <w:ind w:firstLine="643"/>
        <w:jc w:val="left"/>
        <w:rPr>
          <w:rFonts w:hint="eastAsia" w:ascii="仿宋" w:hAnsi="仿宋" w:eastAsia="仿宋" w:cs="仿宋"/>
          <w:color w:val="auto"/>
          <w:kern w:val="0"/>
          <w:szCs w:val="32"/>
        </w:rPr>
      </w:pPr>
      <w:r>
        <w:rPr>
          <w:rFonts w:hint="eastAsia" w:ascii="仿宋" w:hAnsi="仿宋" w:eastAsia="仿宋" w:cs="仿宋"/>
          <w:color w:val="auto"/>
          <w:kern w:val="0"/>
          <w:szCs w:val="32"/>
          <w:lang w:val="en-US" w:eastAsia="zh-CN"/>
        </w:rPr>
        <w:t>一、着力强化政治建设，深入巩固“不忘初心、牢记使命”主题教育成果，锤炼党员干部队伍过硬政治素质</w:t>
      </w:r>
      <w:r>
        <w:rPr>
          <w:rFonts w:hint="eastAsia" w:ascii="仿宋" w:hAnsi="仿宋" w:eastAsia="仿宋" w:cs="仿宋"/>
          <w:color w:val="auto"/>
          <w:kern w:val="0"/>
          <w:szCs w:val="32"/>
        </w:rPr>
        <w:t>。</w:t>
      </w:r>
    </w:p>
    <w:p>
      <w:pPr>
        <w:widowControl/>
        <w:spacing w:line="540" w:lineRule="exact"/>
        <w:ind w:firstLine="643"/>
        <w:jc w:val="left"/>
        <w:rPr>
          <w:rFonts w:hint="eastAsia" w:ascii="仿宋" w:hAnsi="仿宋" w:eastAsia="仿宋" w:cs="仿宋"/>
          <w:color w:val="auto"/>
          <w:kern w:val="0"/>
          <w:szCs w:val="32"/>
          <w:lang w:val="en-US" w:eastAsia="zh-CN"/>
        </w:rPr>
      </w:pPr>
      <w:r>
        <w:rPr>
          <w:rFonts w:hint="eastAsia" w:ascii="仿宋" w:hAnsi="仿宋" w:eastAsia="仿宋" w:cs="仿宋"/>
          <w:color w:val="auto"/>
          <w:kern w:val="0"/>
          <w:szCs w:val="32"/>
          <w:lang w:val="en-US" w:eastAsia="zh-CN"/>
        </w:rPr>
        <w:t>二、着力强化基层组织建设，深入推进“基层党建质量提升年”活动，全面提升基层党组织组织力。</w:t>
      </w:r>
    </w:p>
    <w:p>
      <w:pPr>
        <w:widowControl/>
        <w:spacing w:line="540" w:lineRule="exact"/>
        <w:ind w:firstLine="643"/>
        <w:jc w:val="left"/>
        <w:rPr>
          <w:rFonts w:hint="eastAsia" w:ascii="仿宋" w:hAnsi="仿宋" w:eastAsia="仿宋" w:cs="仿宋"/>
          <w:color w:val="auto"/>
          <w:kern w:val="0"/>
          <w:szCs w:val="32"/>
          <w:lang w:val="en-US" w:eastAsia="zh-CN"/>
        </w:rPr>
      </w:pPr>
      <w:r>
        <w:rPr>
          <w:rFonts w:hint="eastAsia" w:ascii="仿宋" w:hAnsi="仿宋" w:eastAsia="仿宋" w:cs="仿宋"/>
          <w:color w:val="auto"/>
          <w:kern w:val="0"/>
          <w:szCs w:val="32"/>
          <w:lang w:val="en-US" w:eastAsia="zh-CN"/>
        </w:rPr>
        <w:t>三、着力强化干部队伍建设，加大“双跨”干部队伍建设力度，充分激发干事创业的原动力。</w:t>
      </w:r>
    </w:p>
    <w:p>
      <w:pPr>
        <w:widowControl/>
        <w:spacing w:line="540" w:lineRule="exact"/>
        <w:ind w:firstLine="643"/>
        <w:jc w:val="left"/>
        <w:rPr>
          <w:rFonts w:hint="eastAsia" w:ascii="仿宋" w:hAnsi="仿宋" w:eastAsia="仿宋" w:cs="仿宋"/>
          <w:color w:val="auto"/>
          <w:kern w:val="0"/>
          <w:szCs w:val="32"/>
          <w:lang w:val="en-US" w:eastAsia="zh-CN"/>
        </w:rPr>
      </w:pPr>
      <w:r>
        <w:rPr>
          <w:rFonts w:hint="eastAsia" w:ascii="仿宋" w:hAnsi="仿宋" w:eastAsia="仿宋" w:cs="仿宋"/>
          <w:color w:val="auto"/>
          <w:kern w:val="0"/>
          <w:szCs w:val="32"/>
          <w:lang w:val="en-US" w:eastAsia="zh-CN"/>
        </w:rPr>
        <w:t>四、着力建设人才集聚新高地，全面实施“人才强县”战略，打造最优人才生态县。</w:t>
      </w:r>
    </w:p>
    <w:p>
      <w:pPr>
        <w:widowControl/>
        <w:spacing w:line="540" w:lineRule="exact"/>
        <w:ind w:firstLine="643"/>
        <w:jc w:val="left"/>
        <w:rPr>
          <w:rFonts w:hint="eastAsia" w:ascii="仿宋" w:hAnsi="仿宋" w:eastAsia="仿宋" w:cs="仿宋"/>
          <w:color w:val="auto"/>
          <w:kern w:val="0"/>
          <w:szCs w:val="32"/>
          <w:lang w:val="en-US" w:eastAsia="zh-CN"/>
        </w:rPr>
      </w:pPr>
      <w:r>
        <w:rPr>
          <w:rFonts w:hint="eastAsia" w:ascii="仿宋" w:hAnsi="仿宋" w:eastAsia="仿宋" w:cs="仿宋"/>
          <w:color w:val="auto"/>
          <w:kern w:val="0"/>
          <w:szCs w:val="32"/>
          <w:lang w:val="en-US" w:eastAsia="zh-CN"/>
        </w:rPr>
        <w:t>五、切实加强组织部门自身建设，打造“标准化、规范化、智慧化”样板机关，全面提升组织工作运行质量。</w:t>
      </w:r>
    </w:p>
    <w:p>
      <w:pPr>
        <w:widowControl/>
        <w:spacing w:line="540" w:lineRule="exact"/>
        <w:ind w:firstLine="643"/>
        <w:jc w:val="left"/>
        <w:rPr>
          <w:rFonts w:hint="eastAsia" w:ascii="楷体" w:hAnsi="楷体" w:eastAsia="楷体" w:cs="楷体"/>
          <w:b/>
          <w:bCs/>
          <w:color w:val="auto"/>
          <w:szCs w:val="32"/>
        </w:rPr>
      </w:pPr>
      <w:r>
        <w:rPr>
          <w:rFonts w:hint="eastAsia" w:ascii="楷体" w:hAnsi="楷体" w:eastAsia="楷体" w:cs="楷体"/>
          <w:b/>
          <w:bCs/>
          <w:color w:val="auto"/>
          <w:szCs w:val="32"/>
        </w:rPr>
        <w:t>实现年度发展规划目标的保障措施</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（一）抓好“不忘初心、牢记使命”主题教育成果巩固。</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（二）抓好大规模干部培训和理论武装工作。</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（三）抓好党内政治生活的从严从实规范。</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（四）实施基层党建质量提升行动。</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（五）实施基层党组织全覆盖行动。</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（六）实施集体经济提档升级行动。</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（七）实施党建助力脱贫攻坚行动。</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（八）实施党员队伍先锋引领行动。</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（九）坚持正确用人导向，持续优化干部队伍结构。</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（十）聚焦科学选人用人，健全完善知人识人体系。</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（十一）从严抓实监督管理，打造齐抓共管监管格局。</w:t>
      </w:r>
    </w:p>
    <w:p>
      <w:pPr>
        <w:rPr>
          <w:rFonts w:hint="eastAsia" w:ascii="仿宋" w:hAnsi="仿宋" w:eastAsia="仿宋" w:cs="仿宋"/>
          <w:b w:val="0"/>
          <w:bCs w:val="0"/>
        </w:rPr>
      </w:pPr>
      <w:r>
        <w:rPr>
          <w:rFonts w:hint="eastAsia" w:ascii="仿宋" w:hAnsi="仿宋" w:eastAsia="仿宋" w:cs="仿宋"/>
          <w:b w:val="0"/>
          <w:bCs w:val="0"/>
          <w:color w:val="000000"/>
          <w:kern w:val="2"/>
          <w:sz w:val="32"/>
          <w:szCs w:val="32"/>
          <w:lang w:val="en-US" w:eastAsia="zh-CN" w:bidi="ar-SA"/>
        </w:rPr>
        <w:t>（十二）强化正向激励作用，激发干事创业生机活力。</w:t>
      </w:r>
    </w:p>
    <w:p>
      <w:pPr>
        <w:rPr>
          <w:rFonts w:hint="eastAsia" w:ascii="仿宋" w:hAnsi="仿宋" w:eastAsia="仿宋" w:cs="仿宋"/>
          <w:b w:val="0"/>
          <w:bCs w:val="0"/>
        </w:rPr>
      </w:pPr>
      <w:r>
        <w:rPr>
          <w:rFonts w:hint="eastAsia" w:ascii="仿宋" w:hAnsi="仿宋" w:eastAsia="仿宋" w:cs="仿宋"/>
          <w:b w:val="0"/>
          <w:bCs w:val="0"/>
          <w:color w:val="000000" w:themeColor="text1"/>
          <w:spacing w:val="0"/>
          <w:sz w:val="32"/>
          <w:szCs w:val="32"/>
          <w:lang w:val="en-US" w:eastAsia="zh-CN"/>
          <w14:textFill>
            <w14:solidFill>
              <w14:schemeClr w14:val="tx1"/>
            </w14:solidFill>
          </w14:textFill>
        </w:rPr>
        <w:t>（十三）强化干部考核工作，推动形成创先争优热潮。</w:t>
      </w:r>
    </w:p>
    <w:p>
      <w:pPr>
        <w:rPr>
          <w:rFonts w:hint="eastAsia" w:ascii="仿宋" w:hAnsi="仿宋" w:eastAsia="仿宋" w:cs="仿宋"/>
          <w:b w:val="0"/>
          <w:bCs w:val="0"/>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（十四）健全完善工作体系，切实加强公务员队伍建设。</w:t>
      </w:r>
    </w:p>
    <w:p>
      <w:pPr>
        <w:rPr>
          <w:rFonts w:hint="eastAsia" w:ascii="仿宋" w:hAnsi="仿宋" w:eastAsia="仿宋" w:cs="仿宋"/>
          <w:b w:val="0"/>
          <w:bCs w:val="0"/>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（十五）全面优化人才工作运行机制。</w:t>
      </w:r>
    </w:p>
    <w:p>
      <w:pPr>
        <w:rPr>
          <w:rFonts w:hint="eastAsia" w:ascii="仿宋" w:hAnsi="仿宋" w:eastAsia="仿宋" w:cs="仿宋"/>
          <w:b w:val="0"/>
          <w:bCs w:val="0"/>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（十六）全方位引进各类人才。</w:t>
      </w:r>
    </w:p>
    <w:p>
      <w:pPr>
        <w:rPr>
          <w:rFonts w:hint="eastAsia" w:ascii="仿宋" w:hAnsi="仿宋" w:eastAsia="仿宋" w:cs="仿宋"/>
          <w:b w:val="0"/>
          <w:bCs w:val="0"/>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（十七）深层次培育本土优秀人才。</w:t>
      </w:r>
    </w:p>
    <w:p>
      <w:pPr>
        <w:rPr>
          <w:rFonts w:hint="eastAsia" w:ascii="仿宋" w:hAnsi="仿宋" w:eastAsia="仿宋" w:cs="仿宋"/>
          <w:b w:val="0"/>
          <w:bCs w:val="0"/>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（十八）高标准打造人才发展平台。</w:t>
      </w:r>
    </w:p>
    <w:p>
      <w:pPr>
        <w:rPr>
          <w:rFonts w:hint="eastAsia" w:ascii="仿宋" w:hAnsi="仿宋" w:eastAsia="仿宋" w:cs="仿宋"/>
          <w:b w:val="0"/>
          <w:bCs w:val="0"/>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（十九）大力度健全人才激励政策。</w:t>
      </w:r>
    </w:p>
    <w:p>
      <w:pPr>
        <w:rPr>
          <w:rFonts w:hint="eastAsia" w:ascii="仿宋" w:hAnsi="仿宋" w:eastAsia="仿宋" w:cs="仿宋"/>
          <w:b w:val="0"/>
          <w:bCs w:val="0"/>
        </w:rPr>
      </w:pPr>
      <w:r>
        <w:rPr>
          <w:rFonts w:hint="eastAsia" w:ascii="仿宋" w:hAnsi="仿宋" w:eastAsia="仿宋" w:cs="仿宋"/>
          <w:b w:val="0"/>
          <w:bCs w:val="0"/>
          <w:sz w:val="32"/>
          <w:szCs w:val="32"/>
          <w:lang w:val="en-US" w:eastAsia="zh-CN"/>
        </w:rPr>
        <w:t>（二十）建设“标准化、规范化、智慧化”样板机关。</w:t>
      </w:r>
    </w:p>
    <w:p>
      <w:pPr>
        <w:rPr>
          <w:rFonts w:hint="eastAsia" w:ascii="仿宋" w:hAnsi="仿宋" w:eastAsia="仿宋" w:cs="仿宋"/>
          <w:b w:val="0"/>
          <w:bCs w:val="0"/>
        </w:rPr>
      </w:pPr>
      <w:r>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t>（二十一）更加用心用情做好老干部工作。</w:t>
      </w:r>
    </w:p>
    <w:p>
      <w:pPr>
        <w:rPr>
          <w:rFonts w:hint="eastAsia" w:ascii="仿宋" w:hAnsi="仿宋" w:eastAsia="仿宋" w:cs="仿宋"/>
          <w:b w:val="0"/>
          <w:bCs w:val="0"/>
        </w:rPr>
      </w:pPr>
      <w:r>
        <w:rPr>
          <w:rFonts w:hint="eastAsia" w:ascii="仿宋" w:hAnsi="仿宋" w:eastAsia="仿宋" w:cs="仿宋"/>
          <w:b w:val="0"/>
          <w:bCs w:val="0"/>
          <w:sz w:val="32"/>
          <w:szCs w:val="32"/>
          <w:lang w:val="en-US" w:eastAsia="zh-CN"/>
        </w:rPr>
        <w:t>（二十二）</w:t>
      </w:r>
      <w:r>
        <w:rPr>
          <w:rFonts w:hint="eastAsia" w:ascii="仿宋" w:hAnsi="仿宋" w:eastAsia="仿宋" w:cs="仿宋"/>
          <w:b w:val="0"/>
          <w:bCs w:val="0"/>
          <w:sz w:val="32"/>
          <w:szCs w:val="32"/>
        </w:rPr>
        <w:t>统筹推进其他工作。</w:t>
      </w:r>
    </w:p>
    <w:p>
      <w:pPr>
        <w:widowControl/>
        <w:spacing w:line="540" w:lineRule="exact"/>
        <w:ind w:firstLine="643"/>
        <w:jc w:val="left"/>
        <w:sectPr>
          <w:headerReference r:id="rId5" w:type="default"/>
          <w:footerReference r:id="rId6" w:type="default"/>
          <w:pgSz w:w="16838" w:h="11906" w:orient="landscape"/>
          <w:pgMar w:top="1588" w:right="2155" w:bottom="1531" w:left="1588" w:header="0" w:footer="1588" w:gutter="0"/>
          <w:pgBorders>
            <w:top w:val="none" w:sz="0" w:space="0"/>
            <w:left w:val="none" w:sz="0" w:space="0"/>
            <w:bottom w:val="none" w:sz="0" w:space="0"/>
            <w:right w:val="none" w:sz="0" w:space="0"/>
          </w:pgBorders>
          <w:cols w:space="720" w:num="1"/>
          <w:docGrid w:type="linesAndChars" w:linePitch="569" w:charSpace="-1266"/>
        </w:sectPr>
      </w:pPr>
      <w:r>
        <w:rPr>
          <w:rFonts w:ascii="宋体" w:hAnsi="宋体" w:eastAsia="宋体" w:cs="宋体"/>
          <w:b/>
          <w:color w:val="auto"/>
          <w:kern w:val="0"/>
          <w:szCs w:val="32"/>
        </w:rPr>
        <w:t>“部门职责-工作活动”绩效目标指标明细表详见</w:t>
      </w:r>
      <w:r>
        <w:rPr>
          <w:rFonts w:hint="eastAsia" w:ascii="宋体" w:hAnsi="宋体" w:eastAsia="宋体" w:cs="宋体"/>
          <w:b/>
          <w:color w:val="auto"/>
          <w:kern w:val="0"/>
          <w:szCs w:val="32"/>
        </w:rPr>
        <w:t>下表</w:t>
      </w:r>
    </w:p>
    <w:tbl>
      <w:tblPr>
        <w:tblStyle w:val="7"/>
        <w:tblW w:w="13034" w:type="dxa"/>
        <w:tblInd w:w="89" w:type="dxa"/>
        <w:shd w:val="clear" w:color="auto" w:fill="auto"/>
        <w:tblLayout w:type="fixed"/>
        <w:tblCellMar>
          <w:top w:w="0" w:type="dxa"/>
          <w:left w:w="0" w:type="dxa"/>
          <w:bottom w:w="0" w:type="dxa"/>
          <w:right w:w="0" w:type="dxa"/>
        </w:tblCellMar>
      </w:tblPr>
      <w:tblGrid>
        <w:gridCol w:w="870"/>
        <w:gridCol w:w="1125"/>
        <w:gridCol w:w="1770"/>
        <w:gridCol w:w="1665"/>
        <w:gridCol w:w="1575"/>
        <w:gridCol w:w="1950"/>
        <w:gridCol w:w="450"/>
        <w:gridCol w:w="630"/>
        <w:gridCol w:w="1200"/>
        <w:gridCol w:w="1799"/>
      </w:tblGrid>
      <w:tr>
        <w:tblPrEx>
          <w:shd w:val="clear" w:color="auto" w:fill="auto"/>
          <w:tblCellMar>
            <w:top w:w="0" w:type="dxa"/>
            <w:left w:w="0" w:type="dxa"/>
            <w:bottom w:w="0" w:type="dxa"/>
            <w:right w:w="0" w:type="dxa"/>
          </w:tblCellMar>
        </w:tblPrEx>
        <w:trPr>
          <w:trHeight w:val="600" w:hRule="atLeast"/>
        </w:trPr>
        <w:tc>
          <w:tcPr>
            <w:tcW w:w="13034" w:type="dxa"/>
            <w:gridSpan w:val="10"/>
            <w:tcBorders>
              <w:top w:val="nil"/>
              <w:left w:val="nil"/>
              <w:bottom w:val="single" w:color="auto" w:sz="4" w:space="0"/>
              <w:right w:val="nil"/>
            </w:tcBorders>
            <w:shd w:val="clear" w:color="auto" w:fill="D3DCE9"/>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部门整体支出绩效指标情况</w:t>
            </w:r>
          </w:p>
        </w:tc>
      </w:tr>
      <w:tr>
        <w:tblPrEx>
          <w:tblCellMar>
            <w:top w:w="0" w:type="dxa"/>
            <w:left w:w="0" w:type="dxa"/>
            <w:bottom w:w="0" w:type="dxa"/>
            <w:right w:w="0" w:type="dxa"/>
          </w:tblCellMar>
        </w:tblPrEx>
        <w:trPr>
          <w:trHeight w:val="37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770"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66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5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1950"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228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79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CellMar>
            <w:top w:w="0" w:type="dxa"/>
            <w:left w:w="0" w:type="dxa"/>
            <w:bottom w:w="0" w:type="dxa"/>
            <w:right w:w="0" w:type="dxa"/>
          </w:tblCellMar>
        </w:tblPrEx>
        <w:trPr>
          <w:trHeight w:val="37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5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950"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79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r>
      <w:tr>
        <w:tblPrEx>
          <w:tblCellMar>
            <w:top w:w="0" w:type="dxa"/>
            <w:left w:w="0" w:type="dxa"/>
            <w:bottom w:w="0" w:type="dxa"/>
            <w:right w:w="0" w:type="dxa"/>
          </w:tblCellMar>
        </w:tblPrEx>
        <w:trPr>
          <w:trHeight w:val="87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绩效评价报告好坏程度</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绩效评价报告好坏程度</w:t>
            </w:r>
          </w:p>
        </w:tc>
      </w:tr>
      <w:tr>
        <w:tblPrEx>
          <w:tblCellMar>
            <w:top w:w="0" w:type="dxa"/>
            <w:left w:w="0" w:type="dxa"/>
            <w:bottom w:w="0" w:type="dxa"/>
            <w:right w:w="0" w:type="dxa"/>
          </w:tblCellMar>
        </w:tblPrEx>
        <w:trPr>
          <w:trHeight w:val="66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发放金额</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是否按标准发放</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按标准发放</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按标准发放</w:t>
            </w:r>
          </w:p>
        </w:tc>
      </w:tr>
      <w:tr>
        <w:tblPrEx>
          <w:tblCellMar>
            <w:top w:w="0" w:type="dxa"/>
            <w:left w:w="0" w:type="dxa"/>
            <w:bottom w:w="0" w:type="dxa"/>
            <w:right w:w="0" w:type="dxa"/>
          </w:tblCellMar>
        </w:tblPrEx>
        <w:trPr>
          <w:trHeight w:val="60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及时性</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r>
      <w:tr>
        <w:tblPrEx>
          <w:tblCellMar>
            <w:top w:w="0" w:type="dxa"/>
            <w:left w:w="0" w:type="dxa"/>
            <w:bottom w:w="0" w:type="dxa"/>
            <w:right w:w="0" w:type="dxa"/>
          </w:tblCellMar>
        </w:tblPrEx>
        <w:trPr>
          <w:trHeight w:val="60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严格控制成本，不超出项目预算数</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严格控制项目支出</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是否严格控制项目支出</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是否严格控制项目支出</w:t>
            </w:r>
          </w:p>
        </w:tc>
      </w:tr>
      <w:tr>
        <w:tblPrEx>
          <w:tblCellMar>
            <w:top w:w="0" w:type="dxa"/>
            <w:left w:w="0" w:type="dxa"/>
            <w:bottom w:w="0" w:type="dxa"/>
            <w:right w:w="0" w:type="dxa"/>
          </w:tblCellMar>
        </w:tblPrEx>
        <w:trPr>
          <w:trHeight w:val="68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长期使用性</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r>
      <w:tr>
        <w:tblPrEx>
          <w:tblCellMar>
            <w:top w:w="0" w:type="dxa"/>
            <w:left w:w="0" w:type="dxa"/>
            <w:bottom w:w="0" w:type="dxa"/>
            <w:right w:w="0" w:type="dxa"/>
          </w:tblCellMar>
        </w:tblPrEx>
        <w:trPr>
          <w:trHeight w:val="66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r>
      <w:tr>
        <w:tblPrEx>
          <w:tblCellMar>
            <w:top w:w="0" w:type="dxa"/>
            <w:left w:w="0" w:type="dxa"/>
            <w:bottom w:w="0" w:type="dxa"/>
            <w:right w:w="0" w:type="dxa"/>
          </w:tblCellMar>
        </w:tblPrEx>
        <w:trPr>
          <w:trHeight w:val="102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r>
      <w:tr>
        <w:tblPrEx>
          <w:tblCellMar>
            <w:top w:w="0" w:type="dxa"/>
            <w:left w:w="0" w:type="dxa"/>
            <w:bottom w:w="0" w:type="dxa"/>
            <w:right w:w="0" w:type="dxa"/>
          </w:tblCellMar>
        </w:tblPrEx>
        <w:trPr>
          <w:trHeight w:val="62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r>
      <w:tr>
        <w:tblPrEx>
          <w:tblCellMar>
            <w:top w:w="0" w:type="dxa"/>
            <w:left w:w="0" w:type="dxa"/>
            <w:bottom w:w="0" w:type="dxa"/>
            <w:right w:w="0" w:type="dxa"/>
          </w:tblCellMar>
        </w:tblPrEx>
        <w:trPr>
          <w:trHeight w:val="76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w:t>
            </w:r>
          </w:p>
        </w:tc>
        <w:tc>
          <w:tcPr>
            <w:tcW w:w="11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r>
    </w:tbl>
    <w:p>
      <w:pPr>
        <w:widowControl/>
        <w:jc w:val="left"/>
        <w:rPr>
          <w:rFonts w:hint="eastAsia" w:ascii="宋体" w:hAnsi="宋体" w:eastAsia="宋体" w:cs="宋体"/>
          <w:b/>
          <w:color w:val="auto"/>
          <w:kern w:val="0"/>
          <w:szCs w:val="32"/>
        </w:rPr>
      </w:pPr>
    </w:p>
    <w:p>
      <w:pPr>
        <w:widowControl/>
        <w:ind w:firstLine="643" w:firstLineChars="200"/>
        <w:jc w:val="left"/>
        <w:rPr>
          <w:rFonts w:ascii="宋体" w:hAnsi="宋体" w:eastAsia="宋体" w:cs="宋体"/>
          <w:b/>
          <w:color w:val="auto"/>
          <w:szCs w:val="32"/>
        </w:rPr>
      </w:pPr>
      <w:r>
        <w:rPr>
          <w:rFonts w:hint="eastAsia" w:ascii="宋体" w:hAnsi="宋体" w:eastAsia="宋体" w:cs="宋体"/>
          <w:b/>
          <w:color w:val="auto"/>
          <w:kern w:val="0"/>
          <w:szCs w:val="32"/>
        </w:rPr>
        <w:t>六、政府采购预算情况</w:t>
      </w:r>
    </w:p>
    <w:p>
      <w:pPr>
        <w:spacing w:line="560" w:lineRule="exact"/>
        <w:ind w:firstLine="640" w:firstLineChars="200"/>
        <w:rPr>
          <w:rFonts w:hint="eastAsia" w:ascii="宋体" w:hAnsi="宋体" w:eastAsia="宋体" w:cs="宋体"/>
          <w:color w:val="auto"/>
          <w:szCs w:val="32"/>
          <w:highlight w:val="none"/>
        </w:rPr>
      </w:pPr>
      <w:r>
        <w:rPr>
          <w:rFonts w:hint="eastAsia" w:ascii="宋体" w:hAnsi="宋体" w:eastAsia="宋体" w:cs="宋体"/>
          <w:color w:val="auto"/>
          <w:szCs w:val="32"/>
          <w:highlight w:val="none"/>
        </w:rPr>
        <w:t>我单位</w:t>
      </w:r>
      <w:r>
        <w:rPr>
          <w:rFonts w:hint="eastAsia" w:ascii="宋体" w:hAnsi="宋体" w:eastAsia="宋体" w:cs="宋体"/>
          <w:color w:val="auto"/>
          <w:szCs w:val="32"/>
          <w:highlight w:val="none"/>
          <w:lang w:eastAsia="zh-CN"/>
        </w:rPr>
        <w:t>20</w:t>
      </w:r>
      <w:r>
        <w:rPr>
          <w:rFonts w:hint="eastAsia" w:ascii="宋体" w:hAnsi="宋体" w:eastAsia="宋体" w:cs="宋体"/>
          <w:color w:val="auto"/>
          <w:szCs w:val="32"/>
          <w:highlight w:val="none"/>
          <w:lang w:val="en-US" w:eastAsia="zh-CN"/>
        </w:rPr>
        <w:t>20</w:t>
      </w:r>
      <w:r>
        <w:rPr>
          <w:rFonts w:hint="eastAsia" w:ascii="宋体" w:hAnsi="宋体" w:eastAsia="宋体" w:cs="宋体"/>
          <w:color w:val="auto"/>
          <w:szCs w:val="32"/>
          <w:highlight w:val="none"/>
          <w:lang w:eastAsia="zh-CN"/>
        </w:rPr>
        <w:t>年</w:t>
      </w:r>
      <w:r>
        <w:rPr>
          <w:rFonts w:hint="eastAsia" w:ascii="宋体" w:hAnsi="宋体" w:eastAsia="宋体" w:cs="宋体"/>
          <w:color w:val="auto"/>
          <w:szCs w:val="32"/>
          <w:highlight w:val="none"/>
        </w:rPr>
        <w:t>部门预算政府采购涉及金额</w:t>
      </w:r>
      <w:r>
        <w:rPr>
          <w:rFonts w:hint="eastAsia" w:ascii="宋体" w:hAnsi="宋体" w:eastAsia="宋体" w:cs="宋体"/>
          <w:color w:val="auto"/>
          <w:szCs w:val="32"/>
          <w:highlight w:val="none"/>
          <w:lang w:val="en-US" w:eastAsia="zh-CN"/>
        </w:rPr>
        <w:t>110</w:t>
      </w:r>
      <w:r>
        <w:rPr>
          <w:rFonts w:hint="eastAsia" w:ascii="宋体" w:hAnsi="宋体" w:eastAsia="宋体" w:cs="宋体"/>
          <w:color w:val="auto"/>
          <w:szCs w:val="32"/>
          <w:highlight w:val="none"/>
        </w:rPr>
        <w:t>万元，</w:t>
      </w:r>
      <w:r>
        <w:rPr>
          <w:rFonts w:hint="eastAsia" w:ascii="宋体" w:hAnsi="宋体" w:eastAsia="宋体" w:cs="宋体"/>
          <w:color w:val="auto"/>
          <w:szCs w:val="32"/>
          <w:highlight w:val="none"/>
          <w:lang w:eastAsia="zh-CN"/>
        </w:rPr>
        <w:t>为</w:t>
      </w:r>
      <w:r>
        <w:rPr>
          <w:rFonts w:hint="eastAsia" w:ascii="宋体" w:hAnsi="宋体" w:eastAsia="宋体" w:cs="宋体"/>
          <w:color w:val="auto"/>
          <w:szCs w:val="32"/>
          <w:highlight w:val="none"/>
        </w:rPr>
        <w:t>货物类采购，主要用于离退休干部节日慰问品。明细采购目录详见下表。</w:t>
      </w:r>
    </w:p>
    <w:p>
      <w:pPr>
        <w:pStyle w:val="2"/>
        <w:rPr>
          <w:highlight w:val="yellow"/>
        </w:rPr>
      </w:pPr>
    </w:p>
    <w:tbl>
      <w:tblPr>
        <w:tblStyle w:val="7"/>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color w:val="auto"/>
                <w:sz w:val="22"/>
                <w:szCs w:val="22"/>
              </w:rPr>
            </w:pPr>
            <w:r>
              <w:rPr>
                <w:rFonts w:ascii="方正小标宋_GBK" w:eastAsia="方正小标宋_GBK"/>
                <w:color w:val="auto"/>
                <w:sz w:val="22"/>
                <w:szCs w:val="22"/>
              </w:rPr>
              <w:t>203</w:t>
            </w:r>
            <w:r>
              <w:rPr>
                <w:rFonts w:hint="eastAsia" w:ascii="方正小标宋_GBK" w:eastAsia="方正小标宋_GBK"/>
                <w:color w:val="auto"/>
                <w:sz w:val="22"/>
                <w:szCs w:val="22"/>
              </w:rPr>
              <w:t>中国共产党宁晋县委员会组织部</w:t>
            </w:r>
          </w:p>
        </w:tc>
        <w:tc>
          <w:tcPr>
            <w:tcW w:w="6693" w:type="dxa"/>
            <w:gridSpan w:val="7"/>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3547" w:type="dxa"/>
            <w:gridSpan w:val="2"/>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政府采购项目来源</w:t>
            </w:r>
          </w:p>
        </w:tc>
        <w:tc>
          <w:tcPr>
            <w:tcW w:w="974"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采购物品名称</w:t>
            </w:r>
          </w:p>
        </w:tc>
        <w:tc>
          <w:tcPr>
            <w:tcW w:w="986"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政府采购目录序号</w:t>
            </w:r>
          </w:p>
        </w:tc>
        <w:tc>
          <w:tcPr>
            <w:tcW w:w="760"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数量</w:t>
            </w:r>
            <w:r>
              <w:rPr>
                <w:rFonts w:ascii="方正书宋_GBK" w:eastAsia="方正书宋_GBK"/>
                <w:b/>
                <w:color w:val="auto"/>
                <w:sz w:val="22"/>
                <w:szCs w:val="22"/>
              </w:rPr>
              <w:t xml:space="preserve">  </w:t>
            </w:r>
            <w:r>
              <w:rPr>
                <w:rFonts w:hint="eastAsia" w:ascii="方正书宋_GBK" w:eastAsia="方正书宋_GBK"/>
                <w:b/>
                <w:color w:val="auto"/>
                <w:sz w:val="22"/>
                <w:szCs w:val="22"/>
              </w:rPr>
              <w:t>单位</w:t>
            </w:r>
          </w:p>
        </w:tc>
        <w:tc>
          <w:tcPr>
            <w:tcW w:w="760"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数量</w:t>
            </w:r>
          </w:p>
        </w:tc>
        <w:tc>
          <w:tcPr>
            <w:tcW w:w="848"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单价</w:t>
            </w:r>
          </w:p>
        </w:tc>
        <w:tc>
          <w:tcPr>
            <w:tcW w:w="6693" w:type="dxa"/>
            <w:gridSpan w:val="7"/>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2" w:hRule="atLeast"/>
          <w:tblHeader/>
          <w:jc w:val="center"/>
        </w:trPr>
        <w:tc>
          <w:tcPr>
            <w:tcW w:w="2448"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项目名称</w:t>
            </w:r>
          </w:p>
        </w:tc>
        <w:tc>
          <w:tcPr>
            <w:tcW w:w="1099"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预算资金</w:t>
            </w:r>
          </w:p>
        </w:tc>
        <w:tc>
          <w:tcPr>
            <w:tcW w:w="974" w:type="dxa"/>
            <w:vMerge w:val="continue"/>
            <w:noWrap w:val="0"/>
            <w:vAlign w:val="center"/>
          </w:tcPr>
          <w:p>
            <w:pPr>
              <w:spacing w:line="300" w:lineRule="exact"/>
              <w:jc w:val="left"/>
              <w:outlineLvl w:val="0"/>
              <w:rPr>
                <w:color w:val="auto"/>
                <w:sz w:val="22"/>
                <w:szCs w:val="22"/>
              </w:rPr>
            </w:pPr>
          </w:p>
        </w:tc>
        <w:tc>
          <w:tcPr>
            <w:tcW w:w="986"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848" w:type="dxa"/>
            <w:vMerge w:val="continue"/>
            <w:noWrap w:val="0"/>
            <w:vAlign w:val="center"/>
          </w:tcPr>
          <w:p>
            <w:pPr>
              <w:spacing w:line="300" w:lineRule="exact"/>
              <w:jc w:val="left"/>
              <w:outlineLvl w:val="0"/>
              <w:rPr>
                <w:color w:val="auto"/>
                <w:sz w:val="22"/>
                <w:szCs w:val="22"/>
              </w:rPr>
            </w:pPr>
          </w:p>
        </w:tc>
        <w:tc>
          <w:tcPr>
            <w:tcW w:w="961"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总计</w:t>
            </w:r>
          </w:p>
        </w:tc>
        <w:tc>
          <w:tcPr>
            <w:tcW w:w="4811" w:type="dxa"/>
            <w:gridSpan w:val="5"/>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当年部门预算安排资金</w:t>
            </w:r>
          </w:p>
        </w:tc>
        <w:tc>
          <w:tcPr>
            <w:tcW w:w="921"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noWrap w:val="0"/>
            <w:vAlign w:val="center"/>
          </w:tcPr>
          <w:p>
            <w:pPr>
              <w:spacing w:line="300" w:lineRule="exact"/>
              <w:jc w:val="left"/>
              <w:outlineLvl w:val="0"/>
              <w:rPr>
                <w:color w:val="auto"/>
                <w:sz w:val="22"/>
                <w:szCs w:val="22"/>
              </w:rPr>
            </w:pPr>
          </w:p>
        </w:tc>
        <w:tc>
          <w:tcPr>
            <w:tcW w:w="1099" w:type="dxa"/>
            <w:vMerge w:val="continue"/>
            <w:noWrap w:val="0"/>
            <w:vAlign w:val="center"/>
          </w:tcPr>
          <w:p>
            <w:pPr>
              <w:spacing w:line="300" w:lineRule="exact"/>
              <w:jc w:val="left"/>
              <w:outlineLvl w:val="0"/>
              <w:rPr>
                <w:color w:val="auto"/>
                <w:sz w:val="22"/>
                <w:szCs w:val="22"/>
              </w:rPr>
            </w:pPr>
          </w:p>
        </w:tc>
        <w:tc>
          <w:tcPr>
            <w:tcW w:w="974" w:type="dxa"/>
            <w:vMerge w:val="continue"/>
            <w:noWrap w:val="0"/>
            <w:vAlign w:val="center"/>
          </w:tcPr>
          <w:p>
            <w:pPr>
              <w:spacing w:line="300" w:lineRule="exact"/>
              <w:jc w:val="left"/>
              <w:outlineLvl w:val="0"/>
              <w:rPr>
                <w:color w:val="auto"/>
                <w:sz w:val="22"/>
                <w:szCs w:val="22"/>
              </w:rPr>
            </w:pPr>
          </w:p>
        </w:tc>
        <w:tc>
          <w:tcPr>
            <w:tcW w:w="986"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848" w:type="dxa"/>
            <w:vMerge w:val="continue"/>
            <w:noWrap w:val="0"/>
            <w:vAlign w:val="center"/>
          </w:tcPr>
          <w:p>
            <w:pPr>
              <w:spacing w:line="300" w:lineRule="exact"/>
              <w:jc w:val="left"/>
              <w:outlineLvl w:val="0"/>
              <w:rPr>
                <w:color w:val="auto"/>
                <w:sz w:val="22"/>
                <w:szCs w:val="22"/>
              </w:rPr>
            </w:pPr>
          </w:p>
        </w:tc>
        <w:tc>
          <w:tcPr>
            <w:tcW w:w="961" w:type="dxa"/>
            <w:vMerge w:val="continue"/>
            <w:noWrap w:val="0"/>
            <w:vAlign w:val="center"/>
          </w:tcPr>
          <w:p>
            <w:pPr>
              <w:spacing w:line="300" w:lineRule="exact"/>
              <w:jc w:val="left"/>
              <w:outlineLvl w:val="0"/>
              <w:rPr>
                <w:color w:val="auto"/>
                <w:sz w:val="22"/>
                <w:szCs w:val="22"/>
              </w:rPr>
            </w:pP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合计</w:t>
            </w: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一般公共预算拨款</w:t>
            </w: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基金预算拨款</w:t>
            </w:r>
          </w:p>
        </w:tc>
        <w:tc>
          <w:tcPr>
            <w:tcW w:w="964"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财政专户核拨</w:t>
            </w:r>
          </w:p>
        </w:tc>
        <w:tc>
          <w:tcPr>
            <w:tcW w:w="964"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其他来源收入</w:t>
            </w:r>
          </w:p>
        </w:tc>
        <w:tc>
          <w:tcPr>
            <w:tcW w:w="921" w:type="dxa"/>
            <w:vMerge w:val="continue"/>
            <w:noWrap w:val="0"/>
            <w:vAlign w:val="center"/>
          </w:tcPr>
          <w:p>
            <w:pPr>
              <w:spacing w:line="300" w:lineRule="exact"/>
              <w:jc w:val="left"/>
              <w:outlineLvl w:val="0"/>
              <w:rPr>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448"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合　计</w:t>
            </w:r>
          </w:p>
        </w:tc>
        <w:tc>
          <w:tcPr>
            <w:tcW w:w="1099" w:type="dxa"/>
            <w:noWrap w:val="0"/>
            <w:vAlign w:val="center"/>
          </w:tcPr>
          <w:p>
            <w:pPr>
              <w:spacing w:line="300" w:lineRule="exact"/>
              <w:jc w:val="right"/>
              <w:rPr>
                <w:rFonts w:ascii="方正书宋_GBK" w:eastAsia="方正书宋_GBK"/>
                <w:b/>
                <w:color w:val="auto"/>
                <w:sz w:val="22"/>
                <w:szCs w:val="22"/>
              </w:rPr>
            </w:pPr>
          </w:p>
        </w:tc>
        <w:tc>
          <w:tcPr>
            <w:tcW w:w="974" w:type="dxa"/>
            <w:noWrap w:val="0"/>
            <w:vAlign w:val="center"/>
          </w:tcPr>
          <w:p>
            <w:pPr>
              <w:spacing w:line="300" w:lineRule="exact"/>
              <w:jc w:val="left"/>
              <w:rPr>
                <w:rFonts w:ascii="方正书宋_GBK" w:eastAsia="方正书宋_GBK"/>
                <w:b/>
                <w:color w:val="auto"/>
                <w:sz w:val="22"/>
                <w:szCs w:val="22"/>
              </w:rPr>
            </w:pPr>
          </w:p>
        </w:tc>
        <w:tc>
          <w:tcPr>
            <w:tcW w:w="986"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right"/>
              <w:rPr>
                <w:rFonts w:ascii="方正书宋_GBK" w:eastAsia="方正书宋_GBK"/>
                <w:b/>
                <w:color w:val="auto"/>
                <w:sz w:val="22"/>
                <w:szCs w:val="22"/>
              </w:rPr>
            </w:pPr>
          </w:p>
        </w:tc>
        <w:tc>
          <w:tcPr>
            <w:tcW w:w="848" w:type="dxa"/>
            <w:noWrap w:val="0"/>
            <w:vAlign w:val="center"/>
          </w:tcPr>
          <w:p>
            <w:pPr>
              <w:spacing w:line="300" w:lineRule="exact"/>
              <w:jc w:val="right"/>
              <w:rPr>
                <w:rFonts w:ascii="方正书宋_GBK" w:eastAsia="方正书宋_GBK"/>
                <w:b/>
                <w:color w:val="auto"/>
                <w:sz w:val="22"/>
                <w:szCs w:val="22"/>
              </w:rPr>
            </w:pP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21" w:type="dxa"/>
            <w:noWrap w:val="0"/>
            <w:vAlign w:val="center"/>
          </w:tcPr>
          <w:p>
            <w:pPr>
              <w:spacing w:line="300" w:lineRule="exact"/>
              <w:jc w:val="right"/>
              <w:rPr>
                <w:rFonts w:ascii="方正书宋_GBK" w:eastAsia="方正书宋_GBK"/>
                <w:b/>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5" w:hRule="atLeast"/>
          <w:jc w:val="center"/>
        </w:trPr>
        <w:tc>
          <w:tcPr>
            <w:tcW w:w="2448" w:type="dxa"/>
            <w:noWrap w:val="0"/>
            <w:vAlign w:val="center"/>
          </w:tcPr>
          <w:p>
            <w:pPr>
              <w:spacing w:line="300" w:lineRule="exact"/>
              <w:jc w:val="center"/>
              <w:rPr>
                <w:rFonts w:hint="eastAsia" w:ascii="方正书宋_GBK" w:eastAsia="方正书宋_GBK"/>
                <w:b/>
                <w:color w:val="auto"/>
                <w:sz w:val="22"/>
                <w:szCs w:val="22"/>
              </w:rPr>
            </w:pPr>
            <w:r>
              <w:rPr>
                <w:rFonts w:hint="eastAsia" w:ascii="方正书宋_GBK" w:eastAsia="方正书宋_GBK"/>
                <w:b/>
                <w:color w:val="auto"/>
                <w:sz w:val="22"/>
                <w:szCs w:val="22"/>
              </w:rPr>
              <w:t>中国共产党宁晋县委员会组织部小计</w:t>
            </w:r>
          </w:p>
        </w:tc>
        <w:tc>
          <w:tcPr>
            <w:tcW w:w="1099" w:type="dxa"/>
            <w:noWrap w:val="0"/>
            <w:vAlign w:val="center"/>
          </w:tcPr>
          <w:p>
            <w:pPr>
              <w:spacing w:line="300" w:lineRule="exact"/>
              <w:jc w:val="right"/>
              <w:rPr>
                <w:rFonts w:ascii="方正书宋_GBK" w:eastAsia="方正书宋_GBK"/>
                <w:b/>
                <w:color w:val="auto"/>
                <w:sz w:val="22"/>
                <w:szCs w:val="22"/>
              </w:rPr>
            </w:pPr>
          </w:p>
        </w:tc>
        <w:tc>
          <w:tcPr>
            <w:tcW w:w="974" w:type="dxa"/>
            <w:noWrap w:val="0"/>
            <w:vAlign w:val="center"/>
          </w:tcPr>
          <w:p>
            <w:pPr>
              <w:spacing w:line="300" w:lineRule="exact"/>
              <w:jc w:val="left"/>
              <w:rPr>
                <w:rFonts w:ascii="方正书宋_GBK" w:eastAsia="方正书宋_GBK"/>
                <w:b/>
                <w:color w:val="auto"/>
                <w:sz w:val="22"/>
                <w:szCs w:val="22"/>
              </w:rPr>
            </w:pPr>
          </w:p>
        </w:tc>
        <w:tc>
          <w:tcPr>
            <w:tcW w:w="986"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right"/>
              <w:rPr>
                <w:rFonts w:ascii="方正书宋_GBK" w:eastAsia="方正书宋_GBK"/>
                <w:b/>
                <w:color w:val="auto"/>
                <w:sz w:val="22"/>
                <w:szCs w:val="22"/>
              </w:rPr>
            </w:pPr>
          </w:p>
        </w:tc>
        <w:tc>
          <w:tcPr>
            <w:tcW w:w="848" w:type="dxa"/>
            <w:noWrap w:val="0"/>
            <w:vAlign w:val="center"/>
          </w:tcPr>
          <w:p>
            <w:pPr>
              <w:spacing w:line="300" w:lineRule="exact"/>
              <w:jc w:val="right"/>
              <w:rPr>
                <w:rFonts w:ascii="方正书宋_GBK" w:eastAsia="方正书宋_GBK"/>
                <w:b/>
                <w:color w:val="auto"/>
                <w:sz w:val="22"/>
                <w:szCs w:val="22"/>
              </w:rPr>
            </w:pP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21" w:type="dxa"/>
            <w:noWrap w:val="0"/>
            <w:vAlign w:val="center"/>
          </w:tcPr>
          <w:p>
            <w:pPr>
              <w:spacing w:line="300" w:lineRule="exact"/>
              <w:jc w:val="right"/>
              <w:rPr>
                <w:rFonts w:ascii="方正书宋_GBK" w:eastAsia="方正书宋_GBK"/>
                <w:b/>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0" w:hRule="atLeast"/>
          <w:jc w:val="center"/>
        </w:trPr>
        <w:tc>
          <w:tcPr>
            <w:tcW w:w="2448" w:type="dxa"/>
            <w:noWrap w:val="0"/>
            <w:vAlign w:val="center"/>
          </w:tcPr>
          <w:p>
            <w:pPr>
              <w:spacing w:line="300" w:lineRule="exact"/>
              <w:jc w:val="left"/>
              <w:rPr>
                <w:rFonts w:hint="eastAsia" w:ascii="方正书宋_GBK" w:eastAsia="方正书宋_GBK"/>
                <w:color w:val="auto"/>
                <w:sz w:val="22"/>
                <w:szCs w:val="22"/>
              </w:rPr>
            </w:pPr>
            <w:r>
              <w:rPr>
                <w:rFonts w:hint="eastAsia" w:ascii="方正书宋_GBK" w:eastAsia="方正书宋_GBK"/>
                <w:color w:val="auto"/>
                <w:sz w:val="22"/>
                <w:szCs w:val="22"/>
              </w:rPr>
              <w:t>退休干部特需费</w:t>
            </w:r>
          </w:p>
        </w:tc>
        <w:tc>
          <w:tcPr>
            <w:tcW w:w="1099"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110</w:t>
            </w:r>
          </w:p>
        </w:tc>
        <w:tc>
          <w:tcPr>
            <w:tcW w:w="974" w:type="dxa"/>
            <w:noWrap w:val="0"/>
            <w:vAlign w:val="center"/>
          </w:tcPr>
          <w:p>
            <w:pPr>
              <w:spacing w:line="300" w:lineRule="exact"/>
              <w:jc w:val="left"/>
              <w:rPr>
                <w:rFonts w:ascii="方正书宋_GBK" w:eastAsia="方正书宋_GBK"/>
                <w:color w:val="auto"/>
                <w:sz w:val="22"/>
                <w:szCs w:val="22"/>
              </w:rPr>
            </w:pPr>
            <w:r>
              <w:rPr>
                <w:rFonts w:hint="eastAsia" w:ascii="方正书宋_GBK" w:eastAsia="方正书宋_GBK"/>
                <w:color w:val="auto"/>
                <w:sz w:val="22"/>
                <w:szCs w:val="22"/>
              </w:rPr>
              <w:t>货物</w:t>
            </w:r>
          </w:p>
        </w:tc>
        <w:tc>
          <w:tcPr>
            <w:tcW w:w="986" w:type="dxa"/>
            <w:noWrap w:val="0"/>
            <w:vAlign w:val="center"/>
          </w:tcPr>
          <w:p>
            <w:pPr>
              <w:spacing w:line="300" w:lineRule="exact"/>
              <w:jc w:val="left"/>
              <w:rPr>
                <w:rFonts w:ascii="方正书宋_GBK" w:eastAsia="方正书宋_GBK"/>
                <w:color w:val="auto"/>
                <w:sz w:val="22"/>
                <w:szCs w:val="22"/>
              </w:rPr>
            </w:pPr>
            <w:r>
              <w:rPr>
                <w:rFonts w:ascii="方正书宋_GBK" w:eastAsia="方正书宋_GBK"/>
                <w:color w:val="auto"/>
                <w:sz w:val="22"/>
                <w:szCs w:val="22"/>
              </w:rPr>
              <w:t>A</w:t>
            </w:r>
          </w:p>
        </w:tc>
        <w:tc>
          <w:tcPr>
            <w:tcW w:w="760" w:type="dxa"/>
            <w:noWrap w:val="0"/>
            <w:vAlign w:val="center"/>
          </w:tcPr>
          <w:p>
            <w:pPr>
              <w:spacing w:line="300" w:lineRule="exact"/>
              <w:jc w:val="left"/>
              <w:rPr>
                <w:rFonts w:ascii="方正书宋_GBK" w:eastAsia="方正书宋_GBK"/>
                <w:color w:val="auto"/>
                <w:sz w:val="22"/>
                <w:szCs w:val="22"/>
              </w:rPr>
            </w:pPr>
            <w:r>
              <w:rPr>
                <w:rFonts w:hint="eastAsia" w:ascii="方正书宋_GBK" w:eastAsia="方正书宋_GBK"/>
                <w:color w:val="auto"/>
                <w:sz w:val="22"/>
                <w:szCs w:val="22"/>
              </w:rPr>
              <w:t>批</w:t>
            </w:r>
          </w:p>
        </w:tc>
        <w:tc>
          <w:tcPr>
            <w:tcW w:w="760" w:type="dxa"/>
            <w:noWrap w:val="0"/>
            <w:vAlign w:val="center"/>
          </w:tcPr>
          <w:p>
            <w:pPr>
              <w:spacing w:line="300" w:lineRule="exact"/>
              <w:jc w:val="right"/>
              <w:rPr>
                <w:rFonts w:ascii="方正书宋_GBK" w:eastAsia="方正书宋_GBK"/>
                <w:color w:val="auto"/>
                <w:sz w:val="22"/>
                <w:szCs w:val="22"/>
              </w:rPr>
            </w:pPr>
            <w:r>
              <w:rPr>
                <w:rFonts w:ascii="方正书宋_GBK" w:eastAsia="方正书宋_GBK"/>
                <w:color w:val="auto"/>
                <w:sz w:val="22"/>
                <w:szCs w:val="22"/>
              </w:rPr>
              <w:t>1.00</w:t>
            </w:r>
          </w:p>
        </w:tc>
        <w:tc>
          <w:tcPr>
            <w:tcW w:w="848" w:type="dxa"/>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110</w:t>
            </w:r>
          </w:p>
        </w:tc>
        <w:tc>
          <w:tcPr>
            <w:tcW w:w="961" w:type="dxa"/>
            <w:noWrap w:val="0"/>
            <w:vAlign w:val="center"/>
          </w:tcPr>
          <w:p>
            <w:pPr>
              <w:spacing w:line="300" w:lineRule="exact"/>
              <w:jc w:val="right"/>
              <w:rPr>
                <w:rFonts w:ascii="方正书宋_GBK" w:eastAsia="方正书宋_GBK"/>
                <w:color w:val="auto"/>
                <w:sz w:val="22"/>
                <w:szCs w:val="22"/>
              </w:rPr>
            </w:pPr>
          </w:p>
        </w:tc>
        <w:tc>
          <w:tcPr>
            <w:tcW w:w="964" w:type="dxa"/>
            <w:noWrap w:val="0"/>
            <w:vAlign w:val="center"/>
          </w:tcPr>
          <w:p>
            <w:pPr>
              <w:spacing w:line="300" w:lineRule="exact"/>
              <w:jc w:val="right"/>
              <w:rPr>
                <w:rFonts w:ascii="方正书宋_GBK" w:eastAsia="方正书宋_GBK"/>
                <w:color w:val="auto"/>
                <w:sz w:val="22"/>
                <w:szCs w:val="22"/>
              </w:rPr>
            </w:pPr>
          </w:p>
        </w:tc>
        <w:tc>
          <w:tcPr>
            <w:tcW w:w="964" w:type="dxa"/>
            <w:noWrap w:val="0"/>
            <w:vAlign w:val="center"/>
          </w:tcPr>
          <w:p>
            <w:pPr>
              <w:spacing w:line="300" w:lineRule="exact"/>
              <w:jc w:val="right"/>
              <w:rPr>
                <w:rFonts w:ascii="方正书宋_GBK" w:eastAsia="方正书宋_GBK"/>
                <w:color w:val="auto"/>
                <w:sz w:val="22"/>
                <w:szCs w:val="22"/>
              </w:rPr>
            </w:pPr>
          </w:p>
        </w:tc>
        <w:tc>
          <w:tcPr>
            <w:tcW w:w="921" w:type="dxa"/>
            <w:noWrap w:val="0"/>
            <w:vAlign w:val="center"/>
          </w:tcPr>
          <w:p>
            <w:pPr>
              <w:spacing w:line="300" w:lineRule="exact"/>
              <w:jc w:val="right"/>
              <w:rPr>
                <w:rFonts w:ascii="方正书宋_GBK" w:eastAsia="方正书宋_GBK"/>
                <w:color w:val="auto"/>
                <w:sz w:val="22"/>
                <w:szCs w:val="22"/>
              </w:rPr>
            </w:pPr>
          </w:p>
        </w:tc>
      </w:tr>
    </w:tbl>
    <w:p>
      <w:pPr>
        <w:rPr>
          <w:rFonts w:ascii="宋体" w:hAnsi="宋体" w:cs="宋体"/>
          <w:color w:val="auto"/>
          <w:sz w:val="18"/>
          <w:szCs w:val="18"/>
        </w:rPr>
        <w:sectPr>
          <w:pgSz w:w="16838" w:h="11906" w:orient="landscape"/>
          <w:pgMar w:top="1531" w:right="1588" w:bottom="1588" w:left="2155" w:header="0" w:footer="1588" w:gutter="0"/>
          <w:pgBorders>
            <w:top w:val="none" w:sz="0" w:space="0"/>
            <w:left w:val="none" w:sz="0" w:space="0"/>
            <w:bottom w:val="none" w:sz="0" w:space="0"/>
            <w:right w:val="none" w:sz="0" w:space="0"/>
          </w:pgBorders>
          <w:cols w:space="720" w:num="1"/>
          <w:docGrid w:type="lines" w:linePitch="569" w:charSpace="-1266"/>
        </w:sectPr>
      </w:pPr>
      <w:r>
        <w:rPr>
          <w:rFonts w:hint="eastAsia"/>
          <w:color w:val="auto"/>
          <w:sz w:val="18"/>
          <w:szCs w:val="18"/>
        </w:rPr>
        <w:t xml:space="preserve"> </w:t>
      </w:r>
    </w:p>
    <w:p>
      <w:pPr>
        <w:widowControl/>
        <w:numPr>
          <w:ilvl w:val="0"/>
          <w:numId w:val="5"/>
        </w:numPr>
        <w:spacing w:line="580" w:lineRule="atLeast"/>
        <w:jc w:val="left"/>
        <w:rPr>
          <w:rFonts w:ascii="宋体" w:hAnsi="宋体" w:eastAsia="宋体" w:cs="宋体"/>
          <w:color w:val="auto"/>
          <w:szCs w:val="32"/>
          <w:highlight w:val="none"/>
        </w:rPr>
      </w:pPr>
      <w:r>
        <w:rPr>
          <w:rFonts w:hint="eastAsia" w:ascii="宋体" w:hAnsi="宋体" w:eastAsia="宋体" w:cs="宋体"/>
          <w:b/>
          <w:color w:val="auto"/>
          <w:kern w:val="0"/>
          <w:szCs w:val="32"/>
          <w:highlight w:val="none"/>
        </w:rPr>
        <w:t>国有资产信息情况</w:t>
      </w:r>
    </w:p>
    <w:p>
      <w:pPr>
        <w:widowControl/>
        <w:spacing w:line="580" w:lineRule="atLeast"/>
        <w:ind w:left="0" w:leftChars="0" w:firstLine="640" w:firstLineChars="200"/>
        <w:jc w:val="left"/>
        <w:rPr>
          <w:rFonts w:ascii="仿宋_GB2312"/>
          <w:color w:val="auto"/>
          <w:szCs w:val="32"/>
        </w:rPr>
      </w:pPr>
      <w:r>
        <w:rPr>
          <w:rFonts w:hint="eastAsia" w:ascii="宋体" w:hAnsi="宋体" w:eastAsia="宋体" w:cs="宋体"/>
          <w:color w:val="auto"/>
          <w:szCs w:val="32"/>
          <w:lang w:eastAsia="zh-CN"/>
        </w:rPr>
        <w:t>中共宁晋县委组织部20</w:t>
      </w:r>
      <w:r>
        <w:rPr>
          <w:rFonts w:hint="eastAsia" w:ascii="宋体" w:hAnsi="宋体" w:eastAsia="宋体" w:cs="宋体"/>
          <w:color w:val="auto"/>
          <w:szCs w:val="32"/>
          <w:lang w:val="en-US" w:eastAsia="zh-CN"/>
        </w:rPr>
        <w:t>20</w:t>
      </w:r>
      <w:r>
        <w:rPr>
          <w:rFonts w:hint="eastAsia" w:ascii="宋体" w:hAnsi="宋体" w:eastAsia="宋体" w:cs="宋体"/>
          <w:color w:val="auto"/>
          <w:szCs w:val="32"/>
          <w:lang w:eastAsia="zh-CN"/>
        </w:rPr>
        <w:t>年</w:t>
      </w:r>
      <w:r>
        <w:rPr>
          <w:rFonts w:hint="eastAsia" w:ascii="宋体" w:hAnsi="宋体" w:eastAsia="宋体" w:cs="宋体"/>
          <w:color w:val="auto"/>
          <w:szCs w:val="32"/>
        </w:rPr>
        <w:t>末固定资产金额为</w:t>
      </w:r>
      <w:r>
        <w:rPr>
          <w:rFonts w:hint="eastAsia" w:ascii="宋体" w:hAnsi="宋体" w:eastAsia="宋体" w:cs="宋体"/>
          <w:color w:val="auto"/>
          <w:szCs w:val="32"/>
          <w:lang w:val="en-US" w:eastAsia="zh-CN"/>
        </w:rPr>
        <w:t>405.930543</w:t>
      </w:r>
      <w:r>
        <w:rPr>
          <w:rFonts w:hint="eastAsia" w:ascii="宋体" w:hAnsi="宋体" w:eastAsia="宋体" w:cs="宋体"/>
          <w:color w:val="auto"/>
          <w:szCs w:val="32"/>
        </w:rPr>
        <w:t>万元，</w:t>
      </w:r>
      <w:r>
        <w:rPr>
          <w:rFonts w:hint="eastAsia" w:ascii="宋体" w:hAnsi="宋体" w:eastAsia="宋体" w:cs="宋体"/>
          <w:color w:val="auto"/>
          <w:szCs w:val="32"/>
          <w:lang w:eastAsia="zh-CN"/>
        </w:rPr>
        <w:t>无形资产金额为</w:t>
      </w:r>
      <w:r>
        <w:rPr>
          <w:rFonts w:hint="eastAsia" w:ascii="宋体" w:hAnsi="宋体" w:eastAsia="宋体" w:cs="宋体"/>
          <w:color w:val="auto"/>
          <w:szCs w:val="32"/>
          <w:lang w:val="en-US" w:eastAsia="zh-CN"/>
        </w:rPr>
        <w:t>21.6164万元。</w:t>
      </w:r>
      <w:r>
        <w:rPr>
          <w:rFonts w:hint="eastAsia" w:ascii="宋体" w:hAnsi="宋体" w:eastAsia="宋体" w:cs="宋体"/>
          <w:color w:val="auto"/>
          <w:szCs w:val="32"/>
        </w:rPr>
        <w:t>详见下表。</w:t>
      </w:r>
    </w:p>
    <w:tbl>
      <w:tblPr>
        <w:tblStyle w:val="7"/>
        <w:tblW w:w="7825" w:type="dxa"/>
        <w:jc w:val="center"/>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项   目</w:t>
            </w:r>
          </w:p>
        </w:tc>
        <w:tc>
          <w:tcPr>
            <w:tcW w:w="1252"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数  量</w:t>
            </w:r>
          </w:p>
        </w:tc>
        <w:tc>
          <w:tcPr>
            <w:tcW w:w="281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价值（金额单位：万元）</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固定资产总额</w:t>
            </w:r>
          </w:p>
        </w:tc>
        <w:tc>
          <w:tcPr>
            <w:tcW w:w="1252" w:type="dxa"/>
            <w:tcBorders>
              <w:top w:val="nil"/>
              <w:left w:val="nil"/>
              <w:bottom w:val="single" w:color="auto" w:sz="4" w:space="0"/>
              <w:right w:val="single" w:color="auto" w:sz="4" w:space="0"/>
            </w:tcBorders>
            <w:vAlign w:val="center"/>
          </w:tcPr>
          <w:p>
            <w:pPr>
              <w:widowControl/>
              <w:jc w:val="center"/>
              <w:rPr>
                <w:rFonts w:ascii="宋体" w:hAnsi="宋体" w:cs="宋体"/>
                <w:color w:val="auto"/>
                <w:kern w:val="0"/>
                <w:sz w:val="21"/>
                <w:szCs w:val="21"/>
              </w:rPr>
            </w:pPr>
            <w:r>
              <w:rPr>
                <w:rFonts w:hint="eastAsia" w:ascii="宋体" w:hAnsi="宋体" w:cs="宋体"/>
                <w:color w:val="auto"/>
                <w:kern w:val="0"/>
                <w:sz w:val="21"/>
                <w:szCs w:val="21"/>
              </w:rPr>
              <w:t>——</w:t>
            </w:r>
          </w:p>
        </w:tc>
        <w:tc>
          <w:tcPr>
            <w:tcW w:w="2817" w:type="dxa"/>
            <w:tcBorders>
              <w:top w:val="nil"/>
              <w:left w:val="nil"/>
              <w:bottom w:val="single" w:color="auto" w:sz="4" w:space="0"/>
              <w:right w:val="single" w:color="auto"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255.75964</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1.房屋（平方米）</w:t>
            </w:r>
          </w:p>
        </w:tc>
        <w:tc>
          <w:tcPr>
            <w:tcW w:w="1252" w:type="dxa"/>
            <w:tcBorders>
              <w:top w:val="single" w:color="000000" w:sz="4" w:space="0"/>
              <w:left w:val="nil"/>
              <w:bottom w:val="single" w:color="000000" w:sz="4" w:space="0"/>
              <w:right w:val="single" w:color="000000" w:sz="8" w:space="0"/>
            </w:tcBorders>
            <w:vAlign w:val="center"/>
          </w:tcPr>
          <w:p>
            <w:pPr>
              <w:widowControl/>
              <w:wordWrap w:val="0"/>
              <w:jc w:val="right"/>
              <w:rPr>
                <w:rFonts w:ascii="宋体" w:hAnsi="宋体" w:cs="宋体"/>
                <w:color w:val="auto"/>
                <w:kern w:val="0"/>
                <w:sz w:val="21"/>
                <w:szCs w:val="21"/>
              </w:rPr>
            </w:pPr>
            <w:r>
              <w:rPr>
                <w:rFonts w:hint="eastAsia" w:ascii="宋体" w:hAnsi="宋体" w:cs="宋体"/>
                <w:color w:val="auto"/>
                <w:kern w:val="0"/>
                <w:sz w:val="21"/>
                <w:szCs w:val="21"/>
                <w:lang w:val="en-US" w:eastAsia="zh-CN"/>
              </w:rPr>
              <w:t>2050</w:t>
            </w:r>
            <w:r>
              <w:rPr>
                <w:rFonts w:hint="eastAsia" w:ascii="宋体" w:hAnsi="宋体" w:cs="宋体"/>
                <w:color w:val="auto"/>
                <w:kern w:val="0"/>
                <w:sz w:val="21"/>
                <w:szCs w:val="21"/>
              </w:rPr>
              <w:t xml:space="preserve"> </w:t>
            </w:r>
          </w:p>
        </w:tc>
        <w:tc>
          <w:tcPr>
            <w:tcW w:w="2817" w:type="dxa"/>
            <w:tcBorders>
              <w:top w:val="single" w:color="000000" w:sz="4" w:space="0"/>
              <w:left w:val="nil"/>
              <w:bottom w:val="single" w:color="000000" w:sz="4" w:space="0"/>
              <w:right w:val="single" w:color="000000" w:sz="4" w:space="0"/>
            </w:tcBorders>
            <w:vAlign w:val="center"/>
          </w:tcPr>
          <w:p>
            <w:pPr>
              <w:widowControl/>
              <w:wordWrap w:val="0"/>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91.54</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ind w:firstLine="420" w:firstLineChars="200"/>
              <w:jc w:val="left"/>
              <w:rPr>
                <w:rFonts w:ascii="宋体" w:hAnsi="宋体" w:cs="宋体"/>
                <w:color w:val="auto"/>
                <w:kern w:val="0"/>
                <w:sz w:val="21"/>
                <w:szCs w:val="21"/>
              </w:rPr>
            </w:pPr>
            <w:r>
              <w:rPr>
                <w:rFonts w:hint="eastAsia" w:ascii="宋体" w:hAnsi="宋体" w:cs="宋体"/>
                <w:color w:val="auto"/>
                <w:kern w:val="0"/>
                <w:sz w:val="21"/>
                <w:szCs w:val="21"/>
              </w:rPr>
              <w:t>其中：办公用房</w:t>
            </w:r>
          </w:p>
        </w:tc>
        <w:tc>
          <w:tcPr>
            <w:tcW w:w="1252" w:type="dxa"/>
            <w:tcBorders>
              <w:top w:val="nil"/>
              <w:left w:val="nil"/>
              <w:bottom w:val="single" w:color="000000" w:sz="4" w:space="0"/>
              <w:right w:val="single" w:color="000000" w:sz="8" w:space="0"/>
            </w:tcBorders>
            <w:vAlign w:val="center"/>
          </w:tcPr>
          <w:p>
            <w:pPr>
              <w:widowControl/>
              <w:jc w:val="right"/>
              <w:rPr>
                <w:rFonts w:ascii="宋体" w:hAnsi="宋体" w:cs="宋体"/>
                <w:color w:val="auto"/>
                <w:kern w:val="0"/>
                <w:sz w:val="21"/>
                <w:szCs w:val="21"/>
              </w:rPr>
            </w:pPr>
            <w:r>
              <w:rPr>
                <w:rFonts w:hint="eastAsia" w:ascii="宋体" w:hAnsi="宋体" w:cs="宋体"/>
                <w:color w:val="auto"/>
                <w:kern w:val="0"/>
                <w:sz w:val="21"/>
                <w:szCs w:val="21"/>
              </w:rPr>
              <w:t xml:space="preserve"> </w:t>
            </w:r>
          </w:p>
        </w:tc>
        <w:tc>
          <w:tcPr>
            <w:tcW w:w="2817" w:type="dxa"/>
            <w:tcBorders>
              <w:top w:val="nil"/>
              <w:left w:val="nil"/>
              <w:bottom w:val="single" w:color="000000" w:sz="4" w:space="0"/>
              <w:right w:val="single" w:color="000000" w:sz="4" w:space="0"/>
            </w:tcBorders>
            <w:vAlign w:val="center"/>
          </w:tcPr>
          <w:p>
            <w:pPr>
              <w:widowControl/>
              <w:jc w:val="right"/>
              <w:rPr>
                <w:rFonts w:ascii="宋体" w:hAnsi="宋体" w:cs="宋体"/>
                <w:color w:val="auto"/>
                <w:kern w:val="0"/>
                <w:sz w:val="21"/>
                <w:szCs w:val="21"/>
              </w:rPr>
            </w:pP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2.车辆（台、辆）</w:t>
            </w:r>
          </w:p>
        </w:tc>
        <w:tc>
          <w:tcPr>
            <w:tcW w:w="1252" w:type="dxa"/>
            <w:tcBorders>
              <w:top w:val="single" w:color="auto" w:sz="4" w:space="0"/>
              <w:left w:val="nil"/>
              <w:bottom w:val="single" w:color="auto" w:sz="4" w:space="0"/>
              <w:right w:val="single" w:color="auto" w:sz="4" w:space="0"/>
            </w:tcBorders>
            <w:vAlign w:val="center"/>
          </w:tcPr>
          <w:p>
            <w:pPr>
              <w:widowControl/>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4</w:t>
            </w:r>
          </w:p>
        </w:tc>
        <w:tc>
          <w:tcPr>
            <w:tcW w:w="2817" w:type="dxa"/>
            <w:tcBorders>
              <w:top w:val="nil"/>
              <w:left w:val="nil"/>
              <w:bottom w:val="single" w:color="000000"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53.98</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3.单价在50万元以上的设备（台、套）</w:t>
            </w:r>
          </w:p>
        </w:tc>
        <w:tc>
          <w:tcPr>
            <w:tcW w:w="1252" w:type="dxa"/>
            <w:tcBorders>
              <w:top w:val="nil"/>
              <w:left w:val="nil"/>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　</w:t>
            </w:r>
          </w:p>
        </w:tc>
        <w:tc>
          <w:tcPr>
            <w:tcW w:w="2817"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　</w:t>
            </w:r>
          </w:p>
        </w:tc>
      </w:tr>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auto"/>
                <w:kern w:val="0"/>
                <w:sz w:val="21"/>
                <w:szCs w:val="21"/>
              </w:rPr>
            </w:pPr>
            <w:r>
              <w:rPr>
                <w:rFonts w:hint="eastAsia" w:ascii="宋体" w:hAnsi="宋体" w:cs="宋体"/>
                <w:color w:val="auto"/>
                <w:kern w:val="0"/>
                <w:sz w:val="21"/>
                <w:szCs w:val="21"/>
              </w:rPr>
              <w:t>——</w:t>
            </w:r>
          </w:p>
        </w:tc>
        <w:tc>
          <w:tcPr>
            <w:tcW w:w="2817" w:type="dxa"/>
            <w:tcBorders>
              <w:top w:val="single" w:color="auto" w:sz="4" w:space="0"/>
              <w:left w:val="single" w:color="auto" w:sz="4" w:space="0"/>
              <w:bottom w:val="single" w:color="auto"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110.23964</w:t>
            </w:r>
          </w:p>
        </w:tc>
      </w:tr>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仿宋_GB2312" w:cs="宋体"/>
                <w:color w:val="auto"/>
                <w:kern w:val="0"/>
                <w:sz w:val="21"/>
                <w:szCs w:val="21"/>
                <w:lang w:eastAsia="zh-CN"/>
              </w:rPr>
            </w:pPr>
            <w:r>
              <w:rPr>
                <w:rFonts w:hint="eastAsia" w:ascii="宋体" w:hAnsi="宋体" w:cs="宋体"/>
                <w:b/>
                <w:bCs/>
                <w:color w:val="auto"/>
                <w:kern w:val="0"/>
                <w:sz w:val="21"/>
                <w:szCs w:val="21"/>
                <w:lang w:eastAsia="zh-CN"/>
              </w:rPr>
              <w:t>无形资产</w:t>
            </w:r>
          </w:p>
        </w:tc>
        <w:tc>
          <w:tcPr>
            <w:tcW w:w="125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cs="宋体"/>
                <w:color w:val="auto"/>
                <w:kern w:val="0"/>
                <w:sz w:val="21"/>
                <w:szCs w:val="21"/>
              </w:rPr>
            </w:pPr>
          </w:p>
        </w:tc>
        <w:tc>
          <w:tcPr>
            <w:tcW w:w="2817" w:type="dxa"/>
            <w:tcBorders>
              <w:top w:val="single" w:color="auto" w:sz="4" w:space="0"/>
              <w:left w:val="single" w:color="auto" w:sz="4" w:space="0"/>
              <w:bottom w:val="single" w:color="auto"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35.5794</w:t>
            </w:r>
          </w:p>
        </w:tc>
      </w:tr>
    </w:tbl>
    <w:p>
      <w:pPr>
        <w:jc w:val="left"/>
        <w:rPr>
          <w:rFonts w:ascii="宋体" w:hAnsi="宋体" w:cs="宋体"/>
          <w:color w:val="auto"/>
          <w:sz w:val="22"/>
        </w:rPr>
      </w:pPr>
    </w:p>
    <w:p>
      <w:pPr>
        <w:widowControl/>
        <w:spacing w:line="580" w:lineRule="atLeast"/>
        <w:ind w:firstLine="643" w:firstLineChars="200"/>
        <w:jc w:val="left"/>
        <w:rPr>
          <w:rFonts w:ascii="宋体" w:hAnsi="宋体" w:eastAsia="宋体" w:cs="宋体"/>
          <w:b/>
          <w:color w:val="auto"/>
          <w:kern w:val="0"/>
          <w:szCs w:val="32"/>
        </w:rPr>
      </w:pPr>
      <w:r>
        <w:rPr>
          <w:rFonts w:hint="eastAsia" w:ascii="宋体" w:hAnsi="宋体" w:eastAsia="宋体" w:cs="宋体"/>
          <w:b/>
          <w:color w:val="auto"/>
          <w:kern w:val="0"/>
          <w:szCs w:val="32"/>
        </w:rPr>
        <w:t>八、</w:t>
      </w:r>
      <w:r>
        <w:rPr>
          <w:rFonts w:ascii="宋体" w:hAnsi="宋体" w:eastAsia="宋体" w:cs="宋体"/>
          <w:b/>
          <w:color w:val="auto"/>
          <w:kern w:val="0"/>
          <w:szCs w:val="32"/>
        </w:rPr>
        <w:t>名词解释</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(一)财政拨款收入：</w:t>
      </w:r>
      <w:r>
        <w:rPr>
          <w:rFonts w:hint="eastAsia" w:ascii="仿宋" w:hAnsi="仿宋" w:eastAsia="仿宋" w:cs="仿宋"/>
          <w:color w:val="auto"/>
          <w:sz w:val="32"/>
          <w:szCs w:val="32"/>
        </w:rPr>
        <w:t>指本级财政当年拨付的资金。</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(二)其他收入：</w:t>
      </w:r>
      <w:r>
        <w:rPr>
          <w:rFonts w:hint="eastAsia" w:ascii="仿宋" w:hAnsi="仿宋" w:eastAsia="仿宋" w:cs="仿宋"/>
          <w:color w:val="auto"/>
          <w:sz w:val="32"/>
          <w:szCs w:val="32"/>
        </w:rPr>
        <w:t>指除上述“财政拨款收入”、“事业收入”、“经营收入”等以外的收入。</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(三)年初结转和结余：</w:t>
      </w:r>
      <w:r>
        <w:rPr>
          <w:rFonts w:hint="eastAsia" w:ascii="仿宋" w:hAnsi="仿宋" w:eastAsia="仿宋" w:cs="仿宋"/>
          <w:color w:val="auto"/>
          <w:sz w:val="32"/>
          <w:szCs w:val="32"/>
        </w:rPr>
        <w:t>指以前年度尚未完成、结转到本年按有关规定继续使用的资金。</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(四)结余分配：</w:t>
      </w:r>
      <w:r>
        <w:rPr>
          <w:rFonts w:hint="eastAsia" w:ascii="仿宋" w:hAnsi="仿宋" w:eastAsia="仿宋" w:cs="仿宋"/>
          <w:color w:val="auto"/>
          <w:sz w:val="32"/>
          <w:szCs w:val="32"/>
        </w:rPr>
        <w:t>指事业单位按规定提取的职工福利基金、事业基金和缴纳的所得税，以及建设单位按规定应交回的基本建设竣工项目结余资金。</w:t>
      </w:r>
    </w:p>
    <w:p>
      <w:pPr>
        <w:pStyle w:val="6"/>
        <w:spacing w:before="0" w:beforeAutospacing="0" w:after="0" w:afterAutospacing="0" w:line="600" w:lineRule="exact"/>
        <w:ind w:firstLine="643" w:firstLineChars="200"/>
        <w:rPr>
          <w:color w:val="auto"/>
          <w:kern w:val="2"/>
          <w:sz w:val="32"/>
          <w:szCs w:val="32"/>
        </w:rPr>
      </w:pPr>
      <w:r>
        <w:rPr>
          <w:rFonts w:hint="eastAsia" w:ascii="仿宋_GB2312" w:hAnsi="仿宋" w:eastAsia="仿宋_GB2312" w:cs="Times New Roman"/>
          <w:b/>
          <w:color w:val="auto"/>
          <w:kern w:val="2"/>
          <w:sz w:val="32"/>
          <w:szCs w:val="32"/>
        </w:rPr>
        <w:t>(五)基本支出：</w:t>
      </w:r>
      <w:r>
        <w:rPr>
          <w:rFonts w:hint="eastAsia" w:ascii="仿宋" w:hAnsi="仿宋" w:eastAsia="仿宋" w:cs="仿宋"/>
          <w:color w:val="auto"/>
          <w:sz w:val="32"/>
          <w:szCs w:val="32"/>
        </w:rPr>
        <w:t>指为保障机构正常运转、完成日常工作任务而发生的人员支出和公用支出。</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(六)项目支出：</w:t>
      </w:r>
      <w:r>
        <w:rPr>
          <w:rFonts w:hint="eastAsia" w:ascii="仿宋" w:hAnsi="仿宋" w:eastAsia="仿宋" w:cs="仿宋"/>
          <w:color w:val="auto"/>
          <w:sz w:val="32"/>
          <w:szCs w:val="32"/>
        </w:rPr>
        <w:t>指在基本支出之外为完成特定行政任务和事业发展目标所发生的支出。</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(七)“三公”经费：</w:t>
      </w:r>
      <w:r>
        <w:rPr>
          <w:rFonts w:hint="eastAsia" w:ascii="仿宋" w:hAnsi="仿宋" w:eastAsia="仿宋" w:cs="仿宋"/>
          <w:color w:val="auto"/>
          <w:sz w:val="3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6"/>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(八)机关运行经费：</w:t>
      </w:r>
      <w:r>
        <w:rPr>
          <w:rFonts w:hint="eastAsia" w:ascii="仿宋" w:hAnsi="仿宋" w:eastAsia="仿宋" w:cs="仿宋"/>
          <w:color w:val="auto"/>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numPr>
          <w:ilvl w:val="0"/>
          <w:numId w:val="6"/>
        </w:numPr>
        <w:spacing w:line="560" w:lineRule="exact"/>
        <w:ind w:left="3" w:firstLine="643" w:firstLineChars="200"/>
        <w:rPr>
          <w:rFonts w:ascii="宋体" w:hAnsi="宋体" w:eastAsia="宋体" w:cs="宋体"/>
          <w:b/>
          <w:color w:val="auto"/>
          <w:kern w:val="0"/>
          <w:szCs w:val="32"/>
        </w:rPr>
      </w:pPr>
      <w:r>
        <w:rPr>
          <w:rFonts w:hint="eastAsia" w:ascii="宋体" w:hAnsi="宋体" w:eastAsia="宋体" w:cs="宋体"/>
          <w:b/>
          <w:color w:val="auto"/>
          <w:kern w:val="0"/>
          <w:szCs w:val="32"/>
        </w:rPr>
        <w:t>其他需要说明的事项</w:t>
      </w:r>
    </w:p>
    <w:p>
      <w:pPr>
        <w:pStyle w:val="6"/>
        <w:spacing w:line="660" w:lineRule="exact"/>
        <w:ind w:firstLine="640" w:firstLineChars="200"/>
        <w:rPr>
          <w:rFonts w:hint="eastAsia" w:ascii="仿宋_GB2312" w:hAnsi="黑体" w:eastAsia="仿宋_GB2312"/>
          <w:kern w:val="2"/>
          <w:sz w:val="32"/>
          <w:szCs w:val="32"/>
        </w:rPr>
      </w:pPr>
      <w:r>
        <w:rPr>
          <w:rFonts w:hint="eastAsia" w:ascii="仿宋_GB2312" w:hAnsi="黑体" w:eastAsia="仿宋_GB2312"/>
          <w:kern w:val="2"/>
          <w:sz w:val="32"/>
          <w:szCs w:val="32"/>
        </w:rPr>
        <w:t>无其他需要说明的事项。</w:t>
      </w:r>
    </w:p>
    <w:p>
      <w:pPr>
        <w:pStyle w:val="2"/>
        <w:ind w:left="0" w:leftChars="0" w:firstLine="0" w:firstLineChars="0"/>
        <w:rPr>
          <w:rFonts w:hint="eastAsia"/>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2"/>
        <w:rPr>
          <w:rFonts w:hint="eastAsia"/>
          <w:lang w:val="en-US" w:eastAsia="zh-CN"/>
        </w:rPr>
      </w:pPr>
    </w:p>
    <w:p>
      <w:pPr>
        <w:rPr>
          <w:rFonts w:hint="eastAsia" w:ascii="仿宋_GB2312" w:hAnsi="仿宋_GB2312" w:eastAsia="仿宋_GB2312" w:cs="仿宋_GB2312"/>
          <w:b w:val="0"/>
          <w:bCs w:val="0"/>
          <w:sz w:val="32"/>
          <w:szCs w:val="32"/>
          <w:lang w:val="en-US" w:eastAsia="zh-CN"/>
        </w:rPr>
      </w:pPr>
    </w:p>
    <w:tbl>
      <w:tblPr>
        <w:tblStyle w:val="7"/>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2750" w:type="dxa"/>
            <w:gridSpan w:val="5"/>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6750" w:type="dxa"/>
            <w:gridSpan w:val="3"/>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42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4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r>
    </w:tbl>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pStyle w:val="2"/>
        <w:ind w:left="0" w:leftChars="0" w:firstLine="0" w:firstLineChars="0"/>
        <w:rPr>
          <w:rFonts w:hint="eastAsia"/>
          <w:lang w:val="en-US" w:eastAsia="zh-CN"/>
        </w:rPr>
      </w:pPr>
    </w:p>
    <w:p>
      <w:pPr>
        <w:rPr>
          <w:rFonts w:hint="eastAsia"/>
          <w:lang w:val="en-US" w:eastAsia="zh-CN"/>
        </w:rPr>
      </w:pPr>
    </w:p>
    <w:p>
      <w:pPr>
        <w:pStyle w:val="2"/>
        <w:rPr>
          <w:rFonts w:hint="eastAsia"/>
          <w:lang w:val="en-US" w:eastAsia="zh-CN"/>
        </w:rPr>
      </w:pPr>
    </w:p>
    <w:tbl>
      <w:tblPr>
        <w:tblStyle w:val="7"/>
        <w:tblW w:w="151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3"/>
        <w:gridCol w:w="1636"/>
        <w:gridCol w:w="3096"/>
        <w:gridCol w:w="1489"/>
        <w:gridCol w:w="1489"/>
        <w:gridCol w:w="1489"/>
        <w:gridCol w:w="744"/>
        <w:gridCol w:w="744"/>
        <w:gridCol w:w="744"/>
        <w:gridCol w:w="744"/>
        <w:gridCol w:w="744"/>
        <w:gridCol w:w="744"/>
        <w:gridCol w:w="7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5150" w:type="dxa"/>
            <w:gridSpan w:val="13"/>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150" w:type="dxa"/>
            <w:gridSpan w:val="9"/>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15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5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65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00" w:type="dxa"/>
            <w:gridSpan w:val="8"/>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6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6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离退休人员管理机构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其他优抚支出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对村民委员会和村党支部的补助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ind w:left="0" w:leftChars="0" w:firstLine="0" w:firstLineChars="0"/>
        <w:rPr>
          <w:rFonts w:hint="eastAsia"/>
          <w:lang w:val="en-US" w:eastAsia="zh-CN"/>
        </w:rPr>
      </w:pPr>
    </w:p>
    <w:p>
      <w:pPr>
        <w:rPr>
          <w:rFonts w:hint="eastAsia"/>
          <w:lang w:val="en-US" w:eastAsia="zh-CN"/>
        </w:rPr>
      </w:pPr>
    </w:p>
    <w:tbl>
      <w:tblPr>
        <w:tblStyle w:val="7"/>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2"/>
        <w:gridCol w:w="3096"/>
        <w:gridCol w:w="1490"/>
        <w:gridCol w:w="1489"/>
        <w:gridCol w:w="1490"/>
        <w:gridCol w:w="1484"/>
        <w:gridCol w:w="1484"/>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9"/>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5"/>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6448.49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762.55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离退休人员管理机构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其他优抚支出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对村民委员会和村党支部的补助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tbl>
      <w:tblPr>
        <w:tblStyle w:val="7"/>
        <w:tblW w:w="146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2460"/>
        <w:gridCol w:w="1500"/>
        <w:gridCol w:w="3900"/>
        <w:gridCol w:w="1500"/>
        <w:gridCol w:w="1500"/>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610" w:type="dxa"/>
            <w:gridSpan w:val="8"/>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610"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6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9900" w:type="dxa"/>
            <w:gridSpan w:val="5"/>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246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39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246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9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tbl>
      <w:tblPr>
        <w:tblStyle w:val="7"/>
        <w:tblW w:w="138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0"/>
        <w:gridCol w:w="3096"/>
        <w:gridCol w:w="2374"/>
        <w:gridCol w:w="1193"/>
        <w:gridCol w:w="1193"/>
        <w:gridCol w:w="1191"/>
        <w:gridCol w:w="23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3875" w:type="dxa"/>
            <w:gridSpan w:val="8"/>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075" w:type="dxa"/>
            <w:gridSpan w:val="5"/>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24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24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600" w:type="dxa"/>
            <w:gridSpan w:val="3"/>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24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24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24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562.49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6448.49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762.55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离退休人员管理机构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其他优抚支出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对村民委员会和村党支部的补助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tbl>
      <w:tblPr>
        <w:tblStyle w:val="7"/>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5" w:hRule="atLeast"/>
        </w:trPr>
        <w:tc>
          <w:tcPr>
            <w:tcW w:w="14475"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9000" w:type="dxa"/>
            <w:gridSpan w:val="3"/>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623.51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562.49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531.99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531.99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取暖费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lang w:val="en-US" w:eastAsia="zh-CN"/>
              </w:rPr>
            </w:pPr>
          </w:p>
          <w:p>
            <w:pPr>
              <w:pStyle w:val="2"/>
              <w:rPr>
                <w:rFonts w:hint="eastAsia"/>
                <w:lang w:val="en-US" w:eastAsia="zh-CN"/>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8"/>
                <w:szCs w:val="18"/>
                <w:u w:val="none"/>
                <w:lang w:val="en-US" w:eastAsia="zh-CN" w:bidi="ar"/>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8"/>
                <w:szCs w:val="18"/>
                <w:u w:val="none"/>
                <w:lang w:val="en-US" w:eastAsia="zh-CN" w:bidi="ar"/>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475" w:type="dxa"/>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无政府基金预算，空列显示</w:t>
            </w:r>
          </w:p>
        </w:tc>
      </w:tr>
    </w:tbl>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tbl>
      <w:tblPr>
        <w:tblStyle w:val="7"/>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无国有资本经营预算，空列显示</w:t>
            </w:r>
          </w:p>
        </w:tc>
      </w:tr>
    </w:tbl>
    <w:p>
      <w:pPr>
        <w:pStyle w:val="2"/>
        <w:ind w:left="0" w:leftChars="0" w:firstLine="0" w:firstLineChars="0"/>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tbl>
      <w:tblPr>
        <w:tblStyle w:val="7"/>
        <w:tblW w:w="142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2400"/>
        <w:gridCol w:w="2400"/>
        <w:gridCol w:w="2400"/>
        <w:gridCol w:w="2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250"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50"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预算单位编码及名称：[203]中国共产党宁晋县委员会组织部</w:t>
            </w:r>
          </w:p>
        </w:tc>
        <w:tc>
          <w:tcPr>
            <w:tcW w:w="24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9600" w:type="dxa"/>
            <w:gridSpan w:val="4"/>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9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pStyle w:val="2"/>
        <w:ind w:left="0" w:leftChars="0" w:firstLine="0" w:firstLineChars="0"/>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sectPr>
          <w:footerReference r:id="rId7" w:type="default"/>
          <w:footerReference r:id="rId8"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二</w:t>
      </w:r>
      <w:r>
        <w:rPr>
          <w:rFonts w:ascii="方正小标宋_GBK" w:hAnsi="方正小标宋_GBK" w:eastAsia="方正小标宋_GBK" w:cs="方正小标宋_GBK"/>
          <w:color w:val="000000"/>
          <w:sz w:val="72"/>
        </w:rPr>
        <w:t xml:space="preserve">部分  </w:t>
      </w:r>
      <w:r>
        <w:rPr>
          <w:rFonts w:hint="eastAsia" w:ascii="方正小标宋_GBK" w:hAnsi="方正小标宋_GBK" w:eastAsia="方正小标宋_GBK" w:cs="方正小标宋_GBK"/>
          <w:color w:val="000000"/>
          <w:sz w:val="72"/>
        </w:rPr>
        <w:t>部门所属单位预算</w:t>
      </w:r>
    </w:p>
    <w:p>
      <w:pPr>
        <w:spacing w:before="0" w:after="0"/>
        <w:ind w:firstLine="0"/>
        <w:jc w:val="center"/>
        <w:outlineLvl w:val="3"/>
        <w:rPr>
          <w:rFonts w:ascii="方正小标宋_GBK" w:hAnsi="方正小标宋_GBK" w:eastAsia="方正小标宋_GBK" w:cs="方正小标宋_GBK"/>
          <w:color w:val="000000"/>
          <w:sz w:val="44"/>
        </w:rPr>
      </w:pPr>
      <w:bookmarkStart w:id="0" w:name="_Toc_4_4_0000000009"/>
      <w:r>
        <w:rPr>
          <w:rFonts w:ascii="方正小标宋_GBK" w:hAnsi="方正小标宋_GBK" w:eastAsia="方正小标宋_GBK" w:cs="方正小标宋_GBK"/>
          <w:color w:val="000000"/>
          <w:sz w:val="44"/>
        </w:rPr>
        <w:t>一、中国共产党宁晋县委员会组织部（本级）收支预算</w:t>
      </w:r>
      <w:bookmarkEnd w:id="0"/>
    </w:p>
    <w:tbl>
      <w:tblPr>
        <w:tblStyle w:val="7"/>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2750" w:type="dxa"/>
            <w:gridSpan w:val="5"/>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6750" w:type="dxa"/>
            <w:gridSpan w:val="3"/>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42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4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r>
    </w:tbl>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ind w:left="0" w:leftChars="0" w:firstLine="0" w:firstLineChars="0"/>
        <w:rPr>
          <w:rFonts w:hint="eastAsia"/>
          <w:lang w:val="en-US" w:eastAsia="zh-CN"/>
        </w:rPr>
      </w:pPr>
    </w:p>
    <w:p>
      <w:pPr>
        <w:rPr>
          <w:rFonts w:hint="eastAsia"/>
          <w:lang w:val="en-US" w:eastAsia="zh-CN"/>
        </w:rPr>
      </w:pPr>
    </w:p>
    <w:p>
      <w:pPr>
        <w:pStyle w:val="2"/>
        <w:rPr>
          <w:rFonts w:hint="eastAsia"/>
          <w:lang w:val="en-US" w:eastAsia="zh-CN"/>
        </w:rPr>
      </w:pPr>
    </w:p>
    <w:tbl>
      <w:tblPr>
        <w:tblStyle w:val="7"/>
        <w:tblW w:w="151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3"/>
        <w:gridCol w:w="1636"/>
        <w:gridCol w:w="3096"/>
        <w:gridCol w:w="1489"/>
        <w:gridCol w:w="1489"/>
        <w:gridCol w:w="1489"/>
        <w:gridCol w:w="744"/>
        <w:gridCol w:w="744"/>
        <w:gridCol w:w="744"/>
        <w:gridCol w:w="744"/>
        <w:gridCol w:w="744"/>
        <w:gridCol w:w="744"/>
        <w:gridCol w:w="7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5150" w:type="dxa"/>
            <w:gridSpan w:val="13"/>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150" w:type="dxa"/>
            <w:gridSpan w:val="9"/>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15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5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65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00" w:type="dxa"/>
            <w:gridSpan w:val="8"/>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6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6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离退休人员管理机构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其他优抚支出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对村民委员会和村党支部的补助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pStyle w:val="2"/>
        <w:rPr>
          <w:rFonts w:hint="eastAsia"/>
          <w:lang w:val="en-US" w:eastAsia="zh-CN"/>
        </w:rPr>
      </w:pPr>
    </w:p>
    <w:p>
      <w:pPr>
        <w:rPr>
          <w:rFonts w:hint="eastAsia"/>
          <w:lang w:val="en-US" w:eastAsia="zh-CN"/>
        </w:rPr>
      </w:pPr>
    </w:p>
    <w:p>
      <w:pPr>
        <w:pStyle w:val="2"/>
        <w:rPr>
          <w:rFonts w:hint="eastAsia"/>
          <w:lang w:val="en-US" w:eastAsia="zh-CN"/>
        </w:rPr>
      </w:pPr>
    </w:p>
    <w:p>
      <w:pPr>
        <w:rPr>
          <w:rFonts w:hint="eastAsia"/>
          <w:lang w:val="en-US" w:eastAsia="zh-CN"/>
        </w:rPr>
      </w:pPr>
    </w:p>
    <w:p>
      <w:pPr>
        <w:rPr>
          <w:rFonts w:hint="eastAsia"/>
          <w:lang w:val="en-US" w:eastAsia="zh-CN"/>
        </w:rPr>
      </w:pPr>
    </w:p>
    <w:tbl>
      <w:tblPr>
        <w:tblStyle w:val="7"/>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2"/>
        <w:gridCol w:w="3096"/>
        <w:gridCol w:w="1490"/>
        <w:gridCol w:w="1489"/>
        <w:gridCol w:w="1490"/>
        <w:gridCol w:w="1484"/>
        <w:gridCol w:w="1484"/>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9"/>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5"/>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6448.49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762.55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离退休人员管理机构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其他优抚支出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对村民委员会和村党支部的补助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p>
      <w:pPr>
        <w:rPr>
          <w:rFonts w:hint="eastAsia" w:ascii="仿宋_GB2312" w:hAnsi="仿宋_GB2312" w:eastAsia="仿宋_GB2312" w:cs="仿宋_GB2312"/>
          <w:sz w:val="30"/>
          <w:szCs w:val="30"/>
        </w:rPr>
      </w:pPr>
    </w:p>
    <w:p>
      <w:pPr>
        <w:pStyle w:val="2"/>
        <w:rPr>
          <w:rFonts w:hint="eastAsia"/>
        </w:rPr>
      </w:pPr>
    </w:p>
    <w:p>
      <w:pPr>
        <w:rPr>
          <w:rFonts w:hint="eastAsia" w:ascii="仿宋_GB2312" w:hAnsi="仿宋_GB2312" w:eastAsia="仿宋_GB2312" w:cs="仿宋_GB2312"/>
          <w:sz w:val="30"/>
          <w:szCs w:val="30"/>
        </w:rPr>
      </w:pPr>
    </w:p>
    <w:p>
      <w:pPr>
        <w:pStyle w:val="2"/>
        <w:rPr>
          <w:rFonts w:hint="eastAsia" w:ascii="仿宋_GB2312" w:hAnsi="仿宋_GB2312" w:eastAsia="仿宋_GB2312" w:cs="仿宋_GB2312"/>
          <w:sz w:val="30"/>
          <w:szCs w:val="30"/>
        </w:rPr>
      </w:pPr>
    </w:p>
    <w:tbl>
      <w:tblPr>
        <w:tblStyle w:val="7"/>
        <w:tblW w:w="146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2460"/>
        <w:gridCol w:w="1500"/>
        <w:gridCol w:w="3900"/>
        <w:gridCol w:w="1500"/>
        <w:gridCol w:w="1500"/>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610" w:type="dxa"/>
            <w:gridSpan w:val="8"/>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610"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60"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9900" w:type="dxa"/>
            <w:gridSpan w:val="5"/>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246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39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246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9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rPr>
          <w:rFonts w:hint="eastAsia"/>
        </w:rPr>
      </w:pPr>
    </w:p>
    <w:p>
      <w:pPr>
        <w:pStyle w:val="2"/>
        <w:rPr>
          <w:rFonts w:hint="eastAsia"/>
        </w:rPr>
      </w:pPr>
    </w:p>
    <w:p>
      <w:pPr>
        <w:rPr>
          <w:rFonts w:hint="eastAsia"/>
        </w:rPr>
      </w:pPr>
    </w:p>
    <w:tbl>
      <w:tblPr>
        <w:tblStyle w:val="7"/>
        <w:tblW w:w="138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0"/>
        <w:gridCol w:w="3096"/>
        <w:gridCol w:w="2374"/>
        <w:gridCol w:w="1193"/>
        <w:gridCol w:w="1193"/>
        <w:gridCol w:w="1191"/>
        <w:gridCol w:w="23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3875" w:type="dxa"/>
            <w:gridSpan w:val="8"/>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075" w:type="dxa"/>
            <w:gridSpan w:val="5"/>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2400" w:type="dxa"/>
            <w:gridSpan w:val="2"/>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24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600" w:type="dxa"/>
            <w:gridSpan w:val="3"/>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24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24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24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562.49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6448.49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762.55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组织事务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1178.42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2013202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离退休人员管理机构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其他优抚支出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对村民委员会和村党支部的补助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tbl>
      <w:tblPr>
        <w:tblStyle w:val="7"/>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5" w:hRule="atLeast"/>
        </w:trPr>
        <w:tc>
          <w:tcPr>
            <w:tcW w:w="14475"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9000" w:type="dxa"/>
            <w:gridSpan w:val="3"/>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623.51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562.49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531.99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531.99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取暖费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475" w:type="dxa"/>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无政府基金预算，空列显示</w:t>
            </w:r>
          </w:p>
        </w:tc>
      </w:tr>
    </w:tbl>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tbl>
      <w:tblPr>
        <w:tblStyle w:val="7"/>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无国有资本经营预算，空列显示</w:t>
            </w:r>
          </w:p>
        </w:tc>
      </w:tr>
    </w:tbl>
    <w:p>
      <w:pPr>
        <w:pStyle w:val="2"/>
        <w:ind w:left="0" w:leftChars="0" w:firstLine="0" w:firstLineChars="0"/>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tbl>
      <w:tblPr>
        <w:tblStyle w:val="7"/>
        <w:tblW w:w="142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2400"/>
        <w:gridCol w:w="2400"/>
        <w:gridCol w:w="2400"/>
        <w:gridCol w:w="2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250" w:type="dxa"/>
            <w:gridSpan w:val="6"/>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50" w:type="dxa"/>
            <w:gridSpan w:val="4"/>
            <w:tcBorders>
              <w:top w:val="nil"/>
              <w:left w:val="nil"/>
              <w:bottom w:val="nil"/>
              <w:right w:val="nil"/>
            </w:tcBorders>
            <w:shd w:val="clear" w:color="auto" w:fill="E4ECF7"/>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预算单位编码及名称：[203</w:t>
            </w:r>
            <w:r>
              <w:rPr>
                <w:rFonts w:hint="default" w:ascii="宋体" w:hAnsi="宋体" w:eastAsia="宋体" w:cs="宋体"/>
                <w:i w:val="0"/>
                <w:iCs w:val="0"/>
                <w:color w:val="000000"/>
                <w:kern w:val="0"/>
                <w:sz w:val="18"/>
                <w:szCs w:val="18"/>
                <w:u w:val="none"/>
                <w:lang w:val="en-US" w:eastAsia="zh-CN" w:bidi="ar"/>
              </w:rPr>
              <w:t>001</w:t>
            </w:r>
            <w:r>
              <w:rPr>
                <w:rFonts w:hint="eastAsia" w:ascii="宋体" w:hAnsi="宋体" w:eastAsia="宋体" w:cs="宋体"/>
                <w:i w:val="0"/>
                <w:iCs w:val="0"/>
                <w:color w:val="000000"/>
                <w:kern w:val="0"/>
                <w:sz w:val="18"/>
                <w:szCs w:val="18"/>
                <w:u w:val="none"/>
                <w:lang w:val="en-US" w:eastAsia="zh-CN" w:bidi="ar"/>
              </w:rPr>
              <w:t>]中国共产党宁晋县委员会组织部（本级）</w:t>
            </w:r>
          </w:p>
        </w:tc>
        <w:tc>
          <w:tcPr>
            <w:tcW w:w="24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E4ECF7"/>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00" w:type="dxa"/>
            <w:vMerge w:val="restart"/>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9600" w:type="dxa"/>
            <w:gridSpan w:val="4"/>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3900" w:type="dxa"/>
            <w:vMerge w:val="continue"/>
            <w:tcBorders>
              <w:top w:val="nil"/>
              <w:left w:val="nil"/>
              <w:bottom w:val="nil"/>
              <w:right w:val="nil"/>
            </w:tcBorders>
            <w:shd w:val="clear" w:color="auto" w:fill="E4ECF7"/>
            <w:vAlign w:val="center"/>
          </w:tcPr>
          <w:p>
            <w:pPr>
              <w:jc w:val="center"/>
              <w:rPr>
                <w:rFonts w:hint="eastAsia" w:ascii="宋体" w:hAnsi="宋体" w:eastAsia="宋体" w:cs="宋体"/>
                <w:i w:val="0"/>
                <w:iCs w:val="0"/>
                <w:color w:val="000000"/>
                <w:sz w:val="18"/>
                <w:szCs w:val="18"/>
                <w:u w:val="none"/>
              </w:rPr>
            </w:pP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00" w:type="dxa"/>
            <w:tcBorders>
              <w:top w:val="nil"/>
              <w:left w:val="nil"/>
              <w:bottom w:val="nil"/>
              <w:right w:val="nil"/>
            </w:tcBorders>
            <w:shd w:val="clear" w:color="auto" w:fill="E4ECF7"/>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pStyle w:val="2"/>
      </w:pPr>
    </w:p>
    <w:p>
      <w:pPr>
        <w:pStyle w:val="2"/>
        <w:ind w:left="0" w:leftChars="0" w:firstLine="0" w:firstLineChars="0"/>
        <w:rPr>
          <w:rFonts w:hint="eastAsia"/>
        </w:rPr>
      </w:pPr>
    </w:p>
    <w:p>
      <w:pPr>
        <w:rPr>
          <w:rFonts w:hint="eastAsia"/>
        </w:rPr>
      </w:pPr>
    </w:p>
    <w:p>
      <w:pPr>
        <w:pStyle w:val="2"/>
        <w:rPr>
          <w:rFonts w:hint="eastAsia"/>
        </w:rPr>
      </w:pPr>
    </w:p>
    <w:p>
      <w:pPr>
        <w:rPr>
          <w:rFonts w:hint="eastAsia"/>
        </w:rPr>
      </w:pPr>
    </w:p>
    <w:p>
      <w:pPr>
        <w:pStyle w:val="2"/>
        <w:rPr>
          <w:rFonts w:hint="eastAsia"/>
        </w:rPr>
      </w:pPr>
    </w:p>
    <w:p>
      <w:pPr>
        <w:spacing w:before="0" w:after="0"/>
        <w:ind w:firstLine="0"/>
        <w:jc w:val="center"/>
        <w:outlineLvl w:val="3"/>
      </w:pPr>
      <w:bookmarkStart w:id="1" w:name="_Toc_4_4_0000000010"/>
      <w:r>
        <w:rPr>
          <w:rFonts w:ascii="方正小标宋_GBK" w:hAnsi="方正小标宋_GBK" w:eastAsia="方正小标宋_GBK" w:cs="方正小标宋_GBK"/>
          <w:color w:val="000000"/>
          <w:sz w:val="44"/>
        </w:rPr>
        <w:t>二、宁晋县党员服务中心收支预算</w:t>
      </w:r>
      <w:bookmarkEnd w:id="1"/>
    </w:p>
    <w:p>
      <w:pPr>
        <w:spacing w:before="0" w:after="0"/>
        <w:ind w:firstLine="0"/>
        <w:jc w:val="center"/>
        <w:outlineLvl w:val="9"/>
      </w:pPr>
    </w:p>
    <w:p>
      <w:pPr>
        <w:spacing w:before="0" w:after="0" w:line="240" w:lineRule="auto"/>
        <w:ind w:firstLine="0"/>
        <w:jc w:val="center"/>
        <w:outlineLvl w:val="4"/>
      </w:pPr>
      <w:r>
        <w:rPr>
          <w:rFonts w:ascii="方正小标宋_GBK" w:hAnsi="方正小标宋_GBK" w:eastAsia="方正小标宋_GBK" w:cs="方正小标宋_GBK"/>
          <w:color w:val="000000"/>
          <w:sz w:val="32"/>
        </w:rPr>
        <w:t>收支预算总表</w:t>
      </w:r>
    </w:p>
    <w:tbl>
      <w:tblPr>
        <w:tblStyle w:val="7"/>
        <w:tblW w:w="88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3"/>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6014" w:type="dxa"/>
            <w:gridSpan w:val="2"/>
            <w:tcBorders>
              <w:top w:val="single" w:color="FFFFFF" w:sz="6" w:space="0"/>
              <w:left w:val="single" w:color="FFFFFF" w:sz="6" w:space="0"/>
              <w:right w:val="single" w:color="FFFFFF" w:sz="6" w:space="0"/>
            </w:tcBorders>
            <w:vAlign w:val="center"/>
          </w:tcPr>
          <w:p>
            <w:pPr>
              <w:pStyle w:val="10"/>
            </w:pPr>
            <w:r>
              <w:t>203004宁晋县党员服务中心</w:t>
            </w:r>
          </w:p>
        </w:tc>
        <w:tc>
          <w:tcPr>
            <w:tcW w:w="2874"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901" w:type="dxa"/>
            <w:vAlign w:val="center"/>
          </w:tcPr>
          <w:p>
            <w:pPr>
              <w:pStyle w:val="12"/>
            </w:pPr>
            <w:r>
              <w:t>项  目代  码</w:t>
            </w:r>
          </w:p>
        </w:tc>
        <w:tc>
          <w:tcPr>
            <w:tcW w:w="5113" w:type="dxa"/>
            <w:vAlign w:val="center"/>
          </w:tcPr>
          <w:p>
            <w:pPr>
              <w:pStyle w:val="12"/>
            </w:pPr>
            <w:r>
              <w:t>预算收支项目</w:t>
            </w:r>
          </w:p>
        </w:tc>
        <w:tc>
          <w:tcPr>
            <w:tcW w:w="2874"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3"/>
            </w:pPr>
          </w:p>
        </w:tc>
        <w:tc>
          <w:tcPr>
            <w:tcW w:w="5113" w:type="dxa"/>
            <w:vAlign w:val="center"/>
          </w:tcPr>
          <w:p>
            <w:pPr>
              <w:pStyle w:val="13"/>
            </w:pPr>
            <w:r>
              <w:t>预算收入</w:t>
            </w:r>
          </w:p>
        </w:tc>
        <w:tc>
          <w:tcPr>
            <w:tcW w:w="28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3"/>
            </w:pPr>
          </w:p>
        </w:tc>
        <w:tc>
          <w:tcPr>
            <w:tcW w:w="5113" w:type="dxa"/>
            <w:vAlign w:val="center"/>
          </w:tcPr>
          <w:p>
            <w:pPr>
              <w:pStyle w:val="15"/>
            </w:pPr>
            <w:r>
              <w:t>　　本年收入</w:t>
            </w:r>
          </w:p>
        </w:tc>
        <w:tc>
          <w:tcPr>
            <w:tcW w:w="28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1</w:t>
            </w:r>
          </w:p>
        </w:tc>
        <w:tc>
          <w:tcPr>
            <w:tcW w:w="5113" w:type="dxa"/>
            <w:vAlign w:val="center"/>
          </w:tcPr>
          <w:p>
            <w:pPr>
              <w:pStyle w:val="17"/>
            </w:pPr>
            <w:r>
              <w:t>一般公共预算拨款</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其中：一般财力</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行政事业性收费</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专项收入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国有资源（资产）有偿使用收入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政府住房基金收入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上级一般公共预算安排转移支付</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一般债券</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其他</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2</w:t>
            </w:r>
          </w:p>
        </w:tc>
        <w:tc>
          <w:tcPr>
            <w:tcW w:w="5113" w:type="dxa"/>
            <w:vAlign w:val="center"/>
          </w:tcPr>
          <w:p>
            <w:pPr>
              <w:pStyle w:val="17"/>
            </w:pPr>
            <w:r>
              <w:t>基金预算拨款</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其中：政府性基金收入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专项债券对应项目专项收入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上级政府性基金预算安排转移支付</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专项债券</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3</w:t>
            </w:r>
          </w:p>
        </w:tc>
        <w:tc>
          <w:tcPr>
            <w:tcW w:w="5113" w:type="dxa"/>
            <w:vAlign w:val="center"/>
          </w:tcPr>
          <w:p>
            <w:pPr>
              <w:pStyle w:val="17"/>
            </w:pPr>
            <w:r>
              <w:t>国有资本经营预算拨款</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其中：国有资本经营收入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上级国有资本经营预算安排转移支付</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4</w:t>
            </w:r>
          </w:p>
        </w:tc>
        <w:tc>
          <w:tcPr>
            <w:tcW w:w="5113" w:type="dxa"/>
            <w:vAlign w:val="center"/>
          </w:tcPr>
          <w:p>
            <w:pPr>
              <w:pStyle w:val="17"/>
            </w:pPr>
            <w:r>
              <w:t>财政专户核拨</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5</w:t>
            </w:r>
          </w:p>
        </w:tc>
        <w:tc>
          <w:tcPr>
            <w:tcW w:w="5113" w:type="dxa"/>
            <w:vAlign w:val="center"/>
          </w:tcPr>
          <w:p>
            <w:pPr>
              <w:pStyle w:val="17"/>
            </w:pPr>
            <w:r>
              <w:t>单位资金</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其中：事业收入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上级补助收入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附属单位上缴收入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事业单位经营收入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其他收入</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3"/>
            </w:pPr>
          </w:p>
        </w:tc>
        <w:tc>
          <w:tcPr>
            <w:tcW w:w="5113" w:type="dxa"/>
            <w:vAlign w:val="center"/>
          </w:tcPr>
          <w:p>
            <w:pPr>
              <w:pStyle w:val="15"/>
            </w:pPr>
            <w:r>
              <w:t>　　上年结转结余</w:t>
            </w:r>
          </w:p>
        </w:tc>
        <w:tc>
          <w:tcPr>
            <w:tcW w:w="28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1</w:t>
            </w:r>
          </w:p>
        </w:tc>
        <w:tc>
          <w:tcPr>
            <w:tcW w:w="5113" w:type="dxa"/>
            <w:vAlign w:val="center"/>
          </w:tcPr>
          <w:p>
            <w:pPr>
              <w:pStyle w:val="17"/>
            </w:pPr>
            <w:r>
              <w:t>财政拨款结转</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其中：一般公共预算拨款</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基金预算拨款</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国有资本经营预算拨款</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2</w:t>
            </w:r>
          </w:p>
        </w:tc>
        <w:tc>
          <w:tcPr>
            <w:tcW w:w="5113" w:type="dxa"/>
            <w:vAlign w:val="center"/>
          </w:tcPr>
          <w:p>
            <w:pPr>
              <w:pStyle w:val="17"/>
            </w:pPr>
            <w:r>
              <w:t>非财政拨款结转结余</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其中：财政专户核拨</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单位资金</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3"/>
            </w:pPr>
          </w:p>
        </w:tc>
        <w:tc>
          <w:tcPr>
            <w:tcW w:w="5113" w:type="dxa"/>
            <w:vAlign w:val="center"/>
          </w:tcPr>
          <w:p>
            <w:pPr>
              <w:pStyle w:val="13"/>
            </w:pPr>
            <w:r>
              <w:t>预算支出</w:t>
            </w:r>
          </w:p>
        </w:tc>
        <w:tc>
          <w:tcPr>
            <w:tcW w:w="28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1</w:t>
            </w:r>
          </w:p>
        </w:tc>
        <w:tc>
          <w:tcPr>
            <w:tcW w:w="5113" w:type="dxa"/>
            <w:vAlign w:val="center"/>
          </w:tcPr>
          <w:p>
            <w:pPr>
              <w:pStyle w:val="17"/>
            </w:pPr>
            <w:r>
              <w:t>基本支出</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其中：人员经费</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p>
        </w:tc>
        <w:tc>
          <w:tcPr>
            <w:tcW w:w="5113" w:type="dxa"/>
            <w:vAlign w:val="center"/>
          </w:tcPr>
          <w:p>
            <w:pPr>
              <w:pStyle w:val="17"/>
            </w:pPr>
            <w:r>
              <w:t>　　　日常公用经费</w:t>
            </w:r>
          </w:p>
        </w:tc>
        <w:tc>
          <w:tcPr>
            <w:tcW w:w="28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6"/>
            </w:pPr>
            <w:r>
              <w:t>2</w:t>
            </w:r>
          </w:p>
        </w:tc>
        <w:tc>
          <w:tcPr>
            <w:tcW w:w="5113" w:type="dxa"/>
            <w:vAlign w:val="center"/>
          </w:tcPr>
          <w:p>
            <w:pPr>
              <w:pStyle w:val="17"/>
            </w:pPr>
            <w:r>
              <w:t>项目支出</w:t>
            </w:r>
          </w:p>
        </w:tc>
        <w:tc>
          <w:tcPr>
            <w:tcW w:w="2874" w:type="dxa"/>
            <w:vAlign w:val="center"/>
          </w:tcPr>
          <w:p>
            <w:pPr>
              <w:pStyle w:val="18"/>
            </w:pPr>
          </w:p>
        </w:tc>
      </w:tr>
    </w:tbl>
    <w:p/>
    <w:p>
      <w:pPr>
        <w:rPr>
          <w:rFonts w:hint="eastAsia"/>
        </w:rPr>
      </w:pPr>
    </w:p>
    <w:sectPr>
      <w:headerReference r:id="rId9" w:type="default"/>
      <w:footerReference r:id="rId10" w:type="default"/>
      <w:pgSz w:w="16838" w:h="11906" w:orient="landscape"/>
      <w:pgMar w:top="1588" w:right="2155" w:bottom="1531" w:left="1588" w:header="0" w:footer="1588" w:gutter="0"/>
      <w:pgNumType w:fmt="decimal"/>
      <w:cols w:space="720" w:num="1"/>
      <w:docGrid w:linePitch="569" w:charSpace="-126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right" w:y="1"/>
      <w:rPr>
        <w:rStyle w:val="9"/>
        <w:rFonts w:ascii="仿宋_GB2312"/>
        <w:sz w:val="28"/>
      </w:rPr>
    </w:pPr>
    <w:r>
      <w:rPr>
        <w:rStyle w:val="9"/>
        <w:rFonts w:hint="eastAsia" w:ascii="仿宋_GB2312"/>
        <w:sz w:val="28"/>
      </w:rPr>
      <w:t>-</w:t>
    </w:r>
    <w:r>
      <w:rPr>
        <w:rFonts w:hint="eastAsia" w:ascii="仿宋_GB2312"/>
        <w:sz w:val="28"/>
        <w:szCs w:val="28"/>
      </w:rPr>
      <w:fldChar w:fldCharType="begin"/>
    </w:r>
    <w:r>
      <w:rPr>
        <w:rStyle w:val="9"/>
        <w:rFonts w:hint="eastAsia" w:ascii="仿宋_GB2312"/>
        <w:sz w:val="28"/>
        <w:szCs w:val="28"/>
      </w:rPr>
      <w:instrText xml:space="preserve"> PAGE </w:instrText>
    </w:r>
    <w:r>
      <w:rPr>
        <w:rFonts w:hint="eastAsia" w:ascii="仿宋_GB2312"/>
        <w:sz w:val="28"/>
        <w:szCs w:val="28"/>
      </w:rPr>
      <w:fldChar w:fldCharType="separate"/>
    </w:r>
    <w:r>
      <w:rPr>
        <w:rStyle w:val="9"/>
        <w:rFonts w:ascii="仿宋_GB2312"/>
        <w:sz w:val="28"/>
        <w:szCs w:val="28"/>
      </w:rPr>
      <w:t>8</w:t>
    </w:r>
    <w:r>
      <w:rPr>
        <w:rFonts w:hint="eastAsia" w:ascii="仿宋_GB2312"/>
        <w:sz w:val="28"/>
        <w:szCs w:val="28"/>
      </w:rPr>
      <w:fldChar w:fldCharType="end"/>
    </w:r>
    <w:r>
      <w:rPr>
        <w:rStyle w:val="9"/>
        <w:rFonts w:hint="eastAsia" w:ascii="仿宋_GB2312"/>
        <w:sz w:val="28"/>
        <w:szCs w:val="28"/>
      </w:rPr>
      <w:t>-</w:t>
    </w:r>
  </w:p>
  <w:p>
    <w:pPr>
      <w:pStyle w:val="4"/>
      <w:ind w:right="360"/>
      <w:jc w:val="right"/>
      <w:rPr>
        <w:rFonts w:ascii="仿宋_GB2312"/>
        <w:sz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jc w:val="right"/>
      <w:rPr>
        <w:rFonts w:hint="eastAsia" w:ascii="仿宋_GB2312"/>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F65DC0"/>
    <w:multiLevelType w:val="multilevel"/>
    <w:tmpl w:val="17F65DC0"/>
    <w:lvl w:ilvl="0" w:tentative="0">
      <w:start w:val="4"/>
      <w:numFmt w:val="japaneseCounting"/>
      <w:lvlText w:val="%1、"/>
      <w:lvlJc w:val="left"/>
      <w:pPr>
        <w:ind w:left="1440" w:hanging="720"/>
      </w:pPr>
      <w:rPr>
        <w:rFonts w:hint="default"/>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abstractNum w:abstractNumId="1">
    <w:nsid w:val="589A8F38"/>
    <w:multiLevelType w:val="singleLevel"/>
    <w:tmpl w:val="589A8F38"/>
    <w:lvl w:ilvl="0" w:tentative="0">
      <w:start w:val="1"/>
      <w:numFmt w:val="decimal"/>
      <w:suff w:val="nothing"/>
      <w:lvlText w:val="%1、"/>
      <w:lvlJc w:val="left"/>
    </w:lvl>
  </w:abstractNum>
  <w:abstractNum w:abstractNumId="2">
    <w:nsid w:val="589A9132"/>
    <w:multiLevelType w:val="singleLevel"/>
    <w:tmpl w:val="589A9132"/>
    <w:lvl w:ilvl="0" w:tentative="0">
      <w:start w:val="1"/>
      <w:numFmt w:val="decimal"/>
      <w:suff w:val="nothing"/>
      <w:lvlText w:val="%1、"/>
      <w:lvlJc w:val="left"/>
    </w:lvl>
  </w:abstractNum>
  <w:abstractNum w:abstractNumId="3">
    <w:nsid w:val="59424D55"/>
    <w:multiLevelType w:val="singleLevel"/>
    <w:tmpl w:val="59424D55"/>
    <w:lvl w:ilvl="0" w:tentative="0">
      <w:start w:val="9"/>
      <w:numFmt w:val="chineseCounting"/>
      <w:suff w:val="nothing"/>
      <w:lvlText w:val="%1、"/>
      <w:lvlJc w:val="left"/>
    </w:lvl>
  </w:abstractNum>
  <w:abstractNum w:abstractNumId="4">
    <w:nsid w:val="703C7982"/>
    <w:multiLevelType w:val="multilevel"/>
    <w:tmpl w:val="703C7982"/>
    <w:lvl w:ilvl="0" w:tentative="0">
      <w:start w:val="7"/>
      <w:numFmt w:val="japaneseCounting"/>
      <w:lvlText w:val="%1、"/>
      <w:lvlJc w:val="left"/>
      <w:pPr>
        <w:tabs>
          <w:tab w:val="left" w:pos="1348"/>
        </w:tabs>
        <w:ind w:left="1348" w:hanging="720"/>
      </w:pPr>
      <w:rPr>
        <w:rFonts w:hint="default"/>
        <w:b/>
        <w:color w:val="000000"/>
      </w:rPr>
    </w:lvl>
    <w:lvl w:ilvl="1" w:tentative="0">
      <w:start w:val="1"/>
      <w:numFmt w:val="lowerLetter"/>
      <w:lvlText w:val="%2)"/>
      <w:lvlJc w:val="left"/>
      <w:pPr>
        <w:tabs>
          <w:tab w:val="left" w:pos="1468"/>
        </w:tabs>
        <w:ind w:left="1468" w:hanging="420"/>
      </w:pPr>
    </w:lvl>
    <w:lvl w:ilvl="2" w:tentative="0">
      <w:start w:val="1"/>
      <w:numFmt w:val="lowerRoman"/>
      <w:lvlText w:val="%3."/>
      <w:lvlJc w:val="right"/>
      <w:pPr>
        <w:tabs>
          <w:tab w:val="left" w:pos="1888"/>
        </w:tabs>
        <w:ind w:left="1888" w:hanging="420"/>
      </w:pPr>
    </w:lvl>
    <w:lvl w:ilvl="3" w:tentative="0">
      <w:start w:val="1"/>
      <w:numFmt w:val="decimal"/>
      <w:lvlText w:val="%4."/>
      <w:lvlJc w:val="left"/>
      <w:pPr>
        <w:tabs>
          <w:tab w:val="left" w:pos="2308"/>
        </w:tabs>
        <w:ind w:left="2308" w:hanging="420"/>
      </w:pPr>
    </w:lvl>
    <w:lvl w:ilvl="4" w:tentative="0">
      <w:start w:val="1"/>
      <w:numFmt w:val="lowerLetter"/>
      <w:lvlText w:val="%5)"/>
      <w:lvlJc w:val="left"/>
      <w:pPr>
        <w:tabs>
          <w:tab w:val="left" w:pos="2728"/>
        </w:tabs>
        <w:ind w:left="2728" w:hanging="420"/>
      </w:pPr>
    </w:lvl>
    <w:lvl w:ilvl="5" w:tentative="0">
      <w:start w:val="1"/>
      <w:numFmt w:val="lowerRoman"/>
      <w:lvlText w:val="%6."/>
      <w:lvlJc w:val="right"/>
      <w:pPr>
        <w:tabs>
          <w:tab w:val="left" w:pos="3148"/>
        </w:tabs>
        <w:ind w:left="3148" w:hanging="420"/>
      </w:pPr>
    </w:lvl>
    <w:lvl w:ilvl="6" w:tentative="0">
      <w:start w:val="1"/>
      <w:numFmt w:val="decimal"/>
      <w:lvlText w:val="%7."/>
      <w:lvlJc w:val="left"/>
      <w:pPr>
        <w:tabs>
          <w:tab w:val="left" w:pos="3568"/>
        </w:tabs>
        <w:ind w:left="3568" w:hanging="420"/>
      </w:pPr>
    </w:lvl>
    <w:lvl w:ilvl="7" w:tentative="0">
      <w:start w:val="1"/>
      <w:numFmt w:val="lowerLetter"/>
      <w:lvlText w:val="%8)"/>
      <w:lvlJc w:val="left"/>
      <w:pPr>
        <w:tabs>
          <w:tab w:val="left" w:pos="3988"/>
        </w:tabs>
        <w:ind w:left="3988" w:hanging="420"/>
      </w:pPr>
    </w:lvl>
    <w:lvl w:ilvl="8" w:tentative="0">
      <w:start w:val="1"/>
      <w:numFmt w:val="lowerRoman"/>
      <w:lvlText w:val="%9."/>
      <w:lvlJc w:val="right"/>
      <w:pPr>
        <w:tabs>
          <w:tab w:val="left" w:pos="4408"/>
        </w:tabs>
        <w:ind w:left="4408" w:hanging="420"/>
      </w:pPr>
    </w:lvl>
  </w:abstractNum>
  <w:abstractNum w:abstractNumId="5">
    <w:nsid w:val="7C804643"/>
    <w:multiLevelType w:val="singleLevel"/>
    <w:tmpl w:val="7C804643"/>
    <w:lvl w:ilvl="0" w:tentative="0">
      <w:start w:val="1"/>
      <w:numFmt w:val="chineseCounting"/>
      <w:suff w:val="nothing"/>
      <w:lvlText w:val="（%1）"/>
      <w:lvlJc w:val="left"/>
      <w:rPr>
        <w:rFonts w:hint="eastAsia"/>
      </w:rPr>
    </w:lvl>
  </w:abstractNum>
  <w:num w:numId="1">
    <w:abstractNumId w:val="1"/>
  </w:num>
  <w:num w:numId="2">
    <w:abstractNumId w:val="2"/>
  </w:num>
  <w:num w:numId="3">
    <w:abstractNumId w:val="5"/>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NWUwZWQ0ZWY4NGY5MjZkYzU3ZGI3ODMyNmNiNmIifQ=="/>
  </w:docVars>
  <w:rsids>
    <w:rsidRoot w:val="00172A27"/>
    <w:rsid w:val="03943CF4"/>
    <w:rsid w:val="0DBF2268"/>
    <w:rsid w:val="13E773A9"/>
    <w:rsid w:val="148C1541"/>
    <w:rsid w:val="15265CEE"/>
    <w:rsid w:val="160A0820"/>
    <w:rsid w:val="2154192A"/>
    <w:rsid w:val="2806337F"/>
    <w:rsid w:val="28D45CCC"/>
    <w:rsid w:val="2F3A077D"/>
    <w:rsid w:val="3AD25FE5"/>
    <w:rsid w:val="437D305F"/>
    <w:rsid w:val="456D1186"/>
    <w:rsid w:val="47105DC0"/>
    <w:rsid w:val="4772351A"/>
    <w:rsid w:val="4C1C4EFE"/>
    <w:rsid w:val="4DF65065"/>
    <w:rsid w:val="55701F07"/>
    <w:rsid w:val="59885927"/>
    <w:rsid w:val="61D52804"/>
    <w:rsid w:val="6EB44FAE"/>
    <w:rsid w:val="77A44D6E"/>
    <w:rsid w:val="7E033A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9">
    <w:name w:val="page number"/>
    <w:basedOn w:val="8"/>
    <w:qFormat/>
    <w:uiPriority w:val="0"/>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theme/theme1.xml" Type="http://schemas.openxmlformats.org/officeDocument/2006/relationships/theme"/><Relationship Id="rId12" Target="numbering.xml" Type="http://schemas.openxmlformats.org/officeDocument/2006/relationships/numbering"/><Relationship Id="rId13"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header1.xml" Type="http://schemas.openxmlformats.org/officeDocument/2006/relationships/header"/><Relationship Id="rId6" Target="footer3.xml" Type="http://schemas.openxmlformats.org/officeDocument/2006/relationships/footer"/><Relationship Id="rId7" Target="footer4.xml" Type="http://schemas.openxmlformats.org/officeDocument/2006/relationships/footer"/><Relationship Id="rId8" Target="footer5.xml" Type="http://schemas.openxmlformats.org/officeDocument/2006/relationships/footer"/><Relationship Id="rId9" Target="header2.xml" Type="http://schemas.openxmlformats.org/officeDocument/2006/relationships/head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61</Pages>
  <Words>17375</Words>
  <Characters>21464</Characters>
  <Lines>0</Lines>
  <Paragraphs>0</Paragraphs>
  <TotalTime>0</TotalTime>
  <ScaleCrop>false</ScaleCrop>
  <LinksUpToDate>false</LinksUpToDate>
  <CharactersWithSpaces>23292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2020-02-24T01:59:00Z</dcterms:created>
  <dc:creator>赵雪</dc:creator>
  <cp:lastModifiedBy>你渴望力量吗？</cp:lastModifiedBy>
  <dcterms:modified xsi:type="dcterms:W3CDTF">2024-05-30T06:48:16Z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3DE3EFA16C714603826DC99C698AE523</vt:lpwstr>
  </property>
</Properties>
</file>