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9" w:name="_GoBack"/>
      <w:bookmarkEnd w:id="19"/>
      <w:r>
        <w:rPr>
          <w:rFonts w:ascii="黑体" w:hAnsi="黑体" w:eastAsia="黑体" w:cs="黑体"/>
          <w:b/>
          <w:color w:val="000000"/>
          <w:sz w:val="44"/>
        </w:rPr>
        <w:t>202</w:t>
      </w:r>
      <w:r>
        <w:rPr>
          <w:rFonts w:hint="eastAsia" w:ascii="黑体" w:hAnsi="黑体" w:eastAsia="黑体" w:cs="黑体"/>
          <w:b/>
          <w:color w:val="000000"/>
          <w:sz w:val="44"/>
          <w:lang w:eastAsia="zh-CN"/>
        </w:rPr>
        <w:t>1</w:t>
      </w:r>
      <w:r>
        <w:rPr>
          <w:rFonts w:ascii="黑体" w:hAnsi="黑体" w:eastAsia="黑体" w:cs="黑体"/>
          <w:b/>
          <w:color w:val="000000"/>
          <w:sz w:val="44"/>
        </w:rPr>
        <w:t>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pPr>
        <w:ind w:firstLine="560" w:firstLineChars="200"/>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ind w:firstLine="560" w:firstLineChars="200"/>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rPr>
          <w:rFonts w:hint="eastAsia"/>
          <w:lang w:eastAsia="zh-CN"/>
        </w:rPr>
        <w:t>3</w:t>
      </w:r>
      <w:r>
        <w:t>0</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eastAsia="zh-CN"/>
        </w:rPr>
        <w:t>3</w:t>
      </w:r>
      <w:r>
        <w:fldChar w:fldCharType="begin"/>
      </w:r>
      <w:r>
        <w:instrText xml:space="preserve">PAGEREF _Toc_3_3_0000000012 \h</w:instrText>
      </w:r>
      <w:r>
        <w:fldChar w:fldCharType="separate"/>
      </w:r>
      <w:r>
        <w:t>1</w:t>
      </w:r>
      <w:r>
        <w:fldChar w:fldCharType="end"/>
      </w:r>
      <w:r>
        <w:fldChar w:fldCharType="end"/>
      </w:r>
    </w:p>
    <w:p>
      <w:pPr>
        <w:pStyle w:val="5"/>
        <w:tabs>
          <w:tab w:val="right" w:leader="dot" w:pos="14562"/>
        </w:tabs>
        <w:rPr>
          <w:lang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eastAsia="zh-CN"/>
        </w:rPr>
        <w:t>3</w:t>
      </w:r>
      <w:r>
        <w:rPr>
          <w:rFonts w:hint="eastAsia"/>
          <w:lang w:eastAsia="zh-CN"/>
        </w:rPr>
        <w:fldChar w:fldCharType="end"/>
      </w:r>
      <w:r>
        <w:rPr>
          <w:rFonts w:hint="eastAsia"/>
          <w:lang w:eastAsia="zh-CN"/>
        </w:rPr>
        <w:t>2</w:t>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rPr>
          <w:rFonts w:hint="eastAsia"/>
          <w:lang w:eastAsia="zh-CN"/>
        </w:rPr>
        <w:t>32</w:t>
      </w:r>
      <w:r>
        <w:fldChar w:fldCharType="end"/>
      </w:r>
      <w:r>
        <w:fldChar w:fldCharType="end"/>
      </w:r>
    </w:p>
    <w:p>
      <w:pPr>
        <w:pStyle w:val="5"/>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rPr>
          <w:rFonts w:hint="eastAsia"/>
          <w:lang w:eastAsia="zh-CN"/>
        </w:rPr>
        <w:t>6</w:t>
      </w:r>
      <w:r>
        <w:rPr>
          <w:rFonts w:hint="eastAsia"/>
          <w:lang w:eastAsia="zh-CN"/>
        </w:rPr>
        <w:fldChar w:fldCharType="end"/>
      </w:r>
      <w:r>
        <w:rPr>
          <w:rFonts w:hint="eastAsia"/>
          <w:lang w:eastAsia="zh-CN"/>
        </w:rPr>
        <w:t>4</w:t>
      </w:r>
    </w:p>
    <w:p>
      <w:pPr>
        <w:pStyle w:val="5"/>
        <w:tabs>
          <w:tab w:val="right" w:leader="dot" w:pos="14562"/>
        </w:tabs>
        <w:rPr>
          <w:lang w:eastAsia="zh-CN"/>
        </w:rPr>
      </w:pPr>
      <w:r>
        <w:fldChar w:fldCharType="begin"/>
      </w:r>
      <w:r>
        <w:instrText xml:space="preserve"> HYPERLINK \l "_Toc_3_3_0000000016" </w:instrText>
      </w:r>
      <w:r>
        <w:fldChar w:fldCharType="separate"/>
      </w:r>
      <w:r>
        <w:t>七、国有资产信息</w:t>
      </w:r>
      <w:r>
        <w:tab/>
      </w:r>
      <w:r>
        <w:fldChar w:fldCharType="end"/>
      </w:r>
      <w:r>
        <w:rPr>
          <w:rFonts w:hint="eastAsia"/>
          <w:lang w:eastAsia="zh-CN"/>
        </w:rPr>
        <w:t>64</w:t>
      </w:r>
    </w:p>
    <w:p>
      <w:pPr>
        <w:pStyle w:val="5"/>
        <w:tabs>
          <w:tab w:val="right" w:leader="dot" w:pos="14562"/>
        </w:tabs>
        <w:rPr>
          <w:lang w:eastAsia="zh-CN"/>
        </w:rPr>
      </w:pPr>
      <w:r>
        <w:fldChar w:fldCharType="begin"/>
      </w:r>
      <w:r>
        <w:instrText xml:space="preserve"> HYPERLINK \l "_Toc_3_3_0000000017" </w:instrText>
      </w:r>
      <w:r>
        <w:fldChar w:fldCharType="separate"/>
      </w:r>
      <w:r>
        <w:t>八、名词解释</w:t>
      </w:r>
      <w:r>
        <w:tab/>
      </w:r>
      <w:r>
        <w:rPr>
          <w:rFonts w:hint="eastAsia"/>
          <w:lang w:eastAsia="zh-CN"/>
        </w:rPr>
        <w:t>6</w:t>
      </w:r>
      <w:r>
        <w:fldChar w:fldCharType="begin"/>
      </w:r>
      <w:r>
        <w:instrText xml:space="preserve">PAGEREF _Toc_3_3_0000000017 \h</w:instrText>
      </w:r>
      <w:r>
        <w:fldChar w:fldCharType="separate"/>
      </w:r>
      <w:r>
        <w:rPr>
          <w:rFonts w:hint="eastAsia"/>
          <w:lang w:eastAsia="zh-CN"/>
        </w:rPr>
        <w:t>5</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eastAsia="zh-CN"/>
        </w:rPr>
        <w:t>66</w:t>
      </w:r>
      <w:r>
        <w:rPr>
          <w:rFonts w:hint="eastAsia"/>
          <w:lang w:eastAsia="zh-CN"/>
        </w:rPr>
        <w:fldChar w:fldCharType="end"/>
      </w:r>
    </w:p>
    <w:p>
      <w:r>
        <w:fldChar w:fldCharType="end"/>
      </w:r>
    </w:p>
    <w:p>
      <w:pPr>
        <w:jc w:val="center"/>
      </w:pPr>
      <w:r>
        <w:rPr>
          <w:rFonts w:ascii="黑体" w:hAnsi="黑体" w:eastAsia="黑体" w:cs="黑体"/>
          <w:b/>
          <w:color w:val="000000"/>
          <w:sz w:val="30"/>
        </w:rPr>
        <w:t>第二部分  部门所属单位预算</w:t>
      </w:r>
    </w:p>
    <w:p>
      <w:pPr>
        <w:pStyle w:val="5"/>
        <w:tabs>
          <w:tab w:val="right" w:leader="dot" w:pos="14562"/>
        </w:tabs>
        <w:rPr>
          <w:rFonts w:hint="eastAsia"/>
          <w:lang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一、宁晋县发展和改革局本级收支预算</w:t>
      </w:r>
      <w:r>
        <w:tab/>
      </w:r>
      <w:r>
        <w:fldChar w:fldCharType="begin"/>
      </w:r>
      <w:r>
        <w:instrText xml:space="preserve">PAGEREF _Toc_4_4_0000000019 \h</w:instrText>
      </w:r>
      <w:r>
        <w:fldChar w:fldCharType="separate"/>
      </w:r>
      <w:r>
        <w:rPr>
          <w:rFonts w:hint="eastAsia"/>
          <w:lang w:eastAsia="zh-CN"/>
        </w:rPr>
        <w:t>67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75"/>
        <w:gridCol w:w="3857"/>
        <w:gridCol w:w="2415"/>
        <w:gridCol w:w="6677"/>
        <w:gridCol w:w="1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2" w:type="pct"/>
            <w:gridSpan w:val="2"/>
            <w:tcBorders>
              <w:top w:val="single" w:color="FFFFFF" w:sz="6" w:space="0"/>
              <w:left w:val="single" w:color="FFFFFF" w:sz="6" w:space="0"/>
              <w:right w:val="single" w:color="FFFFFF" w:sz="6" w:space="0"/>
            </w:tcBorders>
            <w:vAlign w:val="center"/>
          </w:tcPr>
          <w:p>
            <w:pPr>
              <w:pStyle w:val="13"/>
            </w:pPr>
            <w:r>
              <w:t>303宁晋县发展和改革局</w:t>
            </w:r>
          </w:p>
        </w:tc>
        <w:tc>
          <w:tcPr>
            <w:tcW w:w="804" w:type="pct"/>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2652"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Merge w:val="restart"/>
            <w:vAlign w:val="center"/>
          </w:tcPr>
          <w:p>
            <w:pPr>
              <w:pStyle w:val="14"/>
            </w:pPr>
            <w:r>
              <w:t>序号</w:t>
            </w:r>
          </w:p>
        </w:tc>
        <w:tc>
          <w:tcPr>
            <w:tcW w:w="2088" w:type="pct"/>
            <w:gridSpan w:val="2"/>
            <w:vAlign w:val="center"/>
          </w:tcPr>
          <w:p>
            <w:pPr>
              <w:pStyle w:val="14"/>
            </w:pPr>
            <w:r>
              <w:t>收入</w:t>
            </w:r>
          </w:p>
        </w:tc>
        <w:tc>
          <w:tcPr>
            <w:tcW w:w="2652" w:type="pct"/>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Merge w:val="continue"/>
          </w:tcPr>
          <w:p/>
        </w:tc>
        <w:tc>
          <w:tcPr>
            <w:tcW w:w="1283" w:type="pct"/>
            <w:vAlign w:val="center"/>
          </w:tcPr>
          <w:p>
            <w:pPr>
              <w:pStyle w:val="14"/>
            </w:pPr>
            <w:r>
              <w:t>项  目</w:t>
            </w:r>
          </w:p>
        </w:tc>
        <w:tc>
          <w:tcPr>
            <w:tcW w:w="804" w:type="pct"/>
            <w:vAlign w:val="center"/>
          </w:tcPr>
          <w:p>
            <w:pPr>
              <w:pStyle w:val="14"/>
            </w:pPr>
            <w:r>
              <w:t>预算数</w:t>
            </w:r>
          </w:p>
        </w:tc>
        <w:tc>
          <w:tcPr>
            <w:tcW w:w="2223" w:type="pct"/>
            <w:vAlign w:val="center"/>
          </w:tcPr>
          <w:p>
            <w:pPr>
              <w:pStyle w:val="14"/>
            </w:pPr>
            <w:r>
              <w:t>项  目</w:t>
            </w:r>
          </w:p>
        </w:tc>
        <w:tc>
          <w:tcPr>
            <w:tcW w:w="428" w:type="pct"/>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Align w:val="center"/>
          </w:tcPr>
          <w:p>
            <w:pPr>
              <w:pStyle w:val="14"/>
            </w:pPr>
            <w:r>
              <w:t>栏次</w:t>
            </w:r>
          </w:p>
        </w:tc>
        <w:tc>
          <w:tcPr>
            <w:tcW w:w="1283" w:type="pct"/>
            <w:vAlign w:val="center"/>
          </w:tcPr>
          <w:p>
            <w:pPr>
              <w:pStyle w:val="14"/>
            </w:pPr>
            <w:r>
              <w:t>1</w:t>
            </w:r>
          </w:p>
        </w:tc>
        <w:tc>
          <w:tcPr>
            <w:tcW w:w="804" w:type="pct"/>
            <w:vAlign w:val="center"/>
          </w:tcPr>
          <w:p>
            <w:pPr>
              <w:pStyle w:val="14"/>
            </w:pPr>
            <w:r>
              <w:t>2</w:t>
            </w:r>
          </w:p>
        </w:tc>
        <w:tc>
          <w:tcPr>
            <w:tcW w:w="2223" w:type="pct"/>
            <w:vAlign w:val="center"/>
          </w:tcPr>
          <w:p>
            <w:pPr>
              <w:pStyle w:val="14"/>
            </w:pPr>
            <w:r>
              <w:t>3</w:t>
            </w:r>
          </w:p>
        </w:tc>
        <w:tc>
          <w:tcPr>
            <w:tcW w:w="428" w:type="pct"/>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58" w:type="pct"/>
            <w:vAlign w:val="center"/>
          </w:tcPr>
          <w:p>
            <w:pPr>
              <w:pStyle w:val="17"/>
            </w:pPr>
            <w:r>
              <w:t>1</w:t>
            </w:r>
          </w:p>
        </w:tc>
        <w:tc>
          <w:tcPr>
            <w:tcW w:w="3857" w:type="dxa"/>
            <w:vAlign w:val="center"/>
          </w:tcPr>
          <w:p>
            <w:pPr>
              <w:textAlignment w:val="center"/>
              <w:rPr>
                <w:b/>
                <w:bCs/>
                <w:sz w:val="28"/>
                <w:szCs w:val="28"/>
              </w:rPr>
            </w:pPr>
            <w:r>
              <w:rPr>
                <w:rFonts w:hint="eastAsia" w:ascii="宋体" w:hAnsi="宋体" w:eastAsia="宋体" w:cs="宋体"/>
                <w:b/>
                <w:bCs/>
                <w:color w:val="000000"/>
                <w:sz w:val="20"/>
                <w:szCs w:val="20"/>
                <w:lang w:eastAsia="zh-CN"/>
              </w:rPr>
              <w:t>一、一般公共预算拨款收入</w:t>
            </w:r>
          </w:p>
        </w:tc>
        <w:tc>
          <w:tcPr>
            <w:tcW w:w="2415" w:type="dxa"/>
            <w:vAlign w:val="center"/>
          </w:tcPr>
          <w:p>
            <w:pPr>
              <w:jc w:val="right"/>
              <w:textAlignment w:val="center"/>
              <w:rPr>
                <w:rFonts w:eastAsia="方正书宋_GBK"/>
                <w:b/>
                <w:bCs/>
                <w:sz w:val="28"/>
                <w:szCs w:val="28"/>
                <w:lang w:eastAsia="zh-CN"/>
              </w:rPr>
            </w:pPr>
            <w:r>
              <w:rPr>
                <w:rFonts w:hint="eastAsia" w:ascii="宋体" w:hAnsi="宋体" w:eastAsia="宋体" w:cs="宋体"/>
                <w:b/>
                <w:bCs/>
                <w:color w:val="000000"/>
                <w:sz w:val="20"/>
                <w:szCs w:val="20"/>
                <w:lang w:eastAsia="zh-CN"/>
              </w:rPr>
              <w:t>3251.60</w:t>
            </w: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一、一般公共服务支出</w:t>
            </w:r>
          </w:p>
        </w:tc>
        <w:tc>
          <w:tcPr>
            <w:tcW w:w="1289" w:type="dxa"/>
            <w:vAlign w:val="center"/>
          </w:tcPr>
          <w:p>
            <w:pPr>
              <w:jc w:val="right"/>
              <w:textAlignment w:val="center"/>
              <w:rPr>
                <w:rFonts w:eastAsia="方正书宋_GBK"/>
                <w:b/>
                <w:bCs/>
                <w:sz w:val="28"/>
                <w:szCs w:val="28"/>
                <w:lang w:eastAsia="zh-CN"/>
              </w:rPr>
            </w:pPr>
            <w:r>
              <w:rPr>
                <w:rFonts w:hint="eastAsia" w:ascii="宋体" w:hAnsi="宋体" w:eastAsia="宋体" w:cs="宋体"/>
                <w:b/>
                <w:bCs/>
                <w:color w:val="000000"/>
                <w:sz w:val="20"/>
                <w:szCs w:val="20"/>
                <w:lang w:eastAsia="zh-CN"/>
              </w:rPr>
              <w:t>1006.48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w:t>
            </w:r>
          </w:p>
        </w:tc>
        <w:tc>
          <w:tcPr>
            <w:tcW w:w="3857" w:type="dxa"/>
            <w:vAlign w:val="center"/>
          </w:tcPr>
          <w:p>
            <w:pPr>
              <w:textAlignment w:val="center"/>
              <w:rPr>
                <w:b/>
                <w:bCs/>
                <w:sz w:val="28"/>
                <w:szCs w:val="28"/>
              </w:rPr>
            </w:pPr>
            <w:r>
              <w:rPr>
                <w:rFonts w:hint="eastAsia" w:ascii="宋体" w:hAnsi="宋体" w:eastAsia="宋体" w:cs="宋体"/>
                <w:b/>
                <w:bCs/>
                <w:color w:val="000000"/>
                <w:sz w:val="20"/>
                <w:szCs w:val="20"/>
                <w:lang w:eastAsia="zh-CN"/>
              </w:rPr>
              <w:t>二、政府性基金预算拨款收入</w:t>
            </w: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二、外交支出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w:t>
            </w:r>
          </w:p>
        </w:tc>
        <w:tc>
          <w:tcPr>
            <w:tcW w:w="3857" w:type="dxa"/>
            <w:vAlign w:val="center"/>
          </w:tcPr>
          <w:p>
            <w:pPr>
              <w:textAlignment w:val="center"/>
              <w:rPr>
                <w:b/>
                <w:bCs/>
                <w:sz w:val="28"/>
                <w:szCs w:val="28"/>
              </w:rPr>
            </w:pPr>
            <w:r>
              <w:rPr>
                <w:rFonts w:hint="eastAsia" w:ascii="宋体" w:hAnsi="宋体" w:eastAsia="宋体" w:cs="宋体"/>
                <w:b/>
                <w:bCs/>
                <w:color w:val="000000"/>
                <w:sz w:val="20"/>
                <w:szCs w:val="20"/>
                <w:lang w:eastAsia="zh-CN"/>
              </w:rPr>
              <w:t>三、国有资本经营预算拨款收入</w:t>
            </w: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三、国防支出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4</w:t>
            </w:r>
          </w:p>
        </w:tc>
        <w:tc>
          <w:tcPr>
            <w:tcW w:w="3857" w:type="dxa"/>
            <w:vAlign w:val="center"/>
          </w:tcPr>
          <w:p>
            <w:pPr>
              <w:textAlignment w:val="center"/>
              <w:rPr>
                <w:b/>
                <w:bCs/>
                <w:sz w:val="28"/>
                <w:szCs w:val="28"/>
              </w:rPr>
            </w:pPr>
            <w:r>
              <w:rPr>
                <w:rFonts w:hint="eastAsia" w:ascii="宋体" w:hAnsi="宋体" w:eastAsia="宋体" w:cs="宋体"/>
                <w:b/>
                <w:bCs/>
                <w:color w:val="000000"/>
                <w:sz w:val="20"/>
                <w:szCs w:val="20"/>
                <w:lang w:eastAsia="zh-CN"/>
              </w:rPr>
              <w:t>四、财政专户管理资金收入</w:t>
            </w: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四、公共安全支出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5</w:t>
            </w:r>
          </w:p>
        </w:tc>
        <w:tc>
          <w:tcPr>
            <w:tcW w:w="3857" w:type="dxa"/>
            <w:vAlign w:val="center"/>
          </w:tcPr>
          <w:p>
            <w:pPr>
              <w:textAlignment w:val="center"/>
              <w:rPr>
                <w:b/>
                <w:bCs/>
                <w:sz w:val="28"/>
                <w:szCs w:val="28"/>
              </w:rPr>
            </w:pPr>
            <w:r>
              <w:rPr>
                <w:rFonts w:hint="eastAsia" w:ascii="宋体" w:hAnsi="宋体" w:eastAsia="宋体" w:cs="宋体"/>
                <w:b/>
                <w:bCs/>
                <w:color w:val="000000"/>
                <w:sz w:val="20"/>
                <w:szCs w:val="20"/>
                <w:lang w:eastAsia="zh-CN"/>
              </w:rPr>
              <w:t>五、事业收入</w:t>
            </w: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五、教育支出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6</w:t>
            </w:r>
          </w:p>
        </w:tc>
        <w:tc>
          <w:tcPr>
            <w:tcW w:w="3857" w:type="dxa"/>
            <w:vAlign w:val="center"/>
          </w:tcPr>
          <w:p>
            <w:pPr>
              <w:textAlignment w:val="center"/>
              <w:rPr>
                <w:b/>
                <w:bCs/>
                <w:sz w:val="28"/>
                <w:szCs w:val="28"/>
              </w:rPr>
            </w:pPr>
            <w:r>
              <w:rPr>
                <w:rFonts w:hint="eastAsia" w:ascii="宋体" w:hAnsi="宋体" w:eastAsia="宋体" w:cs="宋体"/>
                <w:b/>
                <w:bCs/>
                <w:color w:val="000000"/>
                <w:sz w:val="20"/>
                <w:szCs w:val="20"/>
                <w:lang w:eastAsia="zh-CN"/>
              </w:rPr>
              <w:t>六、事业单位经营收入</w:t>
            </w: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六、科学技术支出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7</w:t>
            </w:r>
          </w:p>
        </w:tc>
        <w:tc>
          <w:tcPr>
            <w:tcW w:w="3857" w:type="dxa"/>
            <w:vAlign w:val="center"/>
          </w:tcPr>
          <w:p>
            <w:pPr>
              <w:textAlignment w:val="center"/>
              <w:rPr>
                <w:b/>
                <w:bCs/>
                <w:sz w:val="28"/>
                <w:szCs w:val="28"/>
              </w:rPr>
            </w:pPr>
            <w:r>
              <w:rPr>
                <w:rFonts w:hint="eastAsia" w:ascii="宋体" w:hAnsi="宋体" w:eastAsia="宋体" w:cs="宋体"/>
                <w:b/>
                <w:bCs/>
                <w:color w:val="000000"/>
                <w:sz w:val="20"/>
                <w:szCs w:val="20"/>
                <w:lang w:eastAsia="zh-CN"/>
              </w:rPr>
              <w:t>七、上级补助收入</w:t>
            </w: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七、文化旅游体育与传媒支出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8</w:t>
            </w:r>
          </w:p>
        </w:tc>
        <w:tc>
          <w:tcPr>
            <w:tcW w:w="3857" w:type="dxa"/>
            <w:vAlign w:val="center"/>
          </w:tcPr>
          <w:p>
            <w:pPr>
              <w:textAlignment w:val="center"/>
              <w:rPr>
                <w:b/>
                <w:bCs/>
                <w:sz w:val="28"/>
                <w:szCs w:val="28"/>
              </w:rPr>
            </w:pPr>
            <w:r>
              <w:rPr>
                <w:rFonts w:hint="eastAsia" w:ascii="宋体" w:hAnsi="宋体" w:eastAsia="宋体" w:cs="宋体"/>
                <w:b/>
                <w:bCs/>
                <w:color w:val="000000"/>
                <w:sz w:val="20"/>
                <w:szCs w:val="20"/>
                <w:lang w:eastAsia="zh-CN"/>
              </w:rPr>
              <w:t>八、附属单位上缴收入</w:t>
            </w: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八、社会保障和就业支出</w:t>
            </w:r>
          </w:p>
        </w:tc>
        <w:tc>
          <w:tcPr>
            <w:tcW w:w="1289" w:type="dxa"/>
            <w:vAlign w:val="center"/>
          </w:tcPr>
          <w:p>
            <w:pPr>
              <w:jc w:val="right"/>
              <w:textAlignment w:val="center"/>
              <w:rPr>
                <w:b/>
                <w:bCs/>
                <w:sz w:val="28"/>
                <w:szCs w:val="28"/>
              </w:rPr>
            </w:pPr>
            <w:r>
              <w:rPr>
                <w:rFonts w:hint="eastAsia" w:ascii="宋体" w:hAnsi="宋体" w:eastAsia="宋体" w:cs="宋体"/>
                <w:b/>
                <w:bCs/>
                <w:color w:val="000000"/>
                <w:sz w:val="20"/>
                <w:szCs w:val="20"/>
                <w:lang w:eastAsia="zh-CN"/>
              </w:rPr>
              <w:t>163.29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9</w:t>
            </w:r>
          </w:p>
        </w:tc>
        <w:tc>
          <w:tcPr>
            <w:tcW w:w="3857" w:type="dxa"/>
            <w:vAlign w:val="center"/>
          </w:tcPr>
          <w:p>
            <w:pPr>
              <w:textAlignment w:val="center"/>
              <w:rPr>
                <w:b/>
                <w:bCs/>
                <w:sz w:val="28"/>
                <w:szCs w:val="28"/>
              </w:rPr>
            </w:pPr>
            <w:r>
              <w:rPr>
                <w:rFonts w:hint="eastAsia" w:ascii="宋体" w:hAnsi="宋体" w:eastAsia="宋体" w:cs="宋体"/>
                <w:b/>
                <w:bCs/>
                <w:color w:val="000000"/>
                <w:sz w:val="20"/>
                <w:szCs w:val="20"/>
                <w:lang w:eastAsia="zh-CN"/>
              </w:rPr>
              <w:t>九、其他收入</w:t>
            </w: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九、社会保险基金支出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10</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十、卫生健康支出</w:t>
            </w:r>
          </w:p>
        </w:tc>
        <w:tc>
          <w:tcPr>
            <w:tcW w:w="1289" w:type="dxa"/>
            <w:vAlign w:val="center"/>
          </w:tcPr>
          <w:p>
            <w:pPr>
              <w:jc w:val="right"/>
              <w:textAlignment w:val="center"/>
              <w:rPr>
                <w:b/>
                <w:bCs/>
                <w:sz w:val="28"/>
                <w:szCs w:val="28"/>
              </w:rPr>
            </w:pPr>
            <w:r>
              <w:rPr>
                <w:rFonts w:hint="eastAsia" w:ascii="宋体" w:hAnsi="宋体" w:eastAsia="宋体" w:cs="宋体"/>
                <w:b/>
                <w:bCs/>
                <w:color w:val="000000"/>
                <w:sz w:val="20"/>
                <w:szCs w:val="20"/>
                <w:lang w:eastAsia="zh-CN"/>
              </w:rPr>
              <w:t>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11</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十一、节能环保支出</w:t>
            </w:r>
          </w:p>
        </w:tc>
        <w:tc>
          <w:tcPr>
            <w:tcW w:w="1289" w:type="dxa"/>
            <w:vAlign w:val="center"/>
          </w:tcPr>
          <w:p>
            <w:pPr>
              <w:jc w:val="right"/>
              <w:textAlignment w:val="center"/>
              <w:rPr>
                <w:b/>
                <w:bCs/>
                <w:sz w:val="28"/>
                <w:szCs w:val="28"/>
              </w:rPr>
            </w:pPr>
            <w:r>
              <w:rPr>
                <w:rFonts w:hint="eastAsia" w:ascii="宋体" w:hAnsi="宋体" w:eastAsia="宋体" w:cs="宋体"/>
                <w:b/>
                <w:bCs/>
                <w:color w:val="000000"/>
                <w:sz w:val="20"/>
                <w:szCs w:val="20"/>
                <w:lang w:eastAsia="zh-CN"/>
              </w:rPr>
              <w:t>1100.00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12</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十二、城乡社区支出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13</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十三、农林水支出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14</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十四、交通运输支出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15</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十五、资源勘探工业信息等支出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16</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十六、商业服务业等支出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17</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十七、金融支出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18</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十八、援助其他地区支出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19</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十九、自然资源海洋气象等支出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20</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二十、住房保障支出</w:t>
            </w:r>
          </w:p>
        </w:tc>
        <w:tc>
          <w:tcPr>
            <w:tcW w:w="1289" w:type="dxa"/>
            <w:vAlign w:val="center"/>
          </w:tcPr>
          <w:p>
            <w:pPr>
              <w:jc w:val="right"/>
              <w:textAlignment w:val="center"/>
              <w:rPr>
                <w:b/>
                <w:bCs/>
                <w:sz w:val="28"/>
                <w:szCs w:val="28"/>
              </w:rPr>
            </w:pPr>
            <w:r>
              <w:rPr>
                <w:rFonts w:hint="eastAsia" w:ascii="宋体" w:hAnsi="宋体" w:eastAsia="宋体" w:cs="宋体"/>
                <w:b/>
                <w:bCs/>
                <w:color w:val="000000"/>
                <w:sz w:val="20"/>
                <w:szCs w:val="20"/>
                <w:lang w:eastAsia="zh-CN"/>
              </w:rPr>
              <w:t>47.08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21</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二十一、粮油物资储备支出</w:t>
            </w:r>
          </w:p>
        </w:tc>
        <w:tc>
          <w:tcPr>
            <w:tcW w:w="1289" w:type="dxa"/>
            <w:vAlign w:val="center"/>
          </w:tcPr>
          <w:p>
            <w:pPr>
              <w:jc w:val="right"/>
              <w:textAlignment w:val="center"/>
              <w:rPr>
                <w:b/>
                <w:bCs/>
                <w:sz w:val="28"/>
                <w:szCs w:val="28"/>
              </w:rPr>
            </w:pPr>
            <w:r>
              <w:rPr>
                <w:rFonts w:hint="eastAsia" w:ascii="宋体" w:hAnsi="宋体" w:eastAsia="宋体" w:cs="宋体"/>
                <w:b/>
                <w:bCs/>
                <w:color w:val="000000"/>
                <w:sz w:val="20"/>
                <w:szCs w:val="20"/>
                <w:lang w:eastAsia="zh-CN"/>
              </w:rPr>
              <w:t>906.50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22</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二十二、国有资本经营预算支出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23</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二十三、灾害防治及应急管理支出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24</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二十四、预备费</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25</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二十五、其他支出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26</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二十六、转移性支出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27</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二十七、灾害防治及应急管理共同财政事权转移支付支出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28</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二十八、债务还本支出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258" w:type="pct"/>
            <w:vAlign w:val="center"/>
          </w:tcPr>
          <w:p>
            <w:pPr>
              <w:pStyle w:val="17"/>
            </w:pPr>
            <w:r>
              <w:t>29</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二十九、债务付息支出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30</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三十、债务发行费用支出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31</w:t>
            </w:r>
          </w:p>
        </w:tc>
        <w:tc>
          <w:tcPr>
            <w:tcW w:w="3857" w:type="dxa"/>
            <w:vAlign w:val="center"/>
          </w:tcPr>
          <w:p>
            <w:pPr>
              <w:rPr>
                <w:b/>
                <w:bCs/>
                <w:sz w:val="21"/>
                <w:szCs w:val="21"/>
              </w:rPr>
            </w:pP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三十一、抗疫特别国债安排的支出</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32</w:t>
            </w:r>
          </w:p>
        </w:tc>
        <w:tc>
          <w:tcPr>
            <w:tcW w:w="3857" w:type="dxa"/>
            <w:vAlign w:val="center"/>
          </w:tcPr>
          <w:p>
            <w:pPr>
              <w:textAlignment w:val="center"/>
              <w:rPr>
                <w:b/>
                <w:bCs/>
                <w:sz w:val="28"/>
                <w:szCs w:val="28"/>
              </w:rPr>
            </w:pPr>
            <w:r>
              <w:rPr>
                <w:rFonts w:hint="eastAsia" w:ascii="宋体" w:hAnsi="宋体" w:eastAsia="宋体" w:cs="宋体"/>
                <w:b/>
                <w:bCs/>
                <w:color w:val="000000"/>
                <w:sz w:val="20"/>
                <w:szCs w:val="20"/>
                <w:lang w:eastAsia="zh-CN"/>
              </w:rPr>
              <w:t>本年收入合计</w:t>
            </w:r>
          </w:p>
        </w:tc>
        <w:tc>
          <w:tcPr>
            <w:tcW w:w="2415" w:type="dxa"/>
            <w:vAlign w:val="center"/>
          </w:tcPr>
          <w:p>
            <w:pPr>
              <w:jc w:val="right"/>
              <w:textAlignment w:val="center"/>
              <w:rPr>
                <w:b/>
                <w:bCs/>
                <w:sz w:val="28"/>
                <w:szCs w:val="28"/>
              </w:rPr>
            </w:pPr>
            <w:r>
              <w:rPr>
                <w:rFonts w:hint="eastAsia" w:ascii="宋体" w:hAnsi="宋体" w:eastAsia="宋体" w:cs="宋体"/>
                <w:b/>
                <w:bCs/>
                <w:color w:val="000000"/>
                <w:sz w:val="20"/>
                <w:szCs w:val="20"/>
                <w:lang w:eastAsia="zh-CN"/>
              </w:rPr>
              <w:t>3251.60</w:t>
            </w: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本年支出合计</w:t>
            </w:r>
          </w:p>
        </w:tc>
        <w:tc>
          <w:tcPr>
            <w:tcW w:w="1289" w:type="dxa"/>
            <w:vAlign w:val="center"/>
          </w:tcPr>
          <w:p>
            <w:pPr>
              <w:jc w:val="right"/>
              <w:textAlignment w:val="center"/>
              <w:rPr>
                <w:b/>
                <w:bCs/>
                <w:sz w:val="28"/>
                <w:szCs w:val="28"/>
              </w:rPr>
            </w:pPr>
            <w:r>
              <w:rPr>
                <w:rFonts w:hint="eastAsia" w:ascii="宋体" w:hAnsi="宋体" w:eastAsia="宋体" w:cs="宋体"/>
                <w:b/>
                <w:bCs/>
                <w:color w:val="000000"/>
                <w:sz w:val="20"/>
                <w:szCs w:val="20"/>
                <w:lang w:eastAsia="zh-CN"/>
              </w:rPr>
              <w:t>3251.60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33</w:t>
            </w:r>
          </w:p>
        </w:tc>
        <w:tc>
          <w:tcPr>
            <w:tcW w:w="3857" w:type="dxa"/>
            <w:vAlign w:val="center"/>
          </w:tcPr>
          <w:p>
            <w:pPr>
              <w:textAlignment w:val="center"/>
              <w:rPr>
                <w:b/>
                <w:bCs/>
                <w:sz w:val="28"/>
                <w:szCs w:val="28"/>
              </w:rPr>
            </w:pPr>
            <w:r>
              <w:rPr>
                <w:rFonts w:hint="eastAsia" w:ascii="宋体" w:hAnsi="宋体" w:eastAsia="宋体" w:cs="宋体"/>
                <w:b/>
                <w:bCs/>
                <w:color w:val="000000"/>
                <w:sz w:val="20"/>
                <w:szCs w:val="20"/>
                <w:lang w:eastAsia="zh-CN"/>
              </w:rPr>
              <w:t>上年结转结余</w:t>
            </w:r>
          </w:p>
        </w:tc>
        <w:tc>
          <w:tcPr>
            <w:tcW w:w="2415" w:type="dxa"/>
            <w:vAlign w:val="center"/>
          </w:tcPr>
          <w:p>
            <w:pPr>
              <w:jc w:val="right"/>
              <w:rPr>
                <w:b/>
                <w:bCs/>
                <w:sz w:val="21"/>
                <w:szCs w:val="21"/>
              </w:rPr>
            </w:pP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年终结转结余</w:t>
            </w:r>
          </w:p>
        </w:tc>
        <w:tc>
          <w:tcPr>
            <w:tcW w:w="1289" w:type="dxa"/>
            <w:vAlign w:val="center"/>
          </w:tcPr>
          <w:p>
            <w:pPr>
              <w:jc w:val="right"/>
              <w:rPr>
                <w:b/>
                <w:bCs/>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pPr>
              <w:pStyle w:val="17"/>
            </w:pPr>
            <w:r>
              <w:t>34</w:t>
            </w:r>
          </w:p>
        </w:tc>
        <w:tc>
          <w:tcPr>
            <w:tcW w:w="3857" w:type="dxa"/>
            <w:vAlign w:val="center"/>
          </w:tcPr>
          <w:p>
            <w:pPr>
              <w:textAlignment w:val="center"/>
              <w:rPr>
                <w:b/>
                <w:bCs/>
                <w:sz w:val="28"/>
                <w:szCs w:val="28"/>
              </w:rPr>
            </w:pPr>
            <w:r>
              <w:rPr>
                <w:rFonts w:hint="eastAsia" w:ascii="宋体" w:hAnsi="宋体" w:eastAsia="宋体" w:cs="宋体"/>
                <w:b/>
                <w:bCs/>
                <w:color w:val="000000"/>
                <w:sz w:val="20"/>
                <w:szCs w:val="20"/>
                <w:lang w:eastAsia="zh-CN"/>
              </w:rPr>
              <w:t>收入总计</w:t>
            </w:r>
          </w:p>
        </w:tc>
        <w:tc>
          <w:tcPr>
            <w:tcW w:w="2415" w:type="dxa"/>
            <w:vAlign w:val="center"/>
          </w:tcPr>
          <w:p>
            <w:pPr>
              <w:jc w:val="right"/>
              <w:textAlignment w:val="center"/>
              <w:rPr>
                <w:b/>
                <w:bCs/>
                <w:sz w:val="28"/>
                <w:szCs w:val="28"/>
              </w:rPr>
            </w:pPr>
            <w:r>
              <w:rPr>
                <w:rFonts w:hint="eastAsia" w:ascii="宋体" w:hAnsi="宋体" w:eastAsia="宋体" w:cs="宋体"/>
                <w:b/>
                <w:bCs/>
                <w:color w:val="000000"/>
                <w:sz w:val="20"/>
                <w:szCs w:val="20"/>
                <w:lang w:eastAsia="zh-CN"/>
              </w:rPr>
              <w:t>3251.60</w:t>
            </w:r>
          </w:p>
        </w:tc>
        <w:tc>
          <w:tcPr>
            <w:tcW w:w="6677" w:type="dxa"/>
            <w:vAlign w:val="center"/>
          </w:tcPr>
          <w:p>
            <w:pPr>
              <w:textAlignment w:val="center"/>
              <w:rPr>
                <w:b/>
                <w:bCs/>
                <w:sz w:val="28"/>
                <w:szCs w:val="28"/>
              </w:rPr>
            </w:pPr>
            <w:r>
              <w:rPr>
                <w:rFonts w:hint="eastAsia" w:ascii="宋体" w:hAnsi="宋体" w:eastAsia="宋体" w:cs="宋体"/>
                <w:b/>
                <w:bCs/>
                <w:color w:val="000000"/>
                <w:sz w:val="20"/>
                <w:szCs w:val="20"/>
                <w:lang w:eastAsia="zh-CN"/>
              </w:rPr>
              <w:t>支出总计</w:t>
            </w:r>
          </w:p>
        </w:tc>
        <w:tc>
          <w:tcPr>
            <w:tcW w:w="1289" w:type="dxa"/>
            <w:vAlign w:val="center"/>
          </w:tcPr>
          <w:p>
            <w:pPr>
              <w:jc w:val="right"/>
              <w:textAlignment w:val="center"/>
              <w:rPr>
                <w:b/>
                <w:bCs/>
                <w:sz w:val="28"/>
                <w:szCs w:val="28"/>
              </w:rPr>
            </w:pPr>
            <w:r>
              <w:rPr>
                <w:rFonts w:hint="eastAsia" w:ascii="宋体" w:hAnsi="宋体" w:eastAsia="宋体" w:cs="宋体"/>
                <w:b/>
                <w:bCs/>
                <w:color w:val="000000"/>
                <w:sz w:val="20"/>
                <w:szCs w:val="20"/>
                <w:lang w:eastAsia="zh-CN"/>
              </w:rPr>
              <w:t>3251.60</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74"/>
        <w:gridCol w:w="1229"/>
        <w:gridCol w:w="2544"/>
        <w:gridCol w:w="1051"/>
        <w:gridCol w:w="1069"/>
        <w:gridCol w:w="1454"/>
        <w:gridCol w:w="1096"/>
        <w:gridCol w:w="853"/>
        <w:gridCol w:w="850"/>
        <w:gridCol w:w="1129"/>
        <w:gridCol w:w="1430"/>
        <w:gridCol w:w="865"/>
        <w:gridCol w:w="8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3" w:type="pct"/>
            <w:gridSpan w:val="5"/>
            <w:tcBorders>
              <w:top w:val="single" w:color="FFFFFF" w:sz="6" w:space="0"/>
              <w:left w:val="single" w:color="FFFFFF" w:sz="6" w:space="0"/>
              <w:right w:val="single" w:color="FFFFFF" w:sz="6" w:space="0"/>
            </w:tcBorders>
            <w:vAlign w:val="center"/>
          </w:tcPr>
          <w:p>
            <w:pPr>
              <w:pStyle w:val="13"/>
            </w:pPr>
            <w:r>
              <w:t>303宁晋县发展和改革局</w:t>
            </w:r>
          </w:p>
        </w:tc>
        <w:tc>
          <w:tcPr>
            <w:tcW w:w="1133" w:type="pct"/>
            <w:gridSpan w:val="3"/>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1713"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 w:type="pct"/>
            <w:vMerge w:val="restart"/>
            <w:vAlign w:val="center"/>
          </w:tcPr>
          <w:p>
            <w:pPr>
              <w:pStyle w:val="14"/>
            </w:pPr>
            <w:r>
              <w:t>序号</w:t>
            </w:r>
          </w:p>
        </w:tc>
        <w:tc>
          <w:tcPr>
            <w:tcW w:w="1256" w:type="pct"/>
            <w:gridSpan w:val="2"/>
            <w:vAlign w:val="center"/>
          </w:tcPr>
          <w:p>
            <w:pPr>
              <w:pStyle w:val="14"/>
            </w:pPr>
            <w:r>
              <w:t>功能分类科目</w:t>
            </w:r>
          </w:p>
        </w:tc>
        <w:tc>
          <w:tcPr>
            <w:tcW w:w="350" w:type="pct"/>
            <w:vMerge w:val="restart"/>
            <w:vAlign w:val="center"/>
          </w:tcPr>
          <w:p>
            <w:pPr>
              <w:pStyle w:val="14"/>
            </w:pPr>
            <w:r>
              <w:t>合计</w:t>
            </w:r>
          </w:p>
        </w:tc>
        <w:tc>
          <w:tcPr>
            <w:tcW w:w="2910" w:type="pct"/>
            <w:gridSpan w:val="8"/>
            <w:vAlign w:val="center"/>
          </w:tcPr>
          <w:p>
            <w:pPr>
              <w:pStyle w:val="14"/>
            </w:pPr>
            <w:r>
              <w:t>本年收入</w:t>
            </w:r>
          </w:p>
        </w:tc>
        <w:tc>
          <w:tcPr>
            <w:tcW w:w="290"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 w:type="pct"/>
            <w:vMerge w:val="continue"/>
          </w:tcPr>
          <w:p/>
        </w:tc>
        <w:tc>
          <w:tcPr>
            <w:tcW w:w="409" w:type="pct"/>
            <w:vAlign w:val="center"/>
          </w:tcPr>
          <w:p>
            <w:pPr>
              <w:pStyle w:val="14"/>
            </w:pPr>
            <w:r>
              <w:t>科目    编码</w:t>
            </w:r>
          </w:p>
        </w:tc>
        <w:tc>
          <w:tcPr>
            <w:tcW w:w="847" w:type="pct"/>
            <w:vAlign w:val="center"/>
          </w:tcPr>
          <w:p>
            <w:pPr>
              <w:pStyle w:val="14"/>
            </w:pPr>
            <w:r>
              <w:t>科目名称</w:t>
            </w:r>
          </w:p>
        </w:tc>
        <w:tc>
          <w:tcPr>
            <w:tcW w:w="350" w:type="pct"/>
            <w:vMerge w:val="continue"/>
          </w:tcPr>
          <w:p/>
        </w:tc>
        <w:tc>
          <w:tcPr>
            <w:tcW w:w="353" w:type="pct"/>
            <w:vAlign w:val="center"/>
          </w:tcPr>
          <w:p>
            <w:pPr>
              <w:pStyle w:val="14"/>
            </w:pPr>
            <w:r>
              <w:t>小计</w:t>
            </w:r>
          </w:p>
        </w:tc>
        <w:tc>
          <w:tcPr>
            <w:tcW w:w="484" w:type="pct"/>
            <w:vAlign w:val="center"/>
          </w:tcPr>
          <w:p>
            <w:pPr>
              <w:pStyle w:val="14"/>
            </w:pPr>
            <w:r>
              <w:t>财政拨款 收入</w:t>
            </w:r>
          </w:p>
        </w:tc>
        <w:tc>
          <w:tcPr>
            <w:tcW w:w="365" w:type="pct"/>
            <w:vAlign w:val="center"/>
          </w:tcPr>
          <w:p>
            <w:pPr>
              <w:pStyle w:val="14"/>
            </w:pPr>
            <w:r>
              <w:t>财政专户 收入</w:t>
            </w:r>
          </w:p>
        </w:tc>
        <w:tc>
          <w:tcPr>
            <w:tcW w:w="283" w:type="pct"/>
            <w:vAlign w:val="center"/>
          </w:tcPr>
          <w:p>
            <w:pPr>
              <w:pStyle w:val="14"/>
            </w:pPr>
            <w:r>
              <w:t>事业收入</w:t>
            </w:r>
          </w:p>
        </w:tc>
        <w:tc>
          <w:tcPr>
            <w:tcW w:w="283" w:type="pct"/>
            <w:vAlign w:val="center"/>
          </w:tcPr>
          <w:p>
            <w:pPr>
              <w:pStyle w:val="14"/>
            </w:pPr>
            <w:r>
              <w:t>经营收入</w:t>
            </w:r>
          </w:p>
        </w:tc>
        <w:tc>
          <w:tcPr>
            <w:tcW w:w="376" w:type="pct"/>
            <w:vAlign w:val="center"/>
          </w:tcPr>
          <w:p>
            <w:pPr>
              <w:pStyle w:val="14"/>
            </w:pPr>
            <w:r>
              <w:t>上级补助收入</w:t>
            </w:r>
          </w:p>
        </w:tc>
        <w:tc>
          <w:tcPr>
            <w:tcW w:w="476" w:type="pct"/>
            <w:vAlign w:val="center"/>
          </w:tcPr>
          <w:p>
            <w:pPr>
              <w:pStyle w:val="14"/>
            </w:pPr>
            <w:r>
              <w:t>附属单位上缴收入</w:t>
            </w:r>
          </w:p>
        </w:tc>
        <w:tc>
          <w:tcPr>
            <w:tcW w:w="288" w:type="pct"/>
            <w:vAlign w:val="center"/>
          </w:tcPr>
          <w:p>
            <w:pPr>
              <w:pStyle w:val="14"/>
            </w:pPr>
            <w:r>
              <w:t>其他收入</w:t>
            </w:r>
          </w:p>
        </w:tc>
        <w:tc>
          <w:tcPr>
            <w:tcW w:w="290"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 w:type="pct"/>
            <w:vAlign w:val="center"/>
          </w:tcPr>
          <w:p>
            <w:pPr>
              <w:pStyle w:val="14"/>
            </w:pPr>
            <w:r>
              <w:t>栏次</w:t>
            </w:r>
          </w:p>
        </w:tc>
        <w:tc>
          <w:tcPr>
            <w:tcW w:w="409" w:type="pct"/>
            <w:vAlign w:val="center"/>
          </w:tcPr>
          <w:p>
            <w:pPr>
              <w:pStyle w:val="14"/>
            </w:pPr>
            <w:r>
              <w:t>1</w:t>
            </w:r>
          </w:p>
        </w:tc>
        <w:tc>
          <w:tcPr>
            <w:tcW w:w="847" w:type="pct"/>
            <w:vAlign w:val="center"/>
          </w:tcPr>
          <w:p>
            <w:pPr>
              <w:pStyle w:val="14"/>
            </w:pPr>
            <w:r>
              <w:t>2</w:t>
            </w:r>
          </w:p>
        </w:tc>
        <w:tc>
          <w:tcPr>
            <w:tcW w:w="350" w:type="pct"/>
            <w:vAlign w:val="center"/>
          </w:tcPr>
          <w:p>
            <w:pPr>
              <w:pStyle w:val="14"/>
            </w:pPr>
            <w:r>
              <w:t>3</w:t>
            </w:r>
          </w:p>
        </w:tc>
        <w:tc>
          <w:tcPr>
            <w:tcW w:w="353" w:type="pct"/>
            <w:vAlign w:val="center"/>
          </w:tcPr>
          <w:p>
            <w:pPr>
              <w:pStyle w:val="14"/>
            </w:pPr>
            <w:r>
              <w:t>4</w:t>
            </w:r>
          </w:p>
        </w:tc>
        <w:tc>
          <w:tcPr>
            <w:tcW w:w="484" w:type="pct"/>
            <w:vAlign w:val="center"/>
          </w:tcPr>
          <w:p>
            <w:pPr>
              <w:pStyle w:val="14"/>
            </w:pPr>
            <w:r>
              <w:t>5</w:t>
            </w:r>
          </w:p>
        </w:tc>
        <w:tc>
          <w:tcPr>
            <w:tcW w:w="365" w:type="pct"/>
            <w:vAlign w:val="center"/>
          </w:tcPr>
          <w:p>
            <w:pPr>
              <w:pStyle w:val="14"/>
            </w:pPr>
            <w:r>
              <w:t>6</w:t>
            </w:r>
          </w:p>
        </w:tc>
        <w:tc>
          <w:tcPr>
            <w:tcW w:w="283" w:type="pct"/>
            <w:vAlign w:val="center"/>
          </w:tcPr>
          <w:p>
            <w:pPr>
              <w:pStyle w:val="14"/>
            </w:pPr>
            <w:r>
              <w:t>7</w:t>
            </w:r>
          </w:p>
        </w:tc>
        <w:tc>
          <w:tcPr>
            <w:tcW w:w="283" w:type="pct"/>
            <w:vAlign w:val="center"/>
          </w:tcPr>
          <w:p>
            <w:pPr>
              <w:pStyle w:val="14"/>
            </w:pPr>
            <w:r>
              <w:t>8</w:t>
            </w:r>
          </w:p>
        </w:tc>
        <w:tc>
          <w:tcPr>
            <w:tcW w:w="376" w:type="pct"/>
            <w:vAlign w:val="center"/>
          </w:tcPr>
          <w:p>
            <w:pPr>
              <w:pStyle w:val="14"/>
            </w:pPr>
            <w:r>
              <w:t>9</w:t>
            </w:r>
          </w:p>
        </w:tc>
        <w:tc>
          <w:tcPr>
            <w:tcW w:w="476" w:type="pct"/>
            <w:vAlign w:val="center"/>
          </w:tcPr>
          <w:p>
            <w:pPr>
              <w:pStyle w:val="14"/>
            </w:pPr>
            <w:r>
              <w:t>10</w:t>
            </w:r>
          </w:p>
        </w:tc>
        <w:tc>
          <w:tcPr>
            <w:tcW w:w="288" w:type="pct"/>
            <w:vAlign w:val="center"/>
          </w:tcPr>
          <w:p>
            <w:pPr>
              <w:pStyle w:val="14"/>
            </w:pPr>
            <w:r>
              <w:t>11</w:t>
            </w:r>
          </w:p>
        </w:tc>
        <w:tc>
          <w:tcPr>
            <w:tcW w:w="290"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w:t>
            </w:r>
          </w:p>
        </w:tc>
        <w:tc>
          <w:tcPr>
            <w:tcW w:w="1228" w:type="dxa"/>
            <w:vAlign w:val="center"/>
          </w:tcPr>
          <w:p>
            <w:pPr>
              <w:rPr>
                <w:b/>
                <w:bCs/>
                <w:sz w:val="22"/>
                <w:szCs w:val="22"/>
              </w:rPr>
            </w:pP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合计</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3251.60</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3251.60</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3251.60</w:t>
            </w:r>
          </w:p>
        </w:tc>
        <w:tc>
          <w:tcPr>
            <w:tcW w:w="365" w:type="pct"/>
            <w:vAlign w:val="center"/>
          </w:tcPr>
          <w:p>
            <w:pPr>
              <w:pStyle w:val="19"/>
            </w:pPr>
          </w:p>
        </w:tc>
        <w:tc>
          <w:tcPr>
            <w:tcW w:w="283" w:type="pct"/>
            <w:vAlign w:val="center"/>
          </w:tcPr>
          <w:p>
            <w:pPr>
              <w:pStyle w:val="19"/>
            </w:pPr>
          </w:p>
        </w:tc>
        <w:tc>
          <w:tcPr>
            <w:tcW w:w="283" w:type="pct"/>
            <w:vAlign w:val="center"/>
          </w:tcPr>
          <w:p>
            <w:pPr>
              <w:pStyle w:val="19"/>
            </w:pPr>
          </w:p>
        </w:tc>
        <w:tc>
          <w:tcPr>
            <w:tcW w:w="376" w:type="pct"/>
            <w:vAlign w:val="center"/>
          </w:tcPr>
          <w:p>
            <w:pPr>
              <w:pStyle w:val="19"/>
            </w:pPr>
          </w:p>
        </w:tc>
        <w:tc>
          <w:tcPr>
            <w:tcW w:w="476" w:type="pct"/>
            <w:vAlign w:val="center"/>
          </w:tcPr>
          <w:p>
            <w:pPr>
              <w:pStyle w:val="19"/>
            </w:pPr>
          </w:p>
        </w:tc>
        <w:tc>
          <w:tcPr>
            <w:tcW w:w="288" w:type="pct"/>
            <w:vAlign w:val="center"/>
          </w:tcPr>
          <w:p>
            <w:pPr>
              <w:pStyle w:val="19"/>
            </w:pPr>
          </w:p>
        </w:tc>
        <w:tc>
          <w:tcPr>
            <w:tcW w:w="290"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2</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201</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一般公共服务支出</w:t>
            </w:r>
          </w:p>
        </w:tc>
        <w:tc>
          <w:tcPr>
            <w:tcW w:w="1054" w:type="dxa"/>
            <w:vAlign w:val="center"/>
          </w:tcPr>
          <w:p>
            <w:pPr>
              <w:jc w:val="right"/>
              <w:textAlignment w:val="center"/>
              <w:rPr>
                <w:rFonts w:eastAsia="方正书宋_GBK"/>
                <w:b/>
                <w:bCs/>
                <w:sz w:val="32"/>
                <w:szCs w:val="32"/>
                <w:lang w:eastAsia="zh-CN"/>
              </w:rPr>
            </w:pPr>
            <w:r>
              <w:rPr>
                <w:rFonts w:hint="eastAsia" w:ascii="宋体" w:hAnsi="宋体" w:eastAsia="宋体" w:cs="宋体"/>
                <w:b/>
                <w:bCs/>
                <w:color w:val="000000"/>
                <w:sz w:val="21"/>
                <w:szCs w:val="21"/>
                <w:lang w:eastAsia="zh-CN"/>
              </w:rPr>
              <w:t>1006.48</w:t>
            </w:r>
          </w:p>
        </w:tc>
        <w:tc>
          <w:tcPr>
            <w:tcW w:w="1069" w:type="dxa"/>
            <w:vAlign w:val="center"/>
          </w:tcPr>
          <w:p>
            <w:pPr>
              <w:jc w:val="right"/>
              <w:textAlignment w:val="center"/>
              <w:rPr>
                <w:rFonts w:eastAsia="方正书宋_GBK"/>
                <w:b/>
                <w:bCs/>
                <w:sz w:val="32"/>
                <w:szCs w:val="32"/>
                <w:lang w:eastAsia="zh-CN"/>
              </w:rPr>
            </w:pPr>
            <w:r>
              <w:rPr>
                <w:rFonts w:hint="eastAsia" w:ascii="宋体" w:hAnsi="宋体" w:eastAsia="宋体" w:cs="宋体"/>
                <w:b/>
                <w:bCs/>
                <w:color w:val="000000"/>
                <w:sz w:val="21"/>
                <w:szCs w:val="21"/>
                <w:lang w:eastAsia="zh-CN"/>
              </w:rPr>
              <w:t>1006.48</w:t>
            </w:r>
          </w:p>
        </w:tc>
        <w:tc>
          <w:tcPr>
            <w:tcW w:w="1454" w:type="dxa"/>
            <w:vAlign w:val="center"/>
          </w:tcPr>
          <w:p>
            <w:pPr>
              <w:jc w:val="right"/>
              <w:textAlignment w:val="center"/>
              <w:rPr>
                <w:rFonts w:eastAsia="方正书宋_GBK"/>
                <w:b/>
                <w:bCs/>
                <w:sz w:val="32"/>
                <w:szCs w:val="32"/>
                <w:lang w:eastAsia="zh-CN"/>
              </w:rPr>
            </w:pPr>
            <w:r>
              <w:rPr>
                <w:rFonts w:hint="eastAsia" w:ascii="宋体" w:hAnsi="宋体" w:eastAsia="宋体" w:cs="宋体"/>
                <w:b/>
                <w:bCs/>
                <w:color w:val="000000"/>
                <w:sz w:val="21"/>
                <w:szCs w:val="21"/>
                <w:lang w:eastAsia="zh-CN"/>
              </w:rPr>
              <w:t>1006.48</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3</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发展与改革事务</w:t>
            </w:r>
          </w:p>
        </w:tc>
        <w:tc>
          <w:tcPr>
            <w:tcW w:w="1054" w:type="dxa"/>
            <w:vAlign w:val="center"/>
          </w:tcPr>
          <w:p>
            <w:pPr>
              <w:jc w:val="right"/>
              <w:textAlignment w:val="center"/>
              <w:rPr>
                <w:rFonts w:eastAsia="方正书宋_GBK"/>
                <w:b/>
                <w:bCs/>
                <w:sz w:val="32"/>
                <w:szCs w:val="32"/>
                <w:lang w:eastAsia="zh-CN"/>
              </w:rPr>
            </w:pPr>
            <w:r>
              <w:rPr>
                <w:rFonts w:hint="eastAsia" w:ascii="宋体" w:hAnsi="宋体" w:eastAsia="宋体" w:cs="宋体"/>
                <w:b/>
                <w:bCs/>
                <w:color w:val="000000"/>
                <w:sz w:val="21"/>
                <w:szCs w:val="21"/>
                <w:lang w:eastAsia="zh-CN"/>
              </w:rPr>
              <w:t>1006.48</w:t>
            </w:r>
          </w:p>
        </w:tc>
        <w:tc>
          <w:tcPr>
            <w:tcW w:w="1069" w:type="dxa"/>
            <w:vAlign w:val="center"/>
          </w:tcPr>
          <w:p>
            <w:pPr>
              <w:jc w:val="right"/>
              <w:textAlignment w:val="center"/>
              <w:rPr>
                <w:rFonts w:eastAsia="方正书宋_GBK"/>
                <w:b/>
                <w:bCs/>
                <w:sz w:val="32"/>
                <w:szCs w:val="32"/>
                <w:lang w:eastAsia="zh-CN"/>
              </w:rPr>
            </w:pPr>
            <w:r>
              <w:rPr>
                <w:rFonts w:hint="eastAsia" w:ascii="宋体" w:hAnsi="宋体" w:eastAsia="宋体" w:cs="宋体"/>
                <w:b/>
                <w:bCs/>
                <w:color w:val="000000"/>
                <w:sz w:val="21"/>
                <w:szCs w:val="21"/>
                <w:lang w:eastAsia="zh-CN"/>
              </w:rPr>
              <w:t>1006.48</w:t>
            </w:r>
          </w:p>
        </w:tc>
        <w:tc>
          <w:tcPr>
            <w:tcW w:w="1454" w:type="dxa"/>
            <w:vAlign w:val="center"/>
          </w:tcPr>
          <w:p>
            <w:pPr>
              <w:jc w:val="right"/>
              <w:textAlignment w:val="center"/>
              <w:rPr>
                <w:rFonts w:eastAsia="方正书宋_GBK"/>
                <w:b/>
                <w:bCs/>
                <w:sz w:val="32"/>
                <w:szCs w:val="32"/>
                <w:lang w:eastAsia="zh-CN"/>
              </w:rPr>
            </w:pPr>
            <w:r>
              <w:rPr>
                <w:rFonts w:hint="eastAsia" w:ascii="宋体" w:hAnsi="宋体" w:eastAsia="宋体" w:cs="宋体"/>
                <w:b/>
                <w:bCs/>
                <w:color w:val="000000"/>
                <w:sz w:val="21"/>
                <w:szCs w:val="21"/>
                <w:lang w:eastAsia="zh-CN"/>
              </w:rPr>
              <w:t>1006.48</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4</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2010401</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行政运行</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83.27</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83.27</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83.27</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5</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2010402</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一般行政管理事务</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267.26</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267.26</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267.26</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6</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2010403</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机关服务</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22.00</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22.00</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22.00</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7</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2010406</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社会事业发展规划</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136.00</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136.00</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136.00</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8</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2010408</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物价管理</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4.00</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4.00</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4.00</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9</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2010450</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事业运行</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493.95</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493.95</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493.95</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10</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208</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社会保障和就业支出</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163.29</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163.29</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163.29</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11</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20805</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行政事业单位养老支出</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150.33</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150.33</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150.33</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12</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2080501</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行政单位离退休</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87.56</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87.56</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87.56</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13</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2080505</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机关事业单位基本养老保险缴费支出</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62.77</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62.77</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62.77</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14</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20808</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抚恤</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15</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2080801</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死亡抚恤</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16</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20827</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财政对其他社会保险基金的补助</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17</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2082702</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财政对工伤保险基金的补助</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18</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210</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卫生健康支出</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19</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21012</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财政对基本医疗保险基金的补助</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20</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2101201</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财政对职工基本医疗保险基金的补助</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21</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211</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节能环保支出</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22</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21110</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能源节约利用</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23</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2111001</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能源节约利用</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24</w:t>
            </w:r>
          </w:p>
        </w:tc>
        <w:tc>
          <w:tcPr>
            <w:tcW w:w="1228" w:type="dxa"/>
            <w:vAlign w:val="center"/>
          </w:tcPr>
          <w:p>
            <w:pPr>
              <w:textAlignment w:val="center"/>
              <w:rPr>
                <w:b/>
                <w:bCs/>
                <w:sz w:val="32"/>
                <w:szCs w:val="32"/>
              </w:rPr>
            </w:pPr>
            <w:r>
              <w:rPr>
                <w:rFonts w:hint="eastAsia" w:ascii="宋体" w:hAnsi="宋体" w:eastAsia="宋体" w:cs="宋体"/>
                <w:b/>
                <w:bCs/>
                <w:color w:val="000000"/>
                <w:sz w:val="21"/>
                <w:szCs w:val="21"/>
                <w:lang w:eastAsia="zh-CN"/>
              </w:rPr>
              <w:t>221</w:t>
            </w:r>
          </w:p>
        </w:tc>
        <w:tc>
          <w:tcPr>
            <w:tcW w:w="2544" w:type="dxa"/>
            <w:vAlign w:val="center"/>
          </w:tcPr>
          <w:p>
            <w:pPr>
              <w:textAlignment w:val="center"/>
              <w:rPr>
                <w:b/>
                <w:bCs/>
                <w:sz w:val="32"/>
                <w:szCs w:val="32"/>
              </w:rPr>
            </w:pPr>
            <w:r>
              <w:rPr>
                <w:rFonts w:hint="eastAsia" w:ascii="宋体" w:hAnsi="宋体" w:eastAsia="宋体" w:cs="宋体"/>
                <w:b/>
                <w:bCs/>
                <w:color w:val="000000"/>
                <w:sz w:val="21"/>
                <w:szCs w:val="21"/>
                <w:lang w:eastAsia="zh-CN"/>
              </w:rPr>
              <w:t>住房保障支出</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47.08</w:t>
            </w:r>
          </w:p>
        </w:tc>
        <w:tc>
          <w:tcPr>
            <w:tcW w:w="1069"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47.08</w:t>
            </w:r>
          </w:p>
        </w:tc>
        <w:tc>
          <w:tcPr>
            <w:tcW w:w="14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47.08</w:t>
            </w:r>
          </w:p>
        </w:tc>
        <w:tc>
          <w:tcPr>
            <w:tcW w:w="365"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0"/>
        <w:gridCol w:w="1439"/>
        <w:gridCol w:w="3938"/>
        <w:gridCol w:w="1156"/>
        <w:gridCol w:w="1162"/>
        <w:gridCol w:w="1156"/>
        <w:gridCol w:w="1156"/>
        <w:gridCol w:w="1971"/>
        <w:gridCol w:w="23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3" w:type="pct"/>
            <w:gridSpan w:val="3"/>
            <w:tcBorders>
              <w:top w:val="single" w:color="FFFFFF" w:sz="6" w:space="0"/>
              <w:left w:val="single" w:color="FFFFFF" w:sz="6" w:space="0"/>
              <w:right w:val="single" w:color="FFFFFF" w:sz="6" w:space="0"/>
            </w:tcBorders>
            <w:vAlign w:val="center"/>
          </w:tcPr>
          <w:p>
            <w:pPr>
              <w:pStyle w:val="13"/>
            </w:pPr>
            <w:r>
              <w:t>303宁晋县发展和改革局</w:t>
            </w:r>
          </w:p>
        </w:tc>
        <w:tc>
          <w:tcPr>
            <w:tcW w:w="772" w:type="pct"/>
            <w:gridSpan w:val="2"/>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2203"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Merge w:val="restart"/>
            <w:vAlign w:val="center"/>
          </w:tcPr>
          <w:p>
            <w:pPr>
              <w:pStyle w:val="14"/>
            </w:pPr>
            <w:r>
              <w:t>序号</w:t>
            </w:r>
          </w:p>
        </w:tc>
        <w:tc>
          <w:tcPr>
            <w:tcW w:w="1790" w:type="pct"/>
            <w:gridSpan w:val="2"/>
            <w:vAlign w:val="center"/>
          </w:tcPr>
          <w:p>
            <w:pPr>
              <w:pStyle w:val="14"/>
            </w:pPr>
            <w:r>
              <w:t>功能分类科目</w:t>
            </w:r>
          </w:p>
        </w:tc>
        <w:tc>
          <w:tcPr>
            <w:tcW w:w="385" w:type="pct"/>
            <w:vMerge w:val="restart"/>
            <w:vAlign w:val="center"/>
          </w:tcPr>
          <w:p>
            <w:pPr>
              <w:pStyle w:val="14"/>
            </w:pPr>
            <w:r>
              <w:t>合计</w:t>
            </w:r>
          </w:p>
        </w:tc>
        <w:tc>
          <w:tcPr>
            <w:tcW w:w="386" w:type="pct"/>
            <w:vMerge w:val="restart"/>
            <w:vAlign w:val="center"/>
          </w:tcPr>
          <w:p>
            <w:pPr>
              <w:pStyle w:val="14"/>
            </w:pPr>
            <w:r>
              <w:t>基本支出</w:t>
            </w:r>
          </w:p>
        </w:tc>
        <w:tc>
          <w:tcPr>
            <w:tcW w:w="385" w:type="pct"/>
            <w:vMerge w:val="restart"/>
            <w:vAlign w:val="center"/>
          </w:tcPr>
          <w:p>
            <w:pPr>
              <w:pStyle w:val="14"/>
            </w:pPr>
            <w:r>
              <w:t>项目支出</w:t>
            </w:r>
          </w:p>
        </w:tc>
        <w:tc>
          <w:tcPr>
            <w:tcW w:w="385" w:type="pct"/>
            <w:vMerge w:val="restart"/>
            <w:vAlign w:val="center"/>
          </w:tcPr>
          <w:p>
            <w:pPr>
              <w:pStyle w:val="14"/>
            </w:pPr>
            <w:r>
              <w:t>经营支出</w:t>
            </w:r>
          </w:p>
        </w:tc>
        <w:tc>
          <w:tcPr>
            <w:tcW w:w="656" w:type="pct"/>
            <w:vMerge w:val="restart"/>
            <w:vAlign w:val="center"/>
          </w:tcPr>
          <w:p>
            <w:pPr>
              <w:pStyle w:val="14"/>
            </w:pPr>
            <w:r>
              <w:t>上解上级     支出</w:t>
            </w:r>
          </w:p>
        </w:tc>
        <w:tc>
          <w:tcPr>
            <w:tcW w:w="774"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Merge w:val="continue"/>
          </w:tcPr>
          <w:p/>
        </w:tc>
        <w:tc>
          <w:tcPr>
            <w:tcW w:w="479" w:type="pct"/>
            <w:vAlign w:val="center"/>
          </w:tcPr>
          <w:p>
            <w:pPr>
              <w:pStyle w:val="14"/>
            </w:pPr>
            <w:r>
              <w:t>科目    编码</w:t>
            </w:r>
          </w:p>
        </w:tc>
        <w:tc>
          <w:tcPr>
            <w:tcW w:w="1311" w:type="pct"/>
            <w:vAlign w:val="center"/>
          </w:tcPr>
          <w:p>
            <w:pPr>
              <w:pStyle w:val="14"/>
            </w:pPr>
            <w:r>
              <w:t>科目名称</w:t>
            </w:r>
          </w:p>
        </w:tc>
        <w:tc>
          <w:tcPr>
            <w:tcW w:w="385" w:type="pct"/>
            <w:vMerge w:val="continue"/>
          </w:tcPr>
          <w:p/>
        </w:tc>
        <w:tc>
          <w:tcPr>
            <w:tcW w:w="386" w:type="pct"/>
            <w:vMerge w:val="continue"/>
          </w:tcPr>
          <w:p/>
        </w:tc>
        <w:tc>
          <w:tcPr>
            <w:tcW w:w="385" w:type="pct"/>
            <w:vMerge w:val="continue"/>
          </w:tcPr>
          <w:p/>
        </w:tc>
        <w:tc>
          <w:tcPr>
            <w:tcW w:w="385" w:type="pct"/>
            <w:vMerge w:val="continue"/>
          </w:tcPr>
          <w:p/>
        </w:tc>
        <w:tc>
          <w:tcPr>
            <w:tcW w:w="656" w:type="pct"/>
            <w:vMerge w:val="continue"/>
          </w:tcPr>
          <w:p/>
        </w:tc>
        <w:tc>
          <w:tcPr>
            <w:tcW w:w="77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Align w:val="center"/>
          </w:tcPr>
          <w:p>
            <w:pPr>
              <w:pStyle w:val="14"/>
            </w:pPr>
            <w:r>
              <w:t>栏次</w:t>
            </w:r>
          </w:p>
        </w:tc>
        <w:tc>
          <w:tcPr>
            <w:tcW w:w="479" w:type="pct"/>
            <w:vAlign w:val="center"/>
          </w:tcPr>
          <w:p>
            <w:pPr>
              <w:pStyle w:val="14"/>
            </w:pPr>
            <w:r>
              <w:t>1</w:t>
            </w:r>
          </w:p>
        </w:tc>
        <w:tc>
          <w:tcPr>
            <w:tcW w:w="1311" w:type="pct"/>
            <w:vAlign w:val="center"/>
          </w:tcPr>
          <w:p>
            <w:pPr>
              <w:pStyle w:val="14"/>
            </w:pPr>
            <w:r>
              <w:t>2</w:t>
            </w:r>
          </w:p>
        </w:tc>
        <w:tc>
          <w:tcPr>
            <w:tcW w:w="385" w:type="pct"/>
            <w:vAlign w:val="center"/>
          </w:tcPr>
          <w:p>
            <w:pPr>
              <w:pStyle w:val="14"/>
            </w:pPr>
            <w:r>
              <w:t>3</w:t>
            </w:r>
          </w:p>
        </w:tc>
        <w:tc>
          <w:tcPr>
            <w:tcW w:w="386" w:type="pct"/>
            <w:vAlign w:val="center"/>
          </w:tcPr>
          <w:p>
            <w:pPr>
              <w:pStyle w:val="14"/>
            </w:pPr>
            <w:r>
              <w:t>4</w:t>
            </w:r>
          </w:p>
        </w:tc>
        <w:tc>
          <w:tcPr>
            <w:tcW w:w="385" w:type="pct"/>
            <w:vAlign w:val="center"/>
          </w:tcPr>
          <w:p>
            <w:pPr>
              <w:pStyle w:val="14"/>
            </w:pPr>
            <w:r>
              <w:t>5</w:t>
            </w:r>
          </w:p>
        </w:tc>
        <w:tc>
          <w:tcPr>
            <w:tcW w:w="385" w:type="pct"/>
            <w:vAlign w:val="center"/>
          </w:tcPr>
          <w:p>
            <w:pPr>
              <w:pStyle w:val="14"/>
            </w:pPr>
            <w:r>
              <w:t>6</w:t>
            </w:r>
          </w:p>
        </w:tc>
        <w:tc>
          <w:tcPr>
            <w:tcW w:w="656" w:type="pct"/>
            <w:vAlign w:val="center"/>
          </w:tcPr>
          <w:p>
            <w:pPr>
              <w:pStyle w:val="14"/>
            </w:pPr>
            <w:r>
              <w:t>7</w:t>
            </w:r>
          </w:p>
        </w:tc>
        <w:tc>
          <w:tcPr>
            <w:tcW w:w="774"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w:t>
            </w:r>
          </w:p>
        </w:tc>
        <w:tc>
          <w:tcPr>
            <w:tcW w:w="1439" w:type="dxa"/>
            <w:vAlign w:val="center"/>
          </w:tcPr>
          <w:p>
            <w:pPr>
              <w:rPr>
                <w:b/>
                <w:bCs/>
                <w:sz w:val="22"/>
                <w:szCs w:val="22"/>
              </w:rPr>
            </w:pP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合计</w:t>
            </w:r>
          </w:p>
        </w:tc>
        <w:tc>
          <w:tcPr>
            <w:tcW w:w="1156" w:type="dxa"/>
            <w:vAlign w:val="center"/>
          </w:tcPr>
          <w:p>
            <w:pPr>
              <w:jc w:val="right"/>
              <w:textAlignment w:val="center"/>
              <w:rPr>
                <w:rFonts w:ascii="方正书宋_GBK" w:hAnsi="方正书宋_GBK" w:eastAsia="方正书宋_GBK" w:cs="方正书宋_GBK"/>
                <w:b/>
                <w:bCs/>
                <w:szCs w:val="32"/>
                <w:lang w:eastAsia="zh-CN"/>
              </w:rPr>
            </w:pPr>
            <w:r>
              <w:rPr>
                <w:rFonts w:hint="eastAsia" w:ascii="宋体" w:hAnsi="宋体" w:eastAsia="宋体" w:cs="宋体"/>
                <w:b/>
                <w:bCs/>
                <w:color w:val="000000"/>
                <w:sz w:val="21"/>
                <w:szCs w:val="21"/>
                <w:lang w:eastAsia="zh-CN"/>
              </w:rPr>
              <w:t>3251.60</w:t>
            </w:r>
          </w:p>
        </w:tc>
        <w:tc>
          <w:tcPr>
            <w:tcW w:w="1162" w:type="dxa"/>
            <w:vAlign w:val="center"/>
          </w:tcPr>
          <w:p>
            <w:pPr>
              <w:jc w:val="right"/>
              <w:textAlignment w:val="center"/>
              <w:rPr>
                <w:rFonts w:ascii="方正书宋_GBK" w:hAnsi="方正书宋_GBK" w:eastAsia="方正书宋_GBK" w:cs="方正书宋_GBK"/>
                <w:b/>
                <w:bCs/>
                <w:szCs w:val="32"/>
                <w:lang w:eastAsia="zh-CN"/>
              </w:rPr>
            </w:pPr>
            <w:r>
              <w:rPr>
                <w:rFonts w:hint="eastAsia" w:ascii="宋体" w:hAnsi="宋体" w:eastAsia="宋体" w:cs="宋体"/>
                <w:b/>
                <w:bCs/>
                <w:color w:val="000000"/>
                <w:sz w:val="21"/>
                <w:szCs w:val="21"/>
                <w:lang w:eastAsia="zh-CN"/>
              </w:rPr>
              <w:t>732.57</w:t>
            </w:r>
          </w:p>
        </w:tc>
        <w:tc>
          <w:tcPr>
            <w:tcW w:w="1156" w:type="dxa"/>
            <w:vAlign w:val="center"/>
          </w:tcPr>
          <w:p>
            <w:pPr>
              <w:jc w:val="right"/>
              <w:textAlignment w:val="center"/>
              <w:rPr>
                <w:rFonts w:ascii="方正书宋_GBK" w:hAnsi="方正书宋_GBK" w:eastAsia="方正书宋_GBK" w:cs="方正书宋_GBK"/>
                <w:b/>
                <w:bCs/>
                <w:szCs w:val="32"/>
                <w:lang w:eastAsia="zh-CN"/>
              </w:rPr>
            </w:pPr>
            <w:r>
              <w:rPr>
                <w:rFonts w:hint="eastAsia" w:ascii="宋体" w:hAnsi="宋体" w:eastAsia="宋体" w:cs="宋体"/>
                <w:b/>
                <w:bCs/>
                <w:color w:val="000000"/>
                <w:sz w:val="21"/>
                <w:szCs w:val="21"/>
                <w:lang w:eastAsia="zh-CN"/>
              </w:rPr>
              <w:t>2519.03</w:t>
            </w:r>
          </w:p>
        </w:tc>
        <w:tc>
          <w:tcPr>
            <w:tcW w:w="385" w:type="pct"/>
            <w:vAlign w:val="center"/>
          </w:tcPr>
          <w:p>
            <w:pPr>
              <w:pStyle w:val="19"/>
              <w:rPr>
                <w:bCs/>
              </w:rPr>
            </w:pPr>
          </w:p>
        </w:tc>
        <w:tc>
          <w:tcPr>
            <w:tcW w:w="656" w:type="pct"/>
            <w:vAlign w:val="center"/>
          </w:tcPr>
          <w:p>
            <w:pPr>
              <w:pStyle w:val="19"/>
              <w:rPr>
                <w:bCs/>
              </w:rPr>
            </w:pPr>
          </w:p>
        </w:tc>
        <w:tc>
          <w:tcPr>
            <w:tcW w:w="774" w:type="pct"/>
            <w:vAlign w:val="center"/>
          </w:tcPr>
          <w:p>
            <w:pPr>
              <w:pStyle w:val="19"/>
              <w:rPr>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2</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201</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一般公共服务支出</w:t>
            </w:r>
          </w:p>
        </w:tc>
        <w:tc>
          <w:tcPr>
            <w:tcW w:w="1156" w:type="dxa"/>
            <w:vAlign w:val="center"/>
          </w:tcPr>
          <w:p>
            <w:pPr>
              <w:jc w:val="right"/>
              <w:textAlignment w:val="center"/>
              <w:rPr>
                <w:rFonts w:ascii="方正书宋_GBK" w:hAnsi="方正书宋_GBK" w:eastAsia="方正书宋_GBK" w:cs="方正书宋_GBK"/>
                <w:b/>
                <w:bCs/>
                <w:szCs w:val="32"/>
              </w:rPr>
            </w:pPr>
            <w:r>
              <w:rPr>
                <w:rFonts w:hint="eastAsia" w:ascii="宋体" w:hAnsi="宋体" w:eastAsia="宋体" w:cs="宋体"/>
                <w:b/>
                <w:bCs/>
                <w:color w:val="000000"/>
                <w:sz w:val="21"/>
                <w:szCs w:val="21"/>
                <w:lang w:eastAsia="zh-CN"/>
              </w:rPr>
              <w:t>1006.48</w:t>
            </w:r>
          </w:p>
        </w:tc>
        <w:tc>
          <w:tcPr>
            <w:tcW w:w="1162" w:type="dxa"/>
            <w:vAlign w:val="center"/>
          </w:tcPr>
          <w:p>
            <w:pPr>
              <w:jc w:val="right"/>
              <w:textAlignment w:val="center"/>
              <w:rPr>
                <w:rFonts w:ascii="方正书宋_GBK" w:hAnsi="方正书宋_GBK" w:eastAsia="方正书宋_GBK" w:cs="方正书宋_GBK"/>
                <w:b/>
                <w:bCs/>
                <w:szCs w:val="32"/>
              </w:rPr>
            </w:pPr>
            <w:r>
              <w:rPr>
                <w:rFonts w:hint="eastAsia" w:ascii="宋体" w:hAnsi="宋体" w:eastAsia="宋体" w:cs="宋体"/>
                <w:b/>
                <w:bCs/>
                <w:color w:val="000000"/>
                <w:sz w:val="21"/>
                <w:szCs w:val="21"/>
                <w:lang w:eastAsia="zh-CN"/>
              </w:rPr>
              <w:t>493.95</w:t>
            </w:r>
          </w:p>
        </w:tc>
        <w:tc>
          <w:tcPr>
            <w:tcW w:w="1156" w:type="dxa"/>
            <w:vAlign w:val="center"/>
          </w:tcPr>
          <w:p>
            <w:pPr>
              <w:jc w:val="right"/>
              <w:textAlignment w:val="center"/>
              <w:rPr>
                <w:rFonts w:ascii="方正书宋_GBK" w:hAnsi="方正书宋_GBK" w:eastAsia="方正书宋_GBK" w:cs="方正书宋_GBK"/>
                <w:b/>
                <w:bCs/>
                <w:szCs w:val="32"/>
              </w:rPr>
            </w:pPr>
            <w:r>
              <w:rPr>
                <w:rFonts w:hint="eastAsia" w:ascii="宋体" w:hAnsi="宋体" w:eastAsia="宋体" w:cs="宋体"/>
                <w:b/>
                <w:bCs/>
                <w:color w:val="000000"/>
                <w:sz w:val="21"/>
                <w:szCs w:val="21"/>
                <w:lang w:eastAsia="zh-CN"/>
              </w:rPr>
              <w:t>512.53</w:t>
            </w: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3</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发展与改革事务</w:t>
            </w:r>
          </w:p>
        </w:tc>
        <w:tc>
          <w:tcPr>
            <w:tcW w:w="1156" w:type="dxa"/>
            <w:vAlign w:val="center"/>
          </w:tcPr>
          <w:p>
            <w:pPr>
              <w:jc w:val="right"/>
              <w:textAlignment w:val="center"/>
              <w:rPr>
                <w:rFonts w:ascii="方正书宋_GBK" w:hAnsi="方正书宋_GBK" w:eastAsia="方正书宋_GBK" w:cs="方正书宋_GBK"/>
                <w:b/>
                <w:bCs/>
                <w:szCs w:val="32"/>
              </w:rPr>
            </w:pPr>
            <w:r>
              <w:rPr>
                <w:rFonts w:hint="eastAsia" w:ascii="宋体" w:hAnsi="宋体" w:eastAsia="宋体" w:cs="宋体"/>
                <w:b/>
                <w:bCs/>
                <w:color w:val="000000"/>
                <w:sz w:val="21"/>
                <w:szCs w:val="21"/>
                <w:lang w:eastAsia="zh-CN"/>
              </w:rPr>
              <w:t>1006.48</w:t>
            </w:r>
          </w:p>
        </w:tc>
        <w:tc>
          <w:tcPr>
            <w:tcW w:w="1162" w:type="dxa"/>
            <w:vAlign w:val="center"/>
          </w:tcPr>
          <w:p>
            <w:pPr>
              <w:jc w:val="right"/>
              <w:textAlignment w:val="center"/>
              <w:rPr>
                <w:rFonts w:ascii="方正书宋_GBK" w:hAnsi="方正书宋_GBK" w:eastAsia="方正书宋_GBK" w:cs="方正书宋_GBK"/>
                <w:b/>
                <w:bCs/>
                <w:szCs w:val="32"/>
              </w:rPr>
            </w:pPr>
            <w:r>
              <w:rPr>
                <w:rFonts w:hint="eastAsia" w:ascii="宋体" w:hAnsi="宋体" w:eastAsia="宋体" w:cs="宋体"/>
                <w:b/>
                <w:bCs/>
                <w:color w:val="000000"/>
                <w:sz w:val="21"/>
                <w:szCs w:val="21"/>
                <w:lang w:eastAsia="zh-CN"/>
              </w:rPr>
              <w:t>493.95</w:t>
            </w:r>
          </w:p>
        </w:tc>
        <w:tc>
          <w:tcPr>
            <w:tcW w:w="1156" w:type="dxa"/>
            <w:vAlign w:val="center"/>
          </w:tcPr>
          <w:p>
            <w:pPr>
              <w:jc w:val="right"/>
              <w:textAlignment w:val="center"/>
              <w:rPr>
                <w:rFonts w:ascii="方正书宋_GBK" w:hAnsi="方正书宋_GBK" w:eastAsia="方正书宋_GBK" w:cs="方正书宋_GBK"/>
                <w:b/>
                <w:bCs/>
                <w:szCs w:val="32"/>
              </w:rPr>
            </w:pPr>
            <w:r>
              <w:rPr>
                <w:rFonts w:hint="eastAsia" w:ascii="宋体" w:hAnsi="宋体" w:eastAsia="宋体" w:cs="宋体"/>
                <w:b/>
                <w:bCs/>
                <w:color w:val="000000"/>
                <w:sz w:val="21"/>
                <w:szCs w:val="21"/>
                <w:lang w:eastAsia="zh-CN"/>
              </w:rPr>
              <w:t>512.53</w:t>
            </w: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4</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2010401</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行政运行</w:t>
            </w:r>
          </w:p>
        </w:tc>
        <w:tc>
          <w:tcPr>
            <w:tcW w:w="1156" w:type="dxa"/>
            <w:vAlign w:val="center"/>
          </w:tcPr>
          <w:p>
            <w:pPr>
              <w:jc w:val="right"/>
              <w:textAlignment w:val="center"/>
              <w:rPr>
                <w:rFonts w:ascii="方正书宋_GBK" w:hAnsi="方正书宋_GBK" w:eastAsia="方正书宋_GBK" w:cs="方正书宋_GBK"/>
                <w:b/>
                <w:bCs/>
                <w:szCs w:val="32"/>
              </w:rPr>
            </w:pPr>
            <w:r>
              <w:rPr>
                <w:rFonts w:hint="eastAsia" w:ascii="宋体" w:hAnsi="宋体" w:eastAsia="宋体" w:cs="宋体"/>
                <w:b/>
                <w:bCs/>
                <w:color w:val="000000"/>
                <w:sz w:val="21"/>
                <w:szCs w:val="21"/>
                <w:lang w:eastAsia="zh-CN"/>
              </w:rPr>
              <w:t>83.27</w:t>
            </w:r>
          </w:p>
        </w:tc>
        <w:tc>
          <w:tcPr>
            <w:tcW w:w="1162" w:type="dxa"/>
            <w:vAlign w:val="center"/>
          </w:tcPr>
          <w:p>
            <w:pPr>
              <w:jc w:val="right"/>
              <w:rPr>
                <w:rFonts w:ascii="方正书宋_GBK" w:hAnsi="方正书宋_GBK" w:eastAsia="方正书宋_GBK" w:cs="方正书宋_GBK"/>
                <w:b/>
                <w:bCs/>
                <w:szCs w:val="32"/>
              </w:rPr>
            </w:pPr>
          </w:p>
        </w:tc>
        <w:tc>
          <w:tcPr>
            <w:tcW w:w="1156" w:type="dxa"/>
            <w:vAlign w:val="center"/>
          </w:tcPr>
          <w:p>
            <w:pPr>
              <w:jc w:val="right"/>
              <w:textAlignment w:val="center"/>
              <w:rPr>
                <w:rFonts w:ascii="方正书宋_GBK" w:hAnsi="方正书宋_GBK" w:eastAsia="方正书宋_GBK" w:cs="方正书宋_GBK"/>
                <w:b/>
                <w:bCs/>
                <w:szCs w:val="32"/>
              </w:rPr>
            </w:pPr>
            <w:r>
              <w:rPr>
                <w:rFonts w:hint="eastAsia" w:ascii="宋体" w:hAnsi="宋体" w:eastAsia="宋体" w:cs="宋体"/>
                <w:b/>
                <w:bCs/>
                <w:color w:val="000000"/>
                <w:sz w:val="21"/>
                <w:szCs w:val="21"/>
                <w:lang w:eastAsia="zh-CN"/>
              </w:rPr>
              <w:t>83.27</w:t>
            </w: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5</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2010402</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一般行政管理事务</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267.26</w:t>
            </w:r>
          </w:p>
        </w:tc>
        <w:tc>
          <w:tcPr>
            <w:tcW w:w="1162" w:type="dxa"/>
            <w:vAlign w:val="center"/>
          </w:tcPr>
          <w:p>
            <w:pPr>
              <w:jc w:val="right"/>
              <w:rPr>
                <w:b/>
                <w:bCs/>
                <w:sz w:val="22"/>
                <w:szCs w:val="22"/>
              </w:rPr>
            </w:pP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267.26</w:t>
            </w: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6</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2010403</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机关服务</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22.00</w:t>
            </w:r>
          </w:p>
        </w:tc>
        <w:tc>
          <w:tcPr>
            <w:tcW w:w="1162" w:type="dxa"/>
            <w:vAlign w:val="center"/>
          </w:tcPr>
          <w:p>
            <w:pPr>
              <w:jc w:val="right"/>
              <w:rPr>
                <w:b/>
                <w:bCs/>
                <w:sz w:val="22"/>
                <w:szCs w:val="22"/>
              </w:rPr>
            </w:pP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22.00</w:t>
            </w: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7</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2010406</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社会事业发展规划</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136.00</w:t>
            </w:r>
          </w:p>
        </w:tc>
        <w:tc>
          <w:tcPr>
            <w:tcW w:w="1162" w:type="dxa"/>
            <w:vAlign w:val="center"/>
          </w:tcPr>
          <w:p>
            <w:pPr>
              <w:jc w:val="right"/>
              <w:rPr>
                <w:b/>
                <w:bCs/>
                <w:sz w:val="22"/>
                <w:szCs w:val="22"/>
              </w:rPr>
            </w:pP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136.00</w:t>
            </w: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8</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2010408</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物价管理</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4.00</w:t>
            </w:r>
          </w:p>
        </w:tc>
        <w:tc>
          <w:tcPr>
            <w:tcW w:w="1162" w:type="dxa"/>
            <w:vAlign w:val="center"/>
          </w:tcPr>
          <w:p>
            <w:pPr>
              <w:jc w:val="right"/>
              <w:rPr>
                <w:b/>
                <w:bCs/>
                <w:sz w:val="22"/>
                <w:szCs w:val="22"/>
              </w:rPr>
            </w:pP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4.00</w:t>
            </w: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9</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2010450</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事业运行</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493.95</w:t>
            </w:r>
          </w:p>
        </w:tc>
        <w:tc>
          <w:tcPr>
            <w:tcW w:w="116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493.95</w:t>
            </w:r>
          </w:p>
        </w:tc>
        <w:tc>
          <w:tcPr>
            <w:tcW w:w="1156" w:type="dxa"/>
            <w:vAlign w:val="center"/>
          </w:tcPr>
          <w:p>
            <w:pPr>
              <w:jc w:val="right"/>
              <w:rPr>
                <w:b/>
                <w:bCs/>
                <w:sz w:val="22"/>
                <w:szCs w:val="22"/>
              </w:rPr>
            </w:pP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10</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208</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社会保障和就业支出</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163.29</w:t>
            </w:r>
          </w:p>
        </w:tc>
        <w:tc>
          <w:tcPr>
            <w:tcW w:w="116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163.29</w:t>
            </w:r>
          </w:p>
        </w:tc>
        <w:tc>
          <w:tcPr>
            <w:tcW w:w="1156" w:type="dxa"/>
            <w:vAlign w:val="center"/>
          </w:tcPr>
          <w:p>
            <w:pPr>
              <w:jc w:val="right"/>
              <w:rPr>
                <w:b/>
                <w:bCs/>
                <w:sz w:val="22"/>
                <w:szCs w:val="22"/>
              </w:rPr>
            </w:pP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11</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20805</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行政事业单位养老支出</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150.33</w:t>
            </w:r>
          </w:p>
        </w:tc>
        <w:tc>
          <w:tcPr>
            <w:tcW w:w="116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150.33</w:t>
            </w:r>
          </w:p>
        </w:tc>
        <w:tc>
          <w:tcPr>
            <w:tcW w:w="1156" w:type="dxa"/>
            <w:vAlign w:val="center"/>
          </w:tcPr>
          <w:p>
            <w:pPr>
              <w:jc w:val="right"/>
              <w:rPr>
                <w:b/>
                <w:bCs/>
                <w:sz w:val="22"/>
                <w:szCs w:val="22"/>
              </w:rPr>
            </w:pP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12</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2080501</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行政单位离退休</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87.56</w:t>
            </w:r>
          </w:p>
        </w:tc>
        <w:tc>
          <w:tcPr>
            <w:tcW w:w="116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87.56</w:t>
            </w:r>
          </w:p>
        </w:tc>
        <w:tc>
          <w:tcPr>
            <w:tcW w:w="1156" w:type="dxa"/>
            <w:vAlign w:val="center"/>
          </w:tcPr>
          <w:p>
            <w:pPr>
              <w:jc w:val="right"/>
              <w:rPr>
                <w:b/>
                <w:bCs/>
                <w:sz w:val="22"/>
                <w:szCs w:val="22"/>
              </w:rPr>
            </w:pP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13</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2080505</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机关事业单位基本养老保险缴费支出</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62.77</w:t>
            </w:r>
          </w:p>
        </w:tc>
        <w:tc>
          <w:tcPr>
            <w:tcW w:w="116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62.77</w:t>
            </w:r>
          </w:p>
        </w:tc>
        <w:tc>
          <w:tcPr>
            <w:tcW w:w="1156" w:type="dxa"/>
            <w:vAlign w:val="center"/>
          </w:tcPr>
          <w:p>
            <w:pPr>
              <w:jc w:val="right"/>
              <w:rPr>
                <w:b/>
                <w:bCs/>
                <w:sz w:val="22"/>
                <w:szCs w:val="22"/>
              </w:rPr>
            </w:pP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14</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20808</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抚恤</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116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1156" w:type="dxa"/>
            <w:vAlign w:val="center"/>
          </w:tcPr>
          <w:p>
            <w:pPr>
              <w:jc w:val="right"/>
              <w:rPr>
                <w:b/>
                <w:bCs/>
                <w:sz w:val="22"/>
                <w:szCs w:val="22"/>
              </w:rPr>
            </w:pP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15</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2080801</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死亡抚恤</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116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1156" w:type="dxa"/>
            <w:vAlign w:val="center"/>
          </w:tcPr>
          <w:p>
            <w:pPr>
              <w:jc w:val="right"/>
              <w:rPr>
                <w:b/>
                <w:bCs/>
                <w:sz w:val="22"/>
                <w:szCs w:val="22"/>
              </w:rPr>
            </w:pP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16</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20827</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财政对其他社会保险基金的补助</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116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1156" w:type="dxa"/>
            <w:vAlign w:val="center"/>
          </w:tcPr>
          <w:p>
            <w:pPr>
              <w:jc w:val="right"/>
              <w:rPr>
                <w:b/>
                <w:bCs/>
                <w:sz w:val="22"/>
                <w:szCs w:val="22"/>
              </w:rPr>
            </w:pP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17</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2082702</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财政对工伤保险基金的补助</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116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1156" w:type="dxa"/>
            <w:vAlign w:val="center"/>
          </w:tcPr>
          <w:p>
            <w:pPr>
              <w:jc w:val="right"/>
              <w:rPr>
                <w:b/>
                <w:bCs/>
                <w:sz w:val="22"/>
                <w:szCs w:val="22"/>
              </w:rPr>
            </w:pP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18</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210</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卫生健康支出</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16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156" w:type="dxa"/>
            <w:vAlign w:val="center"/>
          </w:tcPr>
          <w:p>
            <w:pPr>
              <w:jc w:val="right"/>
              <w:rPr>
                <w:b/>
                <w:bCs/>
                <w:sz w:val="22"/>
                <w:szCs w:val="22"/>
              </w:rPr>
            </w:pP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19</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21012</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财政对基本医疗保险基金的补助</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16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156" w:type="dxa"/>
            <w:vAlign w:val="center"/>
          </w:tcPr>
          <w:p>
            <w:pPr>
              <w:jc w:val="right"/>
              <w:rPr>
                <w:b/>
                <w:bCs/>
                <w:sz w:val="22"/>
                <w:szCs w:val="22"/>
              </w:rPr>
            </w:pP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20</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2101201</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财政对职工基本医疗保险基金的补助</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16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156" w:type="dxa"/>
            <w:vAlign w:val="center"/>
          </w:tcPr>
          <w:p>
            <w:pPr>
              <w:jc w:val="right"/>
              <w:rPr>
                <w:b/>
                <w:bCs/>
                <w:sz w:val="22"/>
                <w:szCs w:val="22"/>
              </w:rPr>
            </w:pP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21</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211</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节能环保支出</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1162" w:type="dxa"/>
            <w:vAlign w:val="center"/>
          </w:tcPr>
          <w:p>
            <w:pPr>
              <w:jc w:val="right"/>
              <w:rPr>
                <w:b/>
                <w:bCs/>
                <w:sz w:val="22"/>
                <w:szCs w:val="22"/>
              </w:rPr>
            </w:pP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22</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21110</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能源节约利用</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1162" w:type="dxa"/>
            <w:vAlign w:val="center"/>
          </w:tcPr>
          <w:p>
            <w:pPr>
              <w:jc w:val="right"/>
              <w:rPr>
                <w:b/>
                <w:bCs/>
                <w:sz w:val="22"/>
                <w:szCs w:val="22"/>
              </w:rPr>
            </w:pP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23</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2111001</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能源节约利用</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1162" w:type="dxa"/>
            <w:vAlign w:val="center"/>
          </w:tcPr>
          <w:p>
            <w:pPr>
              <w:jc w:val="right"/>
              <w:rPr>
                <w:b/>
                <w:bCs/>
                <w:sz w:val="22"/>
                <w:szCs w:val="22"/>
              </w:rPr>
            </w:pP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24</w:t>
            </w:r>
          </w:p>
        </w:tc>
        <w:tc>
          <w:tcPr>
            <w:tcW w:w="1439" w:type="dxa"/>
            <w:vAlign w:val="center"/>
          </w:tcPr>
          <w:p>
            <w:pPr>
              <w:textAlignment w:val="center"/>
              <w:rPr>
                <w:b/>
                <w:bCs/>
                <w:sz w:val="32"/>
                <w:szCs w:val="32"/>
              </w:rPr>
            </w:pPr>
            <w:r>
              <w:rPr>
                <w:rFonts w:hint="eastAsia" w:ascii="宋体" w:hAnsi="宋体" w:eastAsia="宋体" w:cs="宋体"/>
                <w:b/>
                <w:bCs/>
                <w:color w:val="000000"/>
                <w:sz w:val="21"/>
                <w:szCs w:val="21"/>
                <w:lang w:eastAsia="zh-CN"/>
              </w:rPr>
              <w:t>221</w:t>
            </w:r>
          </w:p>
        </w:tc>
        <w:tc>
          <w:tcPr>
            <w:tcW w:w="3938" w:type="dxa"/>
            <w:vAlign w:val="center"/>
          </w:tcPr>
          <w:p>
            <w:pPr>
              <w:textAlignment w:val="center"/>
              <w:rPr>
                <w:b/>
                <w:bCs/>
                <w:sz w:val="32"/>
                <w:szCs w:val="32"/>
              </w:rPr>
            </w:pPr>
            <w:r>
              <w:rPr>
                <w:rFonts w:hint="eastAsia" w:ascii="宋体" w:hAnsi="宋体" w:eastAsia="宋体" w:cs="宋体"/>
                <w:b/>
                <w:bCs/>
                <w:color w:val="000000"/>
                <w:sz w:val="21"/>
                <w:szCs w:val="21"/>
                <w:lang w:eastAsia="zh-CN"/>
              </w:rPr>
              <w:t>住房保障支出</w:t>
            </w:r>
          </w:p>
        </w:tc>
        <w:tc>
          <w:tcPr>
            <w:tcW w:w="11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47.08</w:t>
            </w:r>
          </w:p>
        </w:tc>
        <w:tc>
          <w:tcPr>
            <w:tcW w:w="116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47.08</w:t>
            </w:r>
          </w:p>
        </w:tc>
        <w:tc>
          <w:tcPr>
            <w:tcW w:w="1156" w:type="dxa"/>
            <w:vAlign w:val="center"/>
          </w:tcPr>
          <w:p>
            <w:pPr>
              <w:jc w:val="right"/>
              <w:rPr>
                <w:b/>
                <w:bCs/>
                <w:sz w:val="22"/>
                <w:szCs w:val="22"/>
              </w:rPr>
            </w:pPr>
          </w:p>
        </w:tc>
        <w:tc>
          <w:tcPr>
            <w:tcW w:w="385" w:type="pct"/>
            <w:vAlign w:val="center"/>
          </w:tcPr>
          <w:p>
            <w:pPr>
              <w:pStyle w:val="15"/>
              <w:rPr>
                <w:b/>
                <w:bCs/>
              </w:rPr>
            </w:pPr>
          </w:p>
        </w:tc>
        <w:tc>
          <w:tcPr>
            <w:tcW w:w="656" w:type="pct"/>
            <w:vAlign w:val="center"/>
          </w:tcPr>
          <w:p>
            <w:pPr>
              <w:pStyle w:val="15"/>
              <w:rPr>
                <w:b/>
                <w:bCs/>
              </w:rPr>
            </w:pPr>
          </w:p>
        </w:tc>
        <w:tc>
          <w:tcPr>
            <w:tcW w:w="774" w:type="pct"/>
            <w:vAlign w:val="center"/>
          </w:tcPr>
          <w:p>
            <w:pPr>
              <w:pStyle w:val="15"/>
              <w:rPr>
                <w:b/>
                <w:bCs/>
              </w:rPr>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3"/>
        <w:gridCol w:w="2118"/>
        <w:gridCol w:w="1057"/>
        <w:gridCol w:w="4094"/>
        <w:gridCol w:w="1051"/>
        <w:gridCol w:w="1943"/>
        <w:gridCol w:w="2091"/>
        <w:gridCol w:w="20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1" w:type="pct"/>
            <w:gridSpan w:val="3"/>
            <w:tcBorders>
              <w:top w:val="single" w:color="FFFFFF" w:sz="6" w:space="0"/>
              <w:left w:val="single" w:color="FFFFFF" w:sz="6" w:space="0"/>
              <w:right w:val="single" w:color="FFFFFF" w:sz="6" w:space="0"/>
            </w:tcBorders>
            <w:vAlign w:val="center"/>
          </w:tcPr>
          <w:p>
            <w:pPr>
              <w:pStyle w:val="13"/>
            </w:pPr>
            <w:r>
              <w:t>303宁晋县发展和改革局</w:t>
            </w:r>
          </w:p>
        </w:tc>
        <w:tc>
          <w:tcPr>
            <w:tcW w:w="1363" w:type="pct"/>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2384"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 w:type="pct"/>
            <w:vMerge w:val="restart"/>
            <w:vAlign w:val="center"/>
          </w:tcPr>
          <w:p>
            <w:pPr>
              <w:pStyle w:val="14"/>
            </w:pPr>
            <w:r>
              <w:t>序号</w:t>
            </w:r>
          </w:p>
        </w:tc>
        <w:tc>
          <w:tcPr>
            <w:tcW w:w="1056" w:type="pct"/>
            <w:gridSpan w:val="2"/>
            <w:vAlign w:val="center"/>
          </w:tcPr>
          <w:p>
            <w:pPr>
              <w:pStyle w:val="14"/>
            </w:pPr>
            <w:r>
              <w:t>收入</w:t>
            </w:r>
          </w:p>
        </w:tc>
        <w:tc>
          <w:tcPr>
            <w:tcW w:w="3748"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 w:type="pct"/>
            <w:vMerge w:val="continue"/>
          </w:tcPr>
          <w:p/>
        </w:tc>
        <w:tc>
          <w:tcPr>
            <w:tcW w:w="705" w:type="pct"/>
            <w:vAlign w:val="center"/>
          </w:tcPr>
          <w:p>
            <w:pPr>
              <w:pStyle w:val="14"/>
            </w:pPr>
            <w:r>
              <w:t>项  目</w:t>
            </w:r>
          </w:p>
        </w:tc>
        <w:tc>
          <w:tcPr>
            <w:tcW w:w="350" w:type="pct"/>
            <w:vAlign w:val="center"/>
          </w:tcPr>
          <w:p>
            <w:pPr>
              <w:pStyle w:val="14"/>
            </w:pPr>
            <w:r>
              <w:t>金额</w:t>
            </w:r>
          </w:p>
        </w:tc>
        <w:tc>
          <w:tcPr>
            <w:tcW w:w="1363" w:type="pct"/>
            <w:vAlign w:val="center"/>
          </w:tcPr>
          <w:p>
            <w:pPr>
              <w:pStyle w:val="14"/>
            </w:pPr>
            <w:r>
              <w:t>项  目</w:t>
            </w:r>
          </w:p>
        </w:tc>
        <w:tc>
          <w:tcPr>
            <w:tcW w:w="350" w:type="pct"/>
            <w:vAlign w:val="center"/>
          </w:tcPr>
          <w:p>
            <w:pPr>
              <w:pStyle w:val="14"/>
            </w:pPr>
            <w:r>
              <w:t>合计</w:t>
            </w:r>
          </w:p>
        </w:tc>
        <w:tc>
          <w:tcPr>
            <w:tcW w:w="647" w:type="pct"/>
            <w:vAlign w:val="center"/>
          </w:tcPr>
          <w:p>
            <w:pPr>
              <w:pStyle w:val="14"/>
            </w:pPr>
            <w:r>
              <w:t>一般公共预算财政拨款</w:t>
            </w:r>
          </w:p>
        </w:tc>
        <w:tc>
          <w:tcPr>
            <w:tcW w:w="696" w:type="pct"/>
            <w:vAlign w:val="center"/>
          </w:tcPr>
          <w:p>
            <w:pPr>
              <w:pStyle w:val="14"/>
            </w:pPr>
            <w:r>
              <w:t>政府性基金预算财政    拨款</w:t>
            </w:r>
          </w:p>
        </w:tc>
        <w:tc>
          <w:tcPr>
            <w:tcW w:w="689"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 w:type="pct"/>
            <w:vAlign w:val="center"/>
          </w:tcPr>
          <w:p>
            <w:pPr>
              <w:pStyle w:val="14"/>
            </w:pPr>
            <w:r>
              <w:t>栏次</w:t>
            </w:r>
          </w:p>
        </w:tc>
        <w:tc>
          <w:tcPr>
            <w:tcW w:w="705" w:type="pct"/>
            <w:vAlign w:val="center"/>
          </w:tcPr>
          <w:p>
            <w:pPr>
              <w:pStyle w:val="14"/>
            </w:pPr>
            <w:r>
              <w:t>1</w:t>
            </w:r>
          </w:p>
        </w:tc>
        <w:tc>
          <w:tcPr>
            <w:tcW w:w="350" w:type="pct"/>
            <w:vAlign w:val="center"/>
          </w:tcPr>
          <w:p>
            <w:pPr>
              <w:pStyle w:val="14"/>
            </w:pPr>
            <w:r>
              <w:t>2</w:t>
            </w:r>
          </w:p>
        </w:tc>
        <w:tc>
          <w:tcPr>
            <w:tcW w:w="1363" w:type="pct"/>
            <w:vAlign w:val="center"/>
          </w:tcPr>
          <w:p>
            <w:pPr>
              <w:pStyle w:val="14"/>
            </w:pPr>
            <w:r>
              <w:t>3</w:t>
            </w:r>
          </w:p>
        </w:tc>
        <w:tc>
          <w:tcPr>
            <w:tcW w:w="350" w:type="pct"/>
            <w:vAlign w:val="center"/>
          </w:tcPr>
          <w:p>
            <w:pPr>
              <w:pStyle w:val="14"/>
            </w:pPr>
            <w:r>
              <w:t>4</w:t>
            </w:r>
          </w:p>
        </w:tc>
        <w:tc>
          <w:tcPr>
            <w:tcW w:w="647" w:type="pct"/>
            <w:vAlign w:val="center"/>
          </w:tcPr>
          <w:p>
            <w:pPr>
              <w:pStyle w:val="14"/>
            </w:pPr>
            <w:r>
              <w:t>5</w:t>
            </w:r>
          </w:p>
        </w:tc>
        <w:tc>
          <w:tcPr>
            <w:tcW w:w="696" w:type="pct"/>
            <w:vAlign w:val="center"/>
          </w:tcPr>
          <w:p>
            <w:pPr>
              <w:pStyle w:val="14"/>
            </w:pPr>
            <w:r>
              <w:t>6</w:t>
            </w:r>
          </w:p>
        </w:tc>
        <w:tc>
          <w:tcPr>
            <w:tcW w:w="689"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1</w:t>
            </w:r>
          </w:p>
        </w:tc>
        <w:tc>
          <w:tcPr>
            <w:tcW w:w="2117" w:type="dxa"/>
            <w:vAlign w:val="center"/>
          </w:tcPr>
          <w:p>
            <w:pPr>
              <w:textAlignment w:val="center"/>
              <w:rPr>
                <w:b/>
                <w:bCs/>
                <w:sz w:val="32"/>
                <w:szCs w:val="32"/>
              </w:rPr>
            </w:pPr>
            <w:r>
              <w:rPr>
                <w:rFonts w:hint="eastAsia" w:ascii="宋体" w:hAnsi="宋体" w:eastAsia="宋体" w:cs="宋体"/>
                <w:b/>
                <w:bCs/>
                <w:color w:val="000000"/>
                <w:sz w:val="21"/>
                <w:szCs w:val="21"/>
                <w:lang w:eastAsia="zh-CN"/>
              </w:rPr>
              <w:t>一、一般公共预算拨款</w:t>
            </w:r>
          </w:p>
        </w:tc>
        <w:tc>
          <w:tcPr>
            <w:tcW w:w="10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3251.60</w:t>
            </w: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一、一般公共服务支出</w:t>
            </w:r>
          </w:p>
        </w:tc>
        <w:tc>
          <w:tcPr>
            <w:tcW w:w="1054" w:type="dxa"/>
            <w:vAlign w:val="center"/>
          </w:tcPr>
          <w:p>
            <w:pPr>
              <w:jc w:val="right"/>
              <w:textAlignment w:val="center"/>
              <w:rPr>
                <w:rFonts w:eastAsia="方正书宋_GBK"/>
                <w:b/>
                <w:bCs/>
                <w:sz w:val="32"/>
                <w:szCs w:val="32"/>
                <w:lang w:eastAsia="zh-CN"/>
              </w:rPr>
            </w:pPr>
            <w:r>
              <w:rPr>
                <w:rFonts w:hint="eastAsia" w:ascii="宋体" w:hAnsi="宋体" w:eastAsia="宋体" w:cs="宋体"/>
                <w:b/>
                <w:bCs/>
                <w:color w:val="000000"/>
                <w:sz w:val="21"/>
                <w:szCs w:val="21"/>
                <w:lang w:eastAsia="zh-CN"/>
              </w:rPr>
              <w:t>1006.48</w:t>
            </w:r>
          </w:p>
        </w:tc>
        <w:tc>
          <w:tcPr>
            <w:tcW w:w="1943" w:type="dxa"/>
            <w:vAlign w:val="center"/>
          </w:tcPr>
          <w:p>
            <w:pPr>
              <w:jc w:val="right"/>
              <w:textAlignment w:val="center"/>
              <w:rPr>
                <w:rFonts w:eastAsia="方正书宋_GBK"/>
                <w:b/>
                <w:bCs/>
                <w:sz w:val="32"/>
                <w:szCs w:val="32"/>
                <w:lang w:eastAsia="zh-CN"/>
              </w:rPr>
            </w:pPr>
            <w:r>
              <w:rPr>
                <w:rFonts w:hint="eastAsia" w:ascii="宋体" w:hAnsi="宋体" w:eastAsia="宋体" w:cs="宋体"/>
                <w:b/>
                <w:bCs/>
                <w:color w:val="000000"/>
                <w:sz w:val="21"/>
                <w:szCs w:val="21"/>
                <w:lang w:eastAsia="zh-CN"/>
              </w:rPr>
              <w:t>1006.48</w:t>
            </w: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2</w:t>
            </w:r>
          </w:p>
        </w:tc>
        <w:tc>
          <w:tcPr>
            <w:tcW w:w="2117" w:type="dxa"/>
            <w:vAlign w:val="center"/>
          </w:tcPr>
          <w:p>
            <w:pPr>
              <w:textAlignment w:val="center"/>
              <w:rPr>
                <w:b/>
                <w:bCs/>
                <w:sz w:val="32"/>
                <w:szCs w:val="32"/>
              </w:rPr>
            </w:pPr>
            <w:r>
              <w:rPr>
                <w:rFonts w:hint="eastAsia" w:ascii="宋体" w:hAnsi="宋体" w:eastAsia="宋体" w:cs="宋体"/>
                <w:b/>
                <w:bCs/>
                <w:color w:val="000000"/>
                <w:sz w:val="21"/>
                <w:szCs w:val="21"/>
                <w:lang w:eastAsia="zh-CN"/>
              </w:rPr>
              <w:t>二、政府性基金预算拨款</w:t>
            </w: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二、外交支出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3</w:t>
            </w:r>
          </w:p>
        </w:tc>
        <w:tc>
          <w:tcPr>
            <w:tcW w:w="2117" w:type="dxa"/>
            <w:vAlign w:val="center"/>
          </w:tcPr>
          <w:p>
            <w:pPr>
              <w:textAlignment w:val="center"/>
              <w:rPr>
                <w:b/>
                <w:bCs/>
                <w:sz w:val="32"/>
                <w:szCs w:val="32"/>
              </w:rPr>
            </w:pPr>
            <w:r>
              <w:rPr>
                <w:rFonts w:hint="eastAsia" w:ascii="宋体" w:hAnsi="宋体" w:eastAsia="宋体" w:cs="宋体"/>
                <w:b/>
                <w:bCs/>
                <w:color w:val="000000"/>
                <w:sz w:val="21"/>
                <w:szCs w:val="21"/>
                <w:lang w:eastAsia="zh-CN"/>
              </w:rPr>
              <w:t>三、国有资本经营预算拨款</w:t>
            </w: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三、国防支出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4</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四、公共安全支出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5</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五、教育支出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6</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六、科学技术支出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7</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七、文化旅游体育与传媒支出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8</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八、社会保障和就业支出</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163.29</w:t>
            </w:r>
          </w:p>
        </w:tc>
        <w:tc>
          <w:tcPr>
            <w:tcW w:w="1943"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163.29</w:t>
            </w: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9</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九、社会保险基金支出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10</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十、卫生健康支出</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943"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11</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十一、节能环保支出</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1943"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12</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十二、城乡社区支出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13</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十三、农林水支出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14</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十四、交通运输支出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15</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十五、资源勘探工业信息等支出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16</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十六、商业服务业等支出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17</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十七、金融支出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18</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十八、援助其他地区支出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19</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十九、自然资源海洋气象等支出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20</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二十、住房保障支出</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47.08</w:t>
            </w:r>
          </w:p>
        </w:tc>
        <w:tc>
          <w:tcPr>
            <w:tcW w:w="1943"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47.08</w:t>
            </w: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21</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二十一、粮油物资储备支出</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906.50</w:t>
            </w:r>
          </w:p>
        </w:tc>
        <w:tc>
          <w:tcPr>
            <w:tcW w:w="1943"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906.50</w:t>
            </w: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22</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二十二、国有资本经营预算支出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23</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二十三、灾害防治及应急管理支出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24</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二十四、预备费</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25</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二十五、其他支出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26</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二十六、转移性支出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27</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二十七、灾害防治及应急管理共同财政事权转移支付支出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28</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二十八、债务还本支出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29</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二十九、债务付息支出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30</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三十、债务发行费用支出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31</w:t>
            </w:r>
          </w:p>
        </w:tc>
        <w:tc>
          <w:tcPr>
            <w:tcW w:w="2117" w:type="dxa"/>
            <w:vAlign w:val="center"/>
          </w:tcPr>
          <w:p>
            <w:pPr>
              <w:rPr>
                <w:b/>
                <w:bCs/>
                <w:sz w:val="22"/>
                <w:szCs w:val="22"/>
              </w:rPr>
            </w:pP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三十一、抗疫特别国债安排的支出</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32</w:t>
            </w:r>
          </w:p>
        </w:tc>
        <w:tc>
          <w:tcPr>
            <w:tcW w:w="2117" w:type="dxa"/>
            <w:vAlign w:val="center"/>
          </w:tcPr>
          <w:p>
            <w:pPr>
              <w:textAlignment w:val="center"/>
              <w:rPr>
                <w:b/>
                <w:bCs/>
                <w:sz w:val="32"/>
                <w:szCs w:val="32"/>
              </w:rPr>
            </w:pPr>
            <w:r>
              <w:rPr>
                <w:rFonts w:hint="eastAsia" w:ascii="宋体" w:hAnsi="宋体" w:eastAsia="宋体" w:cs="宋体"/>
                <w:b/>
                <w:bCs/>
                <w:color w:val="000000"/>
                <w:sz w:val="21"/>
                <w:szCs w:val="21"/>
                <w:lang w:eastAsia="zh-CN"/>
              </w:rPr>
              <w:t>本年收入合计</w:t>
            </w:r>
          </w:p>
        </w:tc>
        <w:tc>
          <w:tcPr>
            <w:tcW w:w="10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3251.60</w:t>
            </w: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本年支出合计</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3251.60</w:t>
            </w:r>
          </w:p>
        </w:tc>
        <w:tc>
          <w:tcPr>
            <w:tcW w:w="1943"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3251.60</w:t>
            </w:r>
          </w:p>
        </w:tc>
        <w:tc>
          <w:tcPr>
            <w:tcW w:w="696" w:type="pct"/>
            <w:vAlign w:val="center"/>
          </w:tcPr>
          <w:p>
            <w:pPr>
              <w:pStyle w:val="19"/>
            </w:pPr>
          </w:p>
        </w:tc>
        <w:tc>
          <w:tcPr>
            <w:tcW w:w="689"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33</w:t>
            </w:r>
          </w:p>
        </w:tc>
        <w:tc>
          <w:tcPr>
            <w:tcW w:w="2117" w:type="dxa"/>
            <w:vAlign w:val="center"/>
          </w:tcPr>
          <w:p>
            <w:pPr>
              <w:textAlignment w:val="center"/>
              <w:rPr>
                <w:b/>
                <w:bCs/>
                <w:sz w:val="32"/>
                <w:szCs w:val="32"/>
              </w:rPr>
            </w:pPr>
            <w:r>
              <w:rPr>
                <w:rFonts w:hint="eastAsia" w:ascii="宋体" w:hAnsi="宋体" w:eastAsia="宋体" w:cs="宋体"/>
                <w:b/>
                <w:bCs/>
                <w:color w:val="000000"/>
                <w:sz w:val="21"/>
                <w:szCs w:val="21"/>
                <w:lang w:eastAsia="zh-CN"/>
              </w:rPr>
              <w:t>年初财政拨款结转和结余</w:t>
            </w:r>
          </w:p>
        </w:tc>
        <w:tc>
          <w:tcPr>
            <w:tcW w:w="1056" w:type="dxa"/>
            <w:vAlign w:val="center"/>
          </w:tcPr>
          <w:p>
            <w:pPr>
              <w:jc w:val="right"/>
              <w:rPr>
                <w:b/>
                <w:bCs/>
                <w:sz w:val="22"/>
                <w:szCs w:val="22"/>
              </w:rPr>
            </w:pP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年末财政拨款结转和结余</w:t>
            </w: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34</w:t>
            </w:r>
          </w:p>
        </w:tc>
        <w:tc>
          <w:tcPr>
            <w:tcW w:w="2117" w:type="dxa"/>
            <w:vAlign w:val="center"/>
          </w:tcPr>
          <w:p>
            <w:pPr>
              <w:textAlignment w:val="center"/>
              <w:rPr>
                <w:b/>
                <w:bCs/>
                <w:sz w:val="32"/>
                <w:szCs w:val="32"/>
              </w:rPr>
            </w:pPr>
            <w:r>
              <w:rPr>
                <w:rFonts w:hint="eastAsia" w:ascii="宋体" w:hAnsi="宋体" w:eastAsia="宋体" w:cs="宋体"/>
                <w:b/>
                <w:bCs/>
                <w:color w:val="000000"/>
                <w:sz w:val="21"/>
                <w:szCs w:val="21"/>
                <w:lang w:eastAsia="zh-CN"/>
              </w:rPr>
              <w:t>一、一般公共预算拨款</w:t>
            </w:r>
          </w:p>
        </w:tc>
        <w:tc>
          <w:tcPr>
            <w:tcW w:w="1056" w:type="dxa"/>
            <w:vAlign w:val="center"/>
          </w:tcPr>
          <w:p>
            <w:pPr>
              <w:jc w:val="right"/>
              <w:rPr>
                <w:b/>
                <w:bCs/>
                <w:sz w:val="22"/>
                <w:szCs w:val="22"/>
              </w:rPr>
            </w:pPr>
          </w:p>
        </w:tc>
        <w:tc>
          <w:tcPr>
            <w:tcW w:w="4094" w:type="dxa"/>
            <w:vAlign w:val="center"/>
          </w:tcPr>
          <w:p>
            <w:pPr>
              <w:rPr>
                <w:b/>
                <w:bCs/>
                <w:sz w:val="22"/>
                <w:szCs w:val="22"/>
              </w:rPr>
            </w:pP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35</w:t>
            </w:r>
          </w:p>
        </w:tc>
        <w:tc>
          <w:tcPr>
            <w:tcW w:w="2117" w:type="dxa"/>
            <w:vAlign w:val="center"/>
          </w:tcPr>
          <w:p>
            <w:pPr>
              <w:textAlignment w:val="center"/>
              <w:rPr>
                <w:b/>
                <w:bCs/>
                <w:sz w:val="32"/>
                <w:szCs w:val="32"/>
              </w:rPr>
            </w:pPr>
            <w:r>
              <w:rPr>
                <w:rFonts w:hint="eastAsia" w:ascii="宋体" w:hAnsi="宋体" w:eastAsia="宋体" w:cs="宋体"/>
                <w:b/>
                <w:bCs/>
                <w:color w:val="000000"/>
                <w:sz w:val="21"/>
                <w:szCs w:val="21"/>
                <w:lang w:eastAsia="zh-CN"/>
              </w:rPr>
              <w:t>二、政府性基金预算拨款</w:t>
            </w:r>
          </w:p>
        </w:tc>
        <w:tc>
          <w:tcPr>
            <w:tcW w:w="1056" w:type="dxa"/>
            <w:vAlign w:val="center"/>
          </w:tcPr>
          <w:p>
            <w:pPr>
              <w:jc w:val="right"/>
              <w:rPr>
                <w:b/>
                <w:bCs/>
                <w:sz w:val="22"/>
                <w:szCs w:val="22"/>
              </w:rPr>
            </w:pPr>
          </w:p>
        </w:tc>
        <w:tc>
          <w:tcPr>
            <w:tcW w:w="4094" w:type="dxa"/>
            <w:vAlign w:val="center"/>
          </w:tcPr>
          <w:p>
            <w:pPr>
              <w:rPr>
                <w:b/>
                <w:bCs/>
                <w:sz w:val="22"/>
                <w:szCs w:val="22"/>
              </w:rPr>
            </w:pP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36</w:t>
            </w:r>
          </w:p>
        </w:tc>
        <w:tc>
          <w:tcPr>
            <w:tcW w:w="2117" w:type="dxa"/>
            <w:vAlign w:val="center"/>
          </w:tcPr>
          <w:p>
            <w:pPr>
              <w:textAlignment w:val="center"/>
              <w:rPr>
                <w:b/>
                <w:bCs/>
                <w:sz w:val="32"/>
                <w:szCs w:val="32"/>
              </w:rPr>
            </w:pPr>
            <w:r>
              <w:rPr>
                <w:rFonts w:hint="eastAsia" w:ascii="宋体" w:hAnsi="宋体" w:eastAsia="宋体" w:cs="宋体"/>
                <w:b/>
                <w:bCs/>
                <w:color w:val="000000"/>
                <w:sz w:val="21"/>
                <w:szCs w:val="21"/>
                <w:lang w:eastAsia="zh-CN"/>
              </w:rPr>
              <w:t>三、国有资本经营预算拨款</w:t>
            </w:r>
          </w:p>
        </w:tc>
        <w:tc>
          <w:tcPr>
            <w:tcW w:w="1056" w:type="dxa"/>
            <w:vAlign w:val="center"/>
          </w:tcPr>
          <w:p>
            <w:pPr>
              <w:jc w:val="right"/>
              <w:rPr>
                <w:b/>
                <w:bCs/>
                <w:sz w:val="22"/>
                <w:szCs w:val="22"/>
              </w:rPr>
            </w:pPr>
          </w:p>
        </w:tc>
        <w:tc>
          <w:tcPr>
            <w:tcW w:w="4094" w:type="dxa"/>
            <w:vAlign w:val="center"/>
          </w:tcPr>
          <w:p>
            <w:pPr>
              <w:rPr>
                <w:b/>
                <w:bCs/>
                <w:sz w:val="22"/>
                <w:szCs w:val="22"/>
              </w:rPr>
            </w:pPr>
          </w:p>
        </w:tc>
        <w:tc>
          <w:tcPr>
            <w:tcW w:w="1054" w:type="dxa"/>
            <w:vAlign w:val="center"/>
          </w:tcPr>
          <w:p>
            <w:pPr>
              <w:jc w:val="right"/>
              <w:rPr>
                <w:b/>
                <w:bCs/>
                <w:sz w:val="22"/>
                <w:szCs w:val="22"/>
              </w:rPr>
            </w:pPr>
          </w:p>
        </w:tc>
        <w:tc>
          <w:tcPr>
            <w:tcW w:w="1943" w:type="dxa"/>
            <w:vAlign w:val="center"/>
          </w:tcPr>
          <w:p>
            <w:pPr>
              <w:jc w:val="right"/>
              <w:rPr>
                <w:b/>
                <w:bCs/>
                <w:sz w:val="22"/>
                <w:szCs w:val="22"/>
              </w:rPr>
            </w:pPr>
          </w:p>
        </w:tc>
        <w:tc>
          <w:tcPr>
            <w:tcW w:w="696" w:type="pct"/>
            <w:vAlign w:val="center"/>
          </w:tcPr>
          <w:p>
            <w:pPr>
              <w:pStyle w:val="15"/>
            </w:pPr>
          </w:p>
        </w:tc>
        <w:tc>
          <w:tcPr>
            <w:tcW w:w="6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7"/>
            </w:pPr>
            <w:r>
              <w:t>37</w:t>
            </w:r>
          </w:p>
        </w:tc>
        <w:tc>
          <w:tcPr>
            <w:tcW w:w="2117" w:type="dxa"/>
            <w:vAlign w:val="center"/>
          </w:tcPr>
          <w:p>
            <w:pPr>
              <w:textAlignment w:val="center"/>
              <w:rPr>
                <w:b/>
                <w:bCs/>
                <w:sz w:val="32"/>
                <w:szCs w:val="32"/>
              </w:rPr>
            </w:pPr>
            <w:r>
              <w:rPr>
                <w:rFonts w:hint="eastAsia" w:ascii="宋体" w:hAnsi="宋体" w:eastAsia="宋体" w:cs="宋体"/>
                <w:b/>
                <w:bCs/>
                <w:color w:val="000000"/>
                <w:sz w:val="21"/>
                <w:szCs w:val="21"/>
                <w:lang w:eastAsia="zh-CN"/>
              </w:rPr>
              <w:t>收入总计</w:t>
            </w:r>
          </w:p>
        </w:tc>
        <w:tc>
          <w:tcPr>
            <w:tcW w:w="1056"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3251.60</w:t>
            </w:r>
          </w:p>
        </w:tc>
        <w:tc>
          <w:tcPr>
            <w:tcW w:w="4094" w:type="dxa"/>
            <w:vAlign w:val="center"/>
          </w:tcPr>
          <w:p>
            <w:pPr>
              <w:textAlignment w:val="center"/>
              <w:rPr>
                <w:b/>
                <w:bCs/>
                <w:sz w:val="32"/>
                <w:szCs w:val="32"/>
              </w:rPr>
            </w:pPr>
            <w:r>
              <w:rPr>
                <w:rFonts w:hint="eastAsia" w:ascii="宋体" w:hAnsi="宋体" w:eastAsia="宋体" w:cs="宋体"/>
                <w:b/>
                <w:bCs/>
                <w:color w:val="000000"/>
                <w:sz w:val="21"/>
                <w:szCs w:val="21"/>
                <w:lang w:eastAsia="zh-CN"/>
              </w:rPr>
              <w:t>支出总计</w:t>
            </w:r>
          </w:p>
        </w:tc>
        <w:tc>
          <w:tcPr>
            <w:tcW w:w="1054"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3251.60</w:t>
            </w:r>
          </w:p>
        </w:tc>
        <w:tc>
          <w:tcPr>
            <w:tcW w:w="1943"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3251.60</w:t>
            </w:r>
          </w:p>
        </w:tc>
        <w:tc>
          <w:tcPr>
            <w:tcW w:w="696" w:type="pct"/>
            <w:vAlign w:val="center"/>
          </w:tcPr>
          <w:p>
            <w:pPr>
              <w:pStyle w:val="19"/>
            </w:pPr>
          </w:p>
        </w:tc>
        <w:tc>
          <w:tcPr>
            <w:tcW w:w="689" w:type="pct"/>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13"/>
            </w:pPr>
            <w:r>
              <w:t>303宁晋县发展和改革局</w:t>
            </w:r>
          </w:p>
        </w:tc>
        <w:tc>
          <w:tcPr>
            <w:tcW w:w="1054" w:type="pct"/>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1125"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4"/>
            </w:pPr>
            <w:r>
              <w:t>序号</w:t>
            </w:r>
          </w:p>
        </w:tc>
        <w:tc>
          <w:tcPr>
            <w:tcW w:w="2481" w:type="pct"/>
            <w:gridSpan w:val="2"/>
            <w:vAlign w:val="center"/>
          </w:tcPr>
          <w:p>
            <w:pPr>
              <w:pStyle w:val="14"/>
            </w:pPr>
            <w:r>
              <w:t>功能分类科目</w:t>
            </w:r>
          </w:p>
        </w:tc>
        <w:tc>
          <w:tcPr>
            <w:tcW w:w="1054" w:type="pct"/>
            <w:vMerge w:val="restart"/>
            <w:vAlign w:val="center"/>
          </w:tcPr>
          <w:p>
            <w:pPr>
              <w:pStyle w:val="14"/>
            </w:pPr>
            <w:r>
              <w:t>合计</w:t>
            </w:r>
          </w:p>
        </w:tc>
        <w:tc>
          <w:tcPr>
            <w:tcW w:w="562" w:type="pct"/>
            <w:vMerge w:val="restart"/>
            <w:vAlign w:val="center"/>
          </w:tcPr>
          <w:p>
            <w:pPr>
              <w:pStyle w:val="14"/>
            </w:pPr>
            <w:r>
              <w:t>基本支出</w:t>
            </w:r>
          </w:p>
        </w:tc>
        <w:tc>
          <w:tcPr>
            <w:tcW w:w="562"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4"/>
            </w:pPr>
            <w:r>
              <w:t>科目编码</w:t>
            </w:r>
          </w:p>
        </w:tc>
        <w:tc>
          <w:tcPr>
            <w:tcW w:w="1906" w:type="pct"/>
            <w:vAlign w:val="center"/>
          </w:tcPr>
          <w:p>
            <w:pPr>
              <w:pStyle w:val="14"/>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4"/>
            </w:pPr>
            <w:r>
              <w:t>栏次</w:t>
            </w:r>
          </w:p>
        </w:tc>
        <w:tc>
          <w:tcPr>
            <w:tcW w:w="574" w:type="pct"/>
            <w:vAlign w:val="center"/>
          </w:tcPr>
          <w:p>
            <w:pPr>
              <w:pStyle w:val="14"/>
            </w:pPr>
            <w:r>
              <w:t>1</w:t>
            </w:r>
          </w:p>
        </w:tc>
        <w:tc>
          <w:tcPr>
            <w:tcW w:w="1906" w:type="pct"/>
            <w:vAlign w:val="center"/>
          </w:tcPr>
          <w:p>
            <w:pPr>
              <w:pStyle w:val="14"/>
            </w:pPr>
            <w:r>
              <w:t>2</w:t>
            </w:r>
          </w:p>
        </w:tc>
        <w:tc>
          <w:tcPr>
            <w:tcW w:w="1054" w:type="pct"/>
            <w:vAlign w:val="center"/>
          </w:tcPr>
          <w:p>
            <w:pPr>
              <w:pStyle w:val="14"/>
            </w:pPr>
            <w:r>
              <w:t>3</w:t>
            </w:r>
          </w:p>
        </w:tc>
        <w:tc>
          <w:tcPr>
            <w:tcW w:w="562" w:type="pct"/>
            <w:vAlign w:val="center"/>
          </w:tcPr>
          <w:p>
            <w:pPr>
              <w:pStyle w:val="14"/>
            </w:pPr>
            <w:r>
              <w:t>4</w:t>
            </w:r>
          </w:p>
        </w:tc>
        <w:tc>
          <w:tcPr>
            <w:tcW w:w="562"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w:t>
            </w:r>
          </w:p>
        </w:tc>
        <w:tc>
          <w:tcPr>
            <w:tcW w:w="1724" w:type="dxa"/>
            <w:vAlign w:val="center"/>
          </w:tcPr>
          <w:p>
            <w:pPr>
              <w:rPr>
                <w:b/>
                <w:bCs/>
                <w:sz w:val="32"/>
                <w:szCs w:val="32"/>
              </w:rPr>
            </w:pP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合计</w:t>
            </w:r>
          </w:p>
        </w:tc>
        <w:tc>
          <w:tcPr>
            <w:tcW w:w="3166" w:type="dxa"/>
            <w:vAlign w:val="center"/>
          </w:tcPr>
          <w:p>
            <w:pPr>
              <w:jc w:val="right"/>
              <w:textAlignment w:val="center"/>
              <w:rPr>
                <w:rFonts w:ascii="方正书宋_GBK" w:hAnsi="方正书宋_GBK" w:eastAsia="方正书宋_GBK" w:cs="方正书宋_GBK"/>
                <w:b/>
                <w:bCs/>
                <w:sz w:val="36"/>
                <w:szCs w:val="44"/>
              </w:rPr>
            </w:pPr>
            <w:r>
              <w:rPr>
                <w:rFonts w:hint="eastAsia" w:ascii="宋体" w:hAnsi="宋体" w:eastAsia="宋体" w:cs="宋体"/>
                <w:b/>
                <w:bCs/>
                <w:color w:val="000000"/>
                <w:sz w:val="21"/>
                <w:szCs w:val="21"/>
                <w:lang w:eastAsia="zh-CN"/>
              </w:rPr>
              <w:t>3251.60</w:t>
            </w:r>
          </w:p>
        </w:tc>
        <w:tc>
          <w:tcPr>
            <w:tcW w:w="1688" w:type="dxa"/>
            <w:vAlign w:val="center"/>
          </w:tcPr>
          <w:p>
            <w:pPr>
              <w:jc w:val="right"/>
              <w:textAlignment w:val="center"/>
              <w:rPr>
                <w:rFonts w:ascii="方正书宋_GBK" w:hAnsi="方正书宋_GBK" w:eastAsia="方正书宋_GBK" w:cs="方正书宋_GBK"/>
                <w:b/>
                <w:bCs/>
                <w:sz w:val="36"/>
                <w:szCs w:val="44"/>
              </w:rPr>
            </w:pPr>
            <w:r>
              <w:rPr>
                <w:rFonts w:hint="eastAsia" w:ascii="宋体" w:hAnsi="宋体" w:eastAsia="宋体" w:cs="宋体"/>
                <w:b/>
                <w:bCs/>
                <w:color w:val="000000"/>
                <w:sz w:val="21"/>
                <w:szCs w:val="21"/>
                <w:lang w:eastAsia="zh-CN"/>
              </w:rPr>
              <w:t>732.57</w:t>
            </w:r>
          </w:p>
        </w:tc>
        <w:tc>
          <w:tcPr>
            <w:tcW w:w="1692"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657.43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201</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一般公共服务支出</w:t>
            </w:r>
          </w:p>
        </w:tc>
        <w:tc>
          <w:tcPr>
            <w:tcW w:w="3166" w:type="dxa"/>
            <w:vAlign w:val="center"/>
          </w:tcPr>
          <w:p>
            <w:pPr>
              <w:jc w:val="right"/>
              <w:textAlignment w:val="center"/>
              <w:rPr>
                <w:rFonts w:ascii="方正书宋_GBK" w:hAnsi="方正书宋_GBK" w:eastAsia="方正书宋_GBK" w:cs="方正书宋_GBK"/>
                <w:b/>
                <w:bCs/>
                <w:sz w:val="36"/>
                <w:szCs w:val="44"/>
              </w:rPr>
            </w:pPr>
            <w:r>
              <w:rPr>
                <w:rFonts w:hint="eastAsia" w:ascii="宋体" w:hAnsi="宋体" w:eastAsia="宋体" w:cs="宋体"/>
                <w:b/>
                <w:bCs/>
                <w:color w:val="000000"/>
                <w:sz w:val="21"/>
                <w:szCs w:val="21"/>
                <w:lang w:eastAsia="zh-CN"/>
              </w:rPr>
              <w:t>1006.48</w:t>
            </w:r>
          </w:p>
        </w:tc>
        <w:tc>
          <w:tcPr>
            <w:tcW w:w="1688" w:type="dxa"/>
            <w:vAlign w:val="center"/>
          </w:tcPr>
          <w:p>
            <w:pPr>
              <w:jc w:val="right"/>
              <w:textAlignment w:val="center"/>
              <w:rPr>
                <w:rFonts w:ascii="方正书宋_GBK" w:hAnsi="方正书宋_GBK" w:eastAsia="方正书宋_GBK" w:cs="方正书宋_GBK"/>
                <w:b/>
                <w:bCs/>
                <w:sz w:val="36"/>
                <w:szCs w:val="44"/>
              </w:rPr>
            </w:pPr>
            <w:r>
              <w:rPr>
                <w:rFonts w:hint="eastAsia" w:ascii="宋体" w:hAnsi="宋体" w:eastAsia="宋体" w:cs="宋体"/>
                <w:b/>
                <w:bCs/>
                <w:color w:val="000000"/>
                <w:sz w:val="21"/>
                <w:szCs w:val="21"/>
                <w:lang w:eastAsia="zh-CN"/>
              </w:rPr>
              <w:t>493.95</w:t>
            </w:r>
          </w:p>
        </w:tc>
        <w:tc>
          <w:tcPr>
            <w:tcW w:w="169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424.87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3</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20104</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发展与改革事务</w:t>
            </w:r>
          </w:p>
        </w:tc>
        <w:tc>
          <w:tcPr>
            <w:tcW w:w="3166" w:type="dxa"/>
            <w:vAlign w:val="center"/>
          </w:tcPr>
          <w:p>
            <w:pPr>
              <w:jc w:val="right"/>
              <w:textAlignment w:val="center"/>
              <w:rPr>
                <w:rFonts w:ascii="方正书宋_GBK" w:hAnsi="方正书宋_GBK" w:eastAsia="方正书宋_GBK" w:cs="方正书宋_GBK"/>
                <w:b/>
                <w:bCs/>
                <w:sz w:val="36"/>
                <w:szCs w:val="44"/>
              </w:rPr>
            </w:pPr>
            <w:r>
              <w:rPr>
                <w:rFonts w:hint="eastAsia" w:ascii="宋体" w:hAnsi="宋体" w:eastAsia="宋体" w:cs="宋体"/>
                <w:b/>
                <w:bCs/>
                <w:color w:val="000000"/>
                <w:sz w:val="21"/>
                <w:szCs w:val="21"/>
                <w:lang w:eastAsia="zh-CN"/>
              </w:rPr>
              <w:t>1006.48</w:t>
            </w:r>
          </w:p>
        </w:tc>
        <w:tc>
          <w:tcPr>
            <w:tcW w:w="1688" w:type="dxa"/>
            <w:vAlign w:val="center"/>
          </w:tcPr>
          <w:p>
            <w:pPr>
              <w:jc w:val="right"/>
              <w:textAlignment w:val="center"/>
              <w:rPr>
                <w:rFonts w:ascii="方正书宋_GBK" w:hAnsi="方正书宋_GBK" w:eastAsia="方正书宋_GBK" w:cs="方正书宋_GBK"/>
                <w:b/>
                <w:bCs/>
                <w:sz w:val="36"/>
                <w:szCs w:val="44"/>
              </w:rPr>
            </w:pPr>
            <w:r>
              <w:rPr>
                <w:rFonts w:hint="eastAsia" w:ascii="宋体" w:hAnsi="宋体" w:eastAsia="宋体" w:cs="宋体"/>
                <w:b/>
                <w:bCs/>
                <w:color w:val="000000"/>
                <w:sz w:val="21"/>
                <w:szCs w:val="21"/>
                <w:lang w:eastAsia="zh-CN"/>
              </w:rPr>
              <w:t>493.95</w:t>
            </w:r>
          </w:p>
        </w:tc>
        <w:tc>
          <w:tcPr>
            <w:tcW w:w="169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424.87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4</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2010401</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行政运行</w:t>
            </w:r>
          </w:p>
        </w:tc>
        <w:tc>
          <w:tcPr>
            <w:tcW w:w="3166" w:type="dxa"/>
            <w:vAlign w:val="center"/>
          </w:tcPr>
          <w:p>
            <w:pPr>
              <w:jc w:val="right"/>
              <w:textAlignment w:val="center"/>
              <w:rPr>
                <w:rFonts w:ascii="方正书宋_GBK" w:hAnsi="方正书宋_GBK" w:eastAsia="方正书宋_GBK" w:cs="方正书宋_GBK"/>
                <w:b/>
                <w:bCs/>
                <w:sz w:val="36"/>
                <w:szCs w:val="44"/>
              </w:rPr>
            </w:pPr>
            <w:r>
              <w:rPr>
                <w:rFonts w:hint="eastAsia" w:ascii="宋体" w:hAnsi="宋体" w:eastAsia="宋体" w:cs="宋体"/>
                <w:b/>
                <w:bCs/>
                <w:color w:val="000000"/>
                <w:sz w:val="21"/>
                <w:szCs w:val="21"/>
                <w:lang w:eastAsia="zh-CN"/>
              </w:rPr>
              <w:t>83.27</w:t>
            </w:r>
          </w:p>
        </w:tc>
        <w:tc>
          <w:tcPr>
            <w:tcW w:w="1688" w:type="dxa"/>
            <w:vAlign w:val="center"/>
          </w:tcPr>
          <w:p>
            <w:pPr>
              <w:jc w:val="right"/>
              <w:rPr>
                <w:rFonts w:ascii="方正书宋_GBK" w:hAnsi="方正书宋_GBK" w:eastAsia="方正书宋_GBK" w:cs="方正书宋_GBK"/>
                <w:b/>
                <w:bCs/>
                <w:sz w:val="36"/>
                <w:szCs w:val="44"/>
              </w:rPr>
            </w:pPr>
          </w:p>
        </w:tc>
        <w:tc>
          <w:tcPr>
            <w:tcW w:w="1692" w:type="dxa"/>
            <w:vAlign w:val="center"/>
          </w:tcPr>
          <w:p>
            <w:pPr>
              <w:jc w:val="right"/>
              <w:rPr>
                <w:b/>
                <w:bCs/>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5</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2010402</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一般行政管理事务</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267.26</w:t>
            </w:r>
          </w:p>
        </w:tc>
        <w:tc>
          <w:tcPr>
            <w:tcW w:w="1688" w:type="dxa"/>
            <w:vAlign w:val="center"/>
          </w:tcPr>
          <w:p>
            <w:pPr>
              <w:jc w:val="right"/>
              <w:rPr>
                <w:b/>
                <w:bCs/>
                <w:sz w:val="44"/>
                <w:szCs w:val="44"/>
              </w:rPr>
            </w:pPr>
          </w:p>
        </w:tc>
        <w:tc>
          <w:tcPr>
            <w:tcW w:w="1692" w:type="dxa"/>
            <w:vAlign w:val="center"/>
          </w:tcPr>
          <w:p>
            <w:pPr>
              <w:jc w:val="right"/>
              <w:rPr>
                <w:b/>
                <w:bCs/>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6</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2010403</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机关服务</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22.00</w:t>
            </w:r>
          </w:p>
        </w:tc>
        <w:tc>
          <w:tcPr>
            <w:tcW w:w="1688" w:type="dxa"/>
            <w:vAlign w:val="center"/>
          </w:tcPr>
          <w:p>
            <w:pPr>
              <w:jc w:val="right"/>
              <w:rPr>
                <w:b/>
                <w:bCs/>
                <w:sz w:val="44"/>
                <w:szCs w:val="44"/>
              </w:rPr>
            </w:pPr>
          </w:p>
        </w:tc>
        <w:tc>
          <w:tcPr>
            <w:tcW w:w="1692" w:type="dxa"/>
            <w:vAlign w:val="center"/>
          </w:tcPr>
          <w:p>
            <w:pPr>
              <w:jc w:val="right"/>
              <w:rPr>
                <w:b/>
                <w:bCs/>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7</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2010406</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社会事业发展规划</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136.00</w:t>
            </w:r>
          </w:p>
        </w:tc>
        <w:tc>
          <w:tcPr>
            <w:tcW w:w="1688" w:type="dxa"/>
            <w:vAlign w:val="center"/>
          </w:tcPr>
          <w:p>
            <w:pPr>
              <w:jc w:val="right"/>
              <w:rPr>
                <w:b/>
                <w:bCs/>
                <w:sz w:val="44"/>
                <w:szCs w:val="44"/>
              </w:rPr>
            </w:pPr>
          </w:p>
        </w:tc>
        <w:tc>
          <w:tcPr>
            <w:tcW w:w="1692" w:type="dxa"/>
            <w:vAlign w:val="center"/>
          </w:tcPr>
          <w:p>
            <w:pPr>
              <w:jc w:val="right"/>
              <w:rPr>
                <w:b/>
                <w:bCs/>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8</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2010408</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物价管理</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4.00</w:t>
            </w:r>
          </w:p>
        </w:tc>
        <w:tc>
          <w:tcPr>
            <w:tcW w:w="1688" w:type="dxa"/>
            <w:vAlign w:val="center"/>
          </w:tcPr>
          <w:p>
            <w:pPr>
              <w:jc w:val="right"/>
              <w:rPr>
                <w:b/>
                <w:bCs/>
                <w:sz w:val="32"/>
                <w:szCs w:val="32"/>
              </w:rPr>
            </w:pPr>
          </w:p>
        </w:tc>
        <w:tc>
          <w:tcPr>
            <w:tcW w:w="1692" w:type="dxa"/>
            <w:vAlign w:val="center"/>
          </w:tcPr>
          <w:p>
            <w:pPr>
              <w:jc w:val="right"/>
              <w:rPr>
                <w:b/>
                <w:bCs/>
                <w:sz w:val="44"/>
                <w:szCs w:val="4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9</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2010450</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事业运行</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493.95</w:t>
            </w:r>
          </w:p>
        </w:tc>
        <w:tc>
          <w:tcPr>
            <w:tcW w:w="1688"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493.95</w:t>
            </w:r>
          </w:p>
        </w:tc>
        <w:tc>
          <w:tcPr>
            <w:tcW w:w="1692"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424.87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10</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208</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社会保障和就业支出</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163.29</w:t>
            </w:r>
          </w:p>
        </w:tc>
        <w:tc>
          <w:tcPr>
            <w:tcW w:w="1688"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163.29</w:t>
            </w:r>
          </w:p>
        </w:tc>
        <w:tc>
          <w:tcPr>
            <w:tcW w:w="1692"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157.23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11</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20805</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行政事业单位养老支出</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150.33</w:t>
            </w:r>
          </w:p>
        </w:tc>
        <w:tc>
          <w:tcPr>
            <w:tcW w:w="1688"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150.33</w:t>
            </w:r>
          </w:p>
        </w:tc>
        <w:tc>
          <w:tcPr>
            <w:tcW w:w="1692"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144.27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12</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2080501</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行政单位离退休</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87.56</w:t>
            </w:r>
          </w:p>
        </w:tc>
        <w:tc>
          <w:tcPr>
            <w:tcW w:w="1688"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87.56</w:t>
            </w:r>
          </w:p>
        </w:tc>
        <w:tc>
          <w:tcPr>
            <w:tcW w:w="1692"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13</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2080505</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机关事业单位基本养老保险缴费支出</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62.77</w:t>
            </w:r>
          </w:p>
        </w:tc>
        <w:tc>
          <w:tcPr>
            <w:tcW w:w="1688"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62.77</w:t>
            </w:r>
          </w:p>
        </w:tc>
        <w:tc>
          <w:tcPr>
            <w:tcW w:w="1692"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62.77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14</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20808</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抚恤</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11.00</w:t>
            </w:r>
          </w:p>
        </w:tc>
        <w:tc>
          <w:tcPr>
            <w:tcW w:w="1688"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1692"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15</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2080801</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死亡抚恤</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11.00</w:t>
            </w:r>
          </w:p>
        </w:tc>
        <w:tc>
          <w:tcPr>
            <w:tcW w:w="1688"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1692"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16</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20827</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财政对其他社会保险基金的补助</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1.96</w:t>
            </w:r>
          </w:p>
        </w:tc>
        <w:tc>
          <w:tcPr>
            <w:tcW w:w="1688"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1692"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17</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2082702</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财政对工伤保险基金的补助</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1.96</w:t>
            </w:r>
          </w:p>
        </w:tc>
        <w:tc>
          <w:tcPr>
            <w:tcW w:w="1688"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1692"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18</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210</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卫生健康支出</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28.25</w:t>
            </w:r>
          </w:p>
        </w:tc>
        <w:tc>
          <w:tcPr>
            <w:tcW w:w="1688"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692"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19</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21012</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财政对基本医疗保险基金的补助</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28.25</w:t>
            </w:r>
          </w:p>
        </w:tc>
        <w:tc>
          <w:tcPr>
            <w:tcW w:w="1688"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692"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20</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2101201</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财政对职工基本医疗保险基金的补助</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28.25</w:t>
            </w:r>
          </w:p>
        </w:tc>
        <w:tc>
          <w:tcPr>
            <w:tcW w:w="1688"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1692"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21</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211</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节能环保支出</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1100.00</w:t>
            </w:r>
          </w:p>
        </w:tc>
        <w:tc>
          <w:tcPr>
            <w:tcW w:w="1688" w:type="dxa"/>
            <w:vAlign w:val="center"/>
          </w:tcPr>
          <w:p>
            <w:pPr>
              <w:jc w:val="right"/>
              <w:rPr>
                <w:b/>
                <w:bCs/>
                <w:sz w:val="32"/>
                <w:szCs w:val="32"/>
              </w:rPr>
            </w:pPr>
          </w:p>
        </w:tc>
        <w:tc>
          <w:tcPr>
            <w:tcW w:w="1692" w:type="dxa"/>
            <w:vAlign w:val="center"/>
          </w:tcPr>
          <w:p>
            <w:pPr>
              <w:jc w:val="right"/>
              <w:rPr>
                <w:b/>
                <w:bCs/>
                <w:sz w:val="44"/>
                <w:szCs w:val="4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22</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21110</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能源节约利用</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1100.00</w:t>
            </w:r>
          </w:p>
        </w:tc>
        <w:tc>
          <w:tcPr>
            <w:tcW w:w="1688" w:type="dxa"/>
            <w:vAlign w:val="center"/>
          </w:tcPr>
          <w:p>
            <w:pPr>
              <w:jc w:val="right"/>
              <w:rPr>
                <w:b/>
                <w:bCs/>
                <w:sz w:val="32"/>
                <w:szCs w:val="32"/>
              </w:rPr>
            </w:pPr>
          </w:p>
        </w:tc>
        <w:tc>
          <w:tcPr>
            <w:tcW w:w="1692" w:type="dxa"/>
            <w:vAlign w:val="center"/>
          </w:tcPr>
          <w:p>
            <w:pPr>
              <w:jc w:val="right"/>
              <w:rPr>
                <w:b/>
                <w:bCs/>
                <w:sz w:val="44"/>
                <w:szCs w:val="4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23</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2111001</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能源节约利用</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1100.00</w:t>
            </w:r>
          </w:p>
        </w:tc>
        <w:tc>
          <w:tcPr>
            <w:tcW w:w="1688" w:type="dxa"/>
            <w:vAlign w:val="center"/>
          </w:tcPr>
          <w:p>
            <w:pPr>
              <w:jc w:val="right"/>
              <w:rPr>
                <w:b/>
                <w:bCs/>
                <w:sz w:val="44"/>
                <w:szCs w:val="44"/>
              </w:rPr>
            </w:pPr>
          </w:p>
        </w:tc>
        <w:tc>
          <w:tcPr>
            <w:tcW w:w="1692" w:type="dxa"/>
            <w:vAlign w:val="center"/>
          </w:tcPr>
          <w:p>
            <w:pPr>
              <w:jc w:val="right"/>
              <w:rPr>
                <w:b/>
                <w:bCs/>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24</w:t>
            </w:r>
          </w:p>
        </w:tc>
        <w:tc>
          <w:tcPr>
            <w:tcW w:w="1724" w:type="dxa"/>
            <w:vAlign w:val="center"/>
          </w:tcPr>
          <w:p>
            <w:pPr>
              <w:textAlignment w:val="center"/>
              <w:rPr>
                <w:b/>
                <w:bCs/>
                <w:sz w:val="44"/>
                <w:szCs w:val="44"/>
              </w:rPr>
            </w:pPr>
            <w:r>
              <w:rPr>
                <w:rFonts w:hint="eastAsia" w:ascii="宋体" w:hAnsi="宋体" w:eastAsia="宋体" w:cs="宋体"/>
                <w:b/>
                <w:bCs/>
                <w:color w:val="000000"/>
                <w:sz w:val="21"/>
                <w:szCs w:val="21"/>
                <w:lang w:eastAsia="zh-CN"/>
              </w:rPr>
              <w:t>221</w:t>
            </w:r>
          </w:p>
        </w:tc>
        <w:tc>
          <w:tcPr>
            <w:tcW w:w="5728" w:type="dxa"/>
            <w:vAlign w:val="center"/>
          </w:tcPr>
          <w:p>
            <w:pPr>
              <w:textAlignment w:val="center"/>
              <w:rPr>
                <w:b/>
                <w:bCs/>
                <w:sz w:val="44"/>
                <w:szCs w:val="44"/>
              </w:rPr>
            </w:pPr>
            <w:r>
              <w:rPr>
                <w:rFonts w:hint="eastAsia" w:ascii="宋体" w:hAnsi="宋体" w:eastAsia="宋体" w:cs="宋体"/>
                <w:b/>
                <w:bCs/>
                <w:color w:val="000000"/>
                <w:sz w:val="21"/>
                <w:szCs w:val="21"/>
                <w:lang w:eastAsia="zh-CN"/>
              </w:rPr>
              <w:t>住房保障支出</w:t>
            </w:r>
          </w:p>
        </w:tc>
        <w:tc>
          <w:tcPr>
            <w:tcW w:w="3166"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47.08</w:t>
            </w:r>
          </w:p>
        </w:tc>
        <w:tc>
          <w:tcPr>
            <w:tcW w:w="1688" w:type="dxa"/>
            <w:vAlign w:val="center"/>
          </w:tcPr>
          <w:p>
            <w:pPr>
              <w:jc w:val="right"/>
              <w:textAlignment w:val="center"/>
              <w:rPr>
                <w:b/>
                <w:bCs/>
                <w:sz w:val="44"/>
                <w:szCs w:val="44"/>
              </w:rPr>
            </w:pPr>
            <w:r>
              <w:rPr>
                <w:rFonts w:hint="eastAsia" w:ascii="宋体" w:hAnsi="宋体" w:eastAsia="宋体" w:cs="宋体"/>
                <w:b/>
                <w:bCs/>
                <w:color w:val="000000"/>
                <w:sz w:val="21"/>
                <w:szCs w:val="21"/>
                <w:lang w:eastAsia="zh-CN"/>
              </w:rPr>
              <w:t>47.08</w:t>
            </w:r>
          </w:p>
        </w:tc>
        <w:tc>
          <w:tcPr>
            <w:tcW w:w="1692" w:type="dxa"/>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47.08</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13"/>
            </w:pPr>
            <w:r>
              <w:t>303宁晋县发展和改革局</w:t>
            </w:r>
          </w:p>
        </w:tc>
        <w:tc>
          <w:tcPr>
            <w:tcW w:w="1106" w:type="pct"/>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1181"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4"/>
            </w:pPr>
            <w:r>
              <w:t>序号</w:t>
            </w:r>
          </w:p>
        </w:tc>
        <w:tc>
          <w:tcPr>
            <w:tcW w:w="2356" w:type="pct"/>
            <w:gridSpan w:val="2"/>
            <w:vAlign w:val="center"/>
          </w:tcPr>
          <w:p>
            <w:pPr>
              <w:pStyle w:val="14"/>
            </w:pPr>
            <w:r>
              <w:t>支出部门经济分类科目</w:t>
            </w:r>
          </w:p>
        </w:tc>
        <w:tc>
          <w:tcPr>
            <w:tcW w:w="2288"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4"/>
            </w:pPr>
            <w:r>
              <w:t>科目编码</w:t>
            </w:r>
          </w:p>
        </w:tc>
        <w:tc>
          <w:tcPr>
            <w:tcW w:w="1765" w:type="pct"/>
            <w:vAlign w:val="center"/>
          </w:tcPr>
          <w:p>
            <w:pPr>
              <w:pStyle w:val="14"/>
            </w:pPr>
            <w:r>
              <w:t>科目名称</w:t>
            </w:r>
          </w:p>
        </w:tc>
        <w:tc>
          <w:tcPr>
            <w:tcW w:w="1106" w:type="pct"/>
            <w:vAlign w:val="center"/>
          </w:tcPr>
          <w:p>
            <w:pPr>
              <w:pStyle w:val="14"/>
            </w:pPr>
            <w:r>
              <w:t>合计</w:t>
            </w:r>
          </w:p>
        </w:tc>
        <w:tc>
          <w:tcPr>
            <w:tcW w:w="590" w:type="pct"/>
            <w:vAlign w:val="center"/>
          </w:tcPr>
          <w:p>
            <w:pPr>
              <w:pStyle w:val="14"/>
            </w:pPr>
            <w:r>
              <w:t>人员经费</w:t>
            </w:r>
          </w:p>
        </w:tc>
        <w:tc>
          <w:tcPr>
            <w:tcW w:w="590"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tblHeader/>
          <w:jc w:val="center"/>
        </w:trPr>
        <w:tc>
          <w:tcPr>
            <w:tcW w:w="355" w:type="pct"/>
            <w:vAlign w:val="center"/>
          </w:tcPr>
          <w:p>
            <w:pPr>
              <w:pStyle w:val="14"/>
            </w:pPr>
            <w:r>
              <w:t>栏次</w:t>
            </w:r>
          </w:p>
        </w:tc>
        <w:tc>
          <w:tcPr>
            <w:tcW w:w="590" w:type="pct"/>
            <w:vAlign w:val="center"/>
          </w:tcPr>
          <w:p>
            <w:pPr>
              <w:pStyle w:val="14"/>
            </w:pPr>
            <w:r>
              <w:t>1</w:t>
            </w:r>
          </w:p>
        </w:tc>
        <w:tc>
          <w:tcPr>
            <w:tcW w:w="1765" w:type="pct"/>
            <w:vAlign w:val="center"/>
          </w:tcPr>
          <w:p>
            <w:pPr>
              <w:pStyle w:val="14"/>
            </w:pPr>
            <w:r>
              <w:t>2</w:t>
            </w:r>
          </w:p>
        </w:tc>
        <w:tc>
          <w:tcPr>
            <w:tcW w:w="1106" w:type="pct"/>
            <w:vAlign w:val="center"/>
          </w:tcPr>
          <w:p>
            <w:pPr>
              <w:pStyle w:val="14"/>
            </w:pPr>
            <w:r>
              <w:t>3</w:t>
            </w:r>
          </w:p>
        </w:tc>
        <w:tc>
          <w:tcPr>
            <w:tcW w:w="590" w:type="pct"/>
            <w:vAlign w:val="center"/>
          </w:tcPr>
          <w:p>
            <w:pPr>
              <w:pStyle w:val="14"/>
            </w:pPr>
            <w:r>
              <w:t>4</w:t>
            </w:r>
          </w:p>
        </w:tc>
        <w:tc>
          <w:tcPr>
            <w:tcW w:w="590"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w:t>
            </w:r>
          </w:p>
        </w:tc>
        <w:tc>
          <w:tcPr>
            <w:tcW w:w="1772" w:type="dxa"/>
            <w:vAlign w:val="center"/>
          </w:tcPr>
          <w:p>
            <w:pPr>
              <w:rPr>
                <w:b/>
                <w:bCs/>
              </w:rPr>
            </w:pP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合计</w:t>
            </w:r>
          </w:p>
        </w:tc>
        <w:tc>
          <w:tcPr>
            <w:tcW w:w="3322" w:type="dxa"/>
            <w:vAlign w:val="center"/>
          </w:tcPr>
          <w:p>
            <w:pPr>
              <w:jc w:val="right"/>
              <w:textAlignment w:val="center"/>
              <w:rPr>
                <w:rFonts w:ascii="方正书宋_GBK" w:hAnsi="方正书宋_GBK" w:eastAsia="方正书宋_GBK" w:cs="方正书宋_GBK"/>
                <w:b/>
                <w:bCs/>
                <w:sz w:val="28"/>
                <w:szCs w:val="36"/>
              </w:rPr>
            </w:pPr>
            <w:r>
              <w:rPr>
                <w:rFonts w:hint="eastAsia" w:ascii="宋体" w:hAnsi="宋体" w:eastAsia="宋体" w:cs="宋体"/>
                <w:b/>
                <w:bCs/>
                <w:color w:val="000000"/>
                <w:sz w:val="22"/>
                <w:szCs w:val="22"/>
                <w:lang w:eastAsia="zh-CN"/>
              </w:rPr>
              <w:t>732.57</w:t>
            </w:r>
          </w:p>
        </w:tc>
        <w:tc>
          <w:tcPr>
            <w:tcW w:w="1772" w:type="dxa"/>
            <w:vAlign w:val="center"/>
          </w:tcPr>
          <w:p>
            <w:pPr>
              <w:jc w:val="right"/>
              <w:textAlignment w:val="center"/>
              <w:rPr>
                <w:rFonts w:ascii="方正书宋_GBK" w:hAnsi="方正书宋_GBK" w:eastAsia="方正书宋_GBK" w:cs="方正书宋_GBK"/>
                <w:b/>
                <w:bCs/>
                <w:sz w:val="28"/>
                <w:szCs w:val="36"/>
              </w:rPr>
            </w:pPr>
            <w:r>
              <w:rPr>
                <w:rFonts w:hint="eastAsia" w:ascii="宋体" w:hAnsi="宋体" w:eastAsia="宋体" w:cs="宋体"/>
                <w:b/>
                <w:bCs/>
                <w:color w:val="000000"/>
                <w:sz w:val="22"/>
                <w:szCs w:val="22"/>
                <w:lang w:eastAsia="zh-CN"/>
              </w:rPr>
              <w:t>657.43</w:t>
            </w: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75.14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工资福利支出</w:t>
            </w:r>
          </w:p>
        </w:tc>
        <w:tc>
          <w:tcPr>
            <w:tcW w:w="3322" w:type="dxa"/>
            <w:vAlign w:val="center"/>
          </w:tcPr>
          <w:p>
            <w:pPr>
              <w:jc w:val="right"/>
              <w:textAlignment w:val="center"/>
              <w:rPr>
                <w:rFonts w:ascii="方正书宋_GBK" w:hAnsi="方正书宋_GBK" w:eastAsia="方正书宋_GBK" w:cs="方正书宋_GBK"/>
                <w:b/>
                <w:bCs/>
                <w:sz w:val="28"/>
                <w:szCs w:val="36"/>
              </w:rPr>
            </w:pPr>
            <w:r>
              <w:rPr>
                <w:rFonts w:hint="eastAsia" w:ascii="宋体" w:hAnsi="宋体" w:eastAsia="宋体" w:cs="宋体"/>
                <w:b/>
                <w:bCs/>
                <w:color w:val="000000"/>
                <w:sz w:val="22"/>
                <w:szCs w:val="22"/>
                <w:lang w:eastAsia="zh-CN"/>
              </w:rPr>
              <w:t>564.93</w:t>
            </w:r>
          </w:p>
        </w:tc>
        <w:tc>
          <w:tcPr>
            <w:tcW w:w="1772" w:type="dxa"/>
            <w:vAlign w:val="center"/>
          </w:tcPr>
          <w:p>
            <w:pPr>
              <w:jc w:val="right"/>
              <w:textAlignment w:val="center"/>
              <w:rPr>
                <w:rFonts w:ascii="方正书宋_GBK" w:hAnsi="方正书宋_GBK" w:eastAsia="方正书宋_GBK" w:cs="方正书宋_GBK"/>
                <w:b/>
                <w:bCs/>
                <w:sz w:val="28"/>
                <w:szCs w:val="36"/>
              </w:rPr>
            </w:pPr>
            <w:r>
              <w:rPr>
                <w:rFonts w:hint="eastAsia" w:ascii="宋体" w:hAnsi="宋体" w:eastAsia="宋体" w:cs="宋体"/>
                <w:b/>
                <w:bCs/>
                <w:color w:val="000000"/>
                <w:sz w:val="22"/>
                <w:szCs w:val="22"/>
                <w:lang w:eastAsia="zh-CN"/>
              </w:rPr>
              <w:t>564.93</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3</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30101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基本工资</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424.87</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424.87</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4</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30108</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机关事业单位基本养老保险缴费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62.77</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62.77</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5</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30110</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城镇职工基本医疗保险缴费</w:t>
            </w:r>
          </w:p>
        </w:tc>
        <w:tc>
          <w:tcPr>
            <w:tcW w:w="3322" w:type="dxa"/>
            <w:vAlign w:val="center"/>
          </w:tcPr>
          <w:p>
            <w:pPr>
              <w:jc w:val="right"/>
              <w:textAlignment w:val="center"/>
              <w:rPr>
                <w:rFonts w:eastAsia="方正书宋_GBK"/>
                <w:b/>
                <w:bCs/>
                <w:sz w:val="36"/>
                <w:szCs w:val="36"/>
                <w:lang w:eastAsia="zh-CN"/>
              </w:rPr>
            </w:pPr>
            <w:r>
              <w:rPr>
                <w:rFonts w:hint="eastAsia" w:ascii="宋体" w:hAnsi="宋体" w:eastAsia="宋体" w:cs="宋体"/>
                <w:b/>
                <w:bCs/>
                <w:color w:val="000000"/>
                <w:sz w:val="22"/>
                <w:szCs w:val="22"/>
                <w:lang w:eastAsia="zh-CN"/>
              </w:rPr>
              <w:t>28.25</w:t>
            </w:r>
          </w:p>
        </w:tc>
        <w:tc>
          <w:tcPr>
            <w:tcW w:w="1772" w:type="dxa"/>
            <w:vAlign w:val="center"/>
          </w:tcPr>
          <w:p>
            <w:pPr>
              <w:jc w:val="right"/>
              <w:textAlignment w:val="center"/>
              <w:rPr>
                <w:rFonts w:eastAsia="方正书宋_GBK"/>
                <w:b/>
                <w:bCs/>
                <w:sz w:val="36"/>
                <w:szCs w:val="36"/>
                <w:lang w:eastAsia="zh-CN"/>
              </w:rPr>
            </w:pPr>
            <w:r>
              <w:rPr>
                <w:rFonts w:hint="eastAsia" w:ascii="宋体" w:hAnsi="宋体" w:eastAsia="宋体" w:cs="宋体"/>
                <w:b/>
                <w:bCs/>
                <w:color w:val="000000"/>
                <w:sz w:val="22"/>
                <w:szCs w:val="22"/>
                <w:lang w:eastAsia="zh-CN"/>
              </w:rPr>
              <w:t>28.25</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6</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30112</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其他社会保障缴费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7</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30113</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住房公积金</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47.08</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47.08</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8</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商品和服务支出</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75.14</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75.14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9</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30201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办公费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2.85</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10</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30205</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水费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0.29</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11</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30206</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电费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0.51</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12</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30207</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邮电费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15.25</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13</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30208</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取暖费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1.25</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14</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30211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差旅费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2.44</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15</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30213</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维修(护)费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0.34</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16</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30215</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会议费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1.60</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17</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30217</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公务接待费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0.28</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18</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30228</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工会经费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4.47</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19</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30229</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福利费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6.00</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20</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30231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公务用车运行维护费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3.50</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21</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30239</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其他交通费用</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30.30</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22</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30299</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其他商品和服务支出</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6.06</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23</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303</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对个人和家庭的补助</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92.50</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92.50</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24</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30302</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退休费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81.50</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81.50</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25</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30304</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抚恤金</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26</w:t>
            </w:r>
          </w:p>
        </w:tc>
        <w:tc>
          <w:tcPr>
            <w:tcW w:w="1772" w:type="dxa"/>
            <w:vAlign w:val="center"/>
          </w:tcPr>
          <w:p>
            <w:pPr>
              <w:rPr>
                <w:b/>
                <w:bCs/>
              </w:rPr>
            </w:pP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合计</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732.57</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657.43</w:t>
            </w: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75.14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27</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工资福利支出</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564.93</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564.93</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28</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30101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基本工资</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424.87</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424.87</w:t>
            </w:r>
          </w:p>
        </w:tc>
        <w:tc>
          <w:tcPr>
            <w:tcW w:w="1778" w:type="dxa"/>
            <w:vAlign w:val="center"/>
          </w:tcPr>
          <w:p>
            <w:pPr>
              <w:jc w:val="right"/>
              <w:rPr>
                <w:b/>
                <w:bCs/>
              </w:rPr>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27"/>
        <w:gridCol w:w="2370"/>
        <w:gridCol w:w="2376"/>
        <w:gridCol w:w="4277"/>
        <w:gridCol w:w="2280"/>
        <w:gridCol w:w="22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5" w:type="pct"/>
            <w:gridSpan w:val="3"/>
            <w:tcBorders>
              <w:top w:val="single" w:color="FFFFFF" w:sz="6" w:space="0"/>
              <w:left w:val="single" w:color="FFFFFF" w:sz="6" w:space="0"/>
              <w:right w:val="single" w:color="FFFFFF" w:sz="6" w:space="0"/>
            </w:tcBorders>
            <w:vAlign w:val="center"/>
          </w:tcPr>
          <w:p>
            <w:pPr>
              <w:pStyle w:val="13"/>
            </w:pPr>
            <w:r>
              <w:t>303宁晋县发展和改革局</w:t>
            </w:r>
          </w:p>
        </w:tc>
        <w:tc>
          <w:tcPr>
            <w:tcW w:w="1424" w:type="pct"/>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1519"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5" w:type="pct"/>
            <w:vMerge w:val="restart"/>
            <w:vAlign w:val="center"/>
          </w:tcPr>
          <w:p>
            <w:pPr>
              <w:pStyle w:val="14"/>
            </w:pPr>
            <w:r>
              <w:t>序号</w:t>
            </w:r>
          </w:p>
        </w:tc>
        <w:tc>
          <w:tcPr>
            <w:tcW w:w="1580" w:type="pct"/>
            <w:gridSpan w:val="2"/>
            <w:vAlign w:val="center"/>
          </w:tcPr>
          <w:p>
            <w:pPr>
              <w:pStyle w:val="14"/>
            </w:pPr>
            <w:r>
              <w:t>功能分类科目</w:t>
            </w:r>
          </w:p>
        </w:tc>
        <w:tc>
          <w:tcPr>
            <w:tcW w:w="1424" w:type="pct"/>
            <w:vMerge w:val="restart"/>
            <w:vAlign w:val="center"/>
          </w:tcPr>
          <w:p>
            <w:pPr>
              <w:pStyle w:val="14"/>
            </w:pPr>
            <w:r>
              <w:t>合计</w:t>
            </w:r>
          </w:p>
        </w:tc>
        <w:tc>
          <w:tcPr>
            <w:tcW w:w="759" w:type="pct"/>
            <w:vMerge w:val="restart"/>
            <w:vAlign w:val="center"/>
          </w:tcPr>
          <w:p>
            <w:pPr>
              <w:pStyle w:val="14"/>
            </w:pPr>
            <w:r>
              <w:t>基本支出</w:t>
            </w:r>
          </w:p>
        </w:tc>
        <w:tc>
          <w:tcPr>
            <w:tcW w:w="759"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5" w:type="pct"/>
            <w:vMerge w:val="continue"/>
          </w:tcPr>
          <w:p/>
        </w:tc>
        <w:tc>
          <w:tcPr>
            <w:tcW w:w="789" w:type="pct"/>
            <w:vAlign w:val="center"/>
          </w:tcPr>
          <w:p>
            <w:pPr>
              <w:pStyle w:val="14"/>
            </w:pPr>
            <w:r>
              <w:t>科目编码</w:t>
            </w:r>
          </w:p>
        </w:tc>
        <w:tc>
          <w:tcPr>
            <w:tcW w:w="790" w:type="pct"/>
            <w:vAlign w:val="center"/>
          </w:tcPr>
          <w:p>
            <w:pPr>
              <w:pStyle w:val="14"/>
            </w:pPr>
            <w:r>
              <w:t>科目名称</w:t>
            </w:r>
          </w:p>
        </w:tc>
        <w:tc>
          <w:tcPr>
            <w:tcW w:w="1424" w:type="pct"/>
            <w:vMerge w:val="continue"/>
          </w:tcPr>
          <w:p/>
        </w:tc>
        <w:tc>
          <w:tcPr>
            <w:tcW w:w="759" w:type="pct"/>
            <w:vMerge w:val="continue"/>
          </w:tcPr>
          <w:p/>
        </w:tc>
        <w:tc>
          <w:tcPr>
            <w:tcW w:w="75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5" w:type="pct"/>
            <w:vAlign w:val="center"/>
          </w:tcPr>
          <w:p>
            <w:pPr>
              <w:pStyle w:val="14"/>
            </w:pPr>
            <w:r>
              <w:t>栏次</w:t>
            </w:r>
          </w:p>
        </w:tc>
        <w:tc>
          <w:tcPr>
            <w:tcW w:w="789" w:type="pct"/>
            <w:vAlign w:val="center"/>
          </w:tcPr>
          <w:p>
            <w:pPr>
              <w:pStyle w:val="14"/>
            </w:pPr>
            <w:r>
              <w:t>1</w:t>
            </w:r>
          </w:p>
        </w:tc>
        <w:tc>
          <w:tcPr>
            <w:tcW w:w="790" w:type="pct"/>
            <w:vAlign w:val="center"/>
          </w:tcPr>
          <w:p>
            <w:pPr>
              <w:pStyle w:val="14"/>
            </w:pPr>
            <w:r>
              <w:t>2</w:t>
            </w:r>
          </w:p>
        </w:tc>
        <w:tc>
          <w:tcPr>
            <w:tcW w:w="1424" w:type="pct"/>
            <w:vAlign w:val="center"/>
          </w:tcPr>
          <w:p>
            <w:pPr>
              <w:pStyle w:val="14"/>
            </w:pPr>
            <w:r>
              <w:t>3</w:t>
            </w:r>
          </w:p>
        </w:tc>
        <w:tc>
          <w:tcPr>
            <w:tcW w:w="759" w:type="pct"/>
            <w:vAlign w:val="center"/>
          </w:tcPr>
          <w:p>
            <w:pPr>
              <w:pStyle w:val="14"/>
            </w:pPr>
            <w:r>
              <w:t>4</w:t>
            </w:r>
          </w:p>
        </w:tc>
        <w:tc>
          <w:tcPr>
            <w:tcW w:w="759"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5" w:type="pct"/>
            <w:vAlign w:val="center"/>
          </w:tcPr>
          <w:p>
            <w:pPr>
              <w:pStyle w:val="17"/>
            </w:pPr>
          </w:p>
        </w:tc>
        <w:tc>
          <w:tcPr>
            <w:tcW w:w="789" w:type="pct"/>
            <w:vAlign w:val="center"/>
          </w:tcPr>
          <w:p>
            <w:pPr>
              <w:pStyle w:val="16"/>
            </w:pPr>
          </w:p>
        </w:tc>
        <w:tc>
          <w:tcPr>
            <w:tcW w:w="790" w:type="pct"/>
            <w:vAlign w:val="center"/>
          </w:tcPr>
          <w:p>
            <w:pPr>
              <w:pStyle w:val="16"/>
            </w:pPr>
          </w:p>
        </w:tc>
        <w:tc>
          <w:tcPr>
            <w:tcW w:w="1424" w:type="pct"/>
            <w:vAlign w:val="center"/>
          </w:tcPr>
          <w:p>
            <w:pPr>
              <w:pStyle w:val="15"/>
            </w:pPr>
          </w:p>
        </w:tc>
        <w:tc>
          <w:tcPr>
            <w:tcW w:w="759" w:type="pct"/>
            <w:vAlign w:val="center"/>
          </w:tcPr>
          <w:p>
            <w:pPr>
              <w:pStyle w:val="15"/>
            </w:pPr>
          </w:p>
        </w:tc>
        <w:tc>
          <w:tcPr>
            <w:tcW w:w="759" w:type="pct"/>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27"/>
        <w:gridCol w:w="2370"/>
        <w:gridCol w:w="2376"/>
        <w:gridCol w:w="4277"/>
        <w:gridCol w:w="2280"/>
        <w:gridCol w:w="22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5" w:type="pct"/>
            <w:gridSpan w:val="3"/>
            <w:tcBorders>
              <w:top w:val="single" w:color="FFFFFF" w:sz="6" w:space="0"/>
              <w:left w:val="single" w:color="FFFFFF" w:sz="6" w:space="0"/>
              <w:right w:val="single" w:color="FFFFFF" w:sz="6" w:space="0"/>
            </w:tcBorders>
            <w:vAlign w:val="center"/>
          </w:tcPr>
          <w:p>
            <w:pPr>
              <w:pStyle w:val="13"/>
            </w:pPr>
            <w:r>
              <w:t>303宁晋县发展和改革局</w:t>
            </w:r>
          </w:p>
        </w:tc>
        <w:tc>
          <w:tcPr>
            <w:tcW w:w="1424" w:type="pct"/>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1519"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5" w:type="pct"/>
            <w:vMerge w:val="restart"/>
            <w:vAlign w:val="center"/>
          </w:tcPr>
          <w:p>
            <w:pPr>
              <w:pStyle w:val="14"/>
            </w:pPr>
            <w:r>
              <w:t>序号</w:t>
            </w:r>
          </w:p>
        </w:tc>
        <w:tc>
          <w:tcPr>
            <w:tcW w:w="1580" w:type="pct"/>
            <w:gridSpan w:val="2"/>
            <w:vAlign w:val="center"/>
          </w:tcPr>
          <w:p>
            <w:pPr>
              <w:pStyle w:val="14"/>
            </w:pPr>
            <w:r>
              <w:t>功能分类科目</w:t>
            </w:r>
          </w:p>
        </w:tc>
        <w:tc>
          <w:tcPr>
            <w:tcW w:w="1424" w:type="pct"/>
            <w:vMerge w:val="restart"/>
            <w:vAlign w:val="center"/>
          </w:tcPr>
          <w:p>
            <w:pPr>
              <w:pStyle w:val="14"/>
            </w:pPr>
            <w:r>
              <w:t>合计</w:t>
            </w:r>
          </w:p>
        </w:tc>
        <w:tc>
          <w:tcPr>
            <w:tcW w:w="759" w:type="pct"/>
            <w:vMerge w:val="restart"/>
            <w:vAlign w:val="center"/>
          </w:tcPr>
          <w:p>
            <w:pPr>
              <w:pStyle w:val="14"/>
            </w:pPr>
            <w:r>
              <w:t>基本支出</w:t>
            </w:r>
          </w:p>
        </w:tc>
        <w:tc>
          <w:tcPr>
            <w:tcW w:w="759"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5" w:type="pct"/>
            <w:vMerge w:val="continue"/>
          </w:tcPr>
          <w:p/>
        </w:tc>
        <w:tc>
          <w:tcPr>
            <w:tcW w:w="789" w:type="pct"/>
            <w:vAlign w:val="center"/>
          </w:tcPr>
          <w:p>
            <w:pPr>
              <w:pStyle w:val="14"/>
            </w:pPr>
            <w:r>
              <w:t>科目编码</w:t>
            </w:r>
          </w:p>
        </w:tc>
        <w:tc>
          <w:tcPr>
            <w:tcW w:w="790" w:type="pct"/>
            <w:vAlign w:val="center"/>
          </w:tcPr>
          <w:p>
            <w:pPr>
              <w:pStyle w:val="14"/>
            </w:pPr>
            <w:r>
              <w:t>科目名称</w:t>
            </w:r>
          </w:p>
        </w:tc>
        <w:tc>
          <w:tcPr>
            <w:tcW w:w="1424" w:type="pct"/>
            <w:vMerge w:val="continue"/>
          </w:tcPr>
          <w:p/>
        </w:tc>
        <w:tc>
          <w:tcPr>
            <w:tcW w:w="759" w:type="pct"/>
            <w:vMerge w:val="continue"/>
          </w:tcPr>
          <w:p/>
        </w:tc>
        <w:tc>
          <w:tcPr>
            <w:tcW w:w="75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5" w:type="pct"/>
            <w:vAlign w:val="center"/>
          </w:tcPr>
          <w:p>
            <w:pPr>
              <w:pStyle w:val="14"/>
            </w:pPr>
            <w:r>
              <w:t>栏次</w:t>
            </w:r>
          </w:p>
        </w:tc>
        <w:tc>
          <w:tcPr>
            <w:tcW w:w="789" w:type="pct"/>
            <w:vAlign w:val="center"/>
          </w:tcPr>
          <w:p>
            <w:pPr>
              <w:pStyle w:val="14"/>
            </w:pPr>
            <w:r>
              <w:t>1</w:t>
            </w:r>
          </w:p>
        </w:tc>
        <w:tc>
          <w:tcPr>
            <w:tcW w:w="790" w:type="pct"/>
            <w:vAlign w:val="center"/>
          </w:tcPr>
          <w:p>
            <w:pPr>
              <w:pStyle w:val="14"/>
            </w:pPr>
            <w:r>
              <w:t>2</w:t>
            </w:r>
          </w:p>
        </w:tc>
        <w:tc>
          <w:tcPr>
            <w:tcW w:w="1424" w:type="pct"/>
            <w:vAlign w:val="center"/>
          </w:tcPr>
          <w:p>
            <w:pPr>
              <w:pStyle w:val="14"/>
            </w:pPr>
            <w:r>
              <w:t>3</w:t>
            </w:r>
          </w:p>
        </w:tc>
        <w:tc>
          <w:tcPr>
            <w:tcW w:w="759" w:type="pct"/>
            <w:vAlign w:val="center"/>
          </w:tcPr>
          <w:p>
            <w:pPr>
              <w:pStyle w:val="14"/>
            </w:pPr>
            <w:r>
              <w:t>4</w:t>
            </w:r>
          </w:p>
        </w:tc>
        <w:tc>
          <w:tcPr>
            <w:tcW w:w="759"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5" w:type="pct"/>
            <w:vAlign w:val="center"/>
          </w:tcPr>
          <w:p>
            <w:pPr>
              <w:pStyle w:val="17"/>
            </w:pPr>
          </w:p>
        </w:tc>
        <w:tc>
          <w:tcPr>
            <w:tcW w:w="789" w:type="pct"/>
            <w:vAlign w:val="center"/>
          </w:tcPr>
          <w:p>
            <w:pPr>
              <w:pStyle w:val="16"/>
            </w:pPr>
          </w:p>
        </w:tc>
        <w:tc>
          <w:tcPr>
            <w:tcW w:w="790" w:type="pct"/>
            <w:vAlign w:val="center"/>
          </w:tcPr>
          <w:p>
            <w:pPr>
              <w:pStyle w:val="16"/>
            </w:pPr>
          </w:p>
        </w:tc>
        <w:tc>
          <w:tcPr>
            <w:tcW w:w="1424" w:type="pct"/>
            <w:vAlign w:val="center"/>
          </w:tcPr>
          <w:p>
            <w:pPr>
              <w:pStyle w:val="15"/>
            </w:pPr>
          </w:p>
        </w:tc>
        <w:tc>
          <w:tcPr>
            <w:tcW w:w="759" w:type="pct"/>
            <w:vAlign w:val="center"/>
          </w:tcPr>
          <w:p>
            <w:pPr>
              <w:pStyle w:val="15"/>
            </w:pPr>
          </w:p>
        </w:tc>
        <w:tc>
          <w:tcPr>
            <w:tcW w:w="759" w:type="pct"/>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27"/>
        <w:gridCol w:w="3939"/>
        <w:gridCol w:w="667"/>
        <w:gridCol w:w="3119"/>
        <w:gridCol w:w="3146"/>
        <w:gridCol w:w="35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742" w:type="pct"/>
            <w:gridSpan w:val="3"/>
            <w:tcBorders>
              <w:top w:val="single" w:color="FFFFFF" w:sz="6" w:space="0"/>
              <w:left w:val="single" w:color="FFFFFF" w:sz="6" w:space="0"/>
              <w:right w:val="single" w:color="FFFFFF" w:sz="6" w:space="0"/>
            </w:tcBorders>
            <w:vAlign w:val="center"/>
          </w:tcPr>
          <w:p>
            <w:pPr>
              <w:pStyle w:val="13"/>
            </w:pPr>
            <w:r>
              <w:t>303宁晋县发展和改革局</w:t>
            </w:r>
          </w:p>
        </w:tc>
        <w:tc>
          <w:tcPr>
            <w:tcW w:w="1038" w:type="pct"/>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2218"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9" w:type="pct"/>
            <w:vMerge w:val="restart"/>
            <w:vAlign w:val="center"/>
          </w:tcPr>
          <w:p>
            <w:pPr>
              <w:pStyle w:val="14"/>
            </w:pPr>
            <w:r>
              <w:t>序号</w:t>
            </w:r>
          </w:p>
        </w:tc>
        <w:tc>
          <w:tcPr>
            <w:tcW w:w="1311" w:type="pct"/>
            <w:vMerge w:val="restart"/>
            <w:vAlign w:val="center"/>
          </w:tcPr>
          <w:p>
            <w:pPr>
              <w:pStyle w:val="14"/>
            </w:pPr>
            <w:r>
              <w:t>项  目</w:t>
            </w:r>
          </w:p>
        </w:tc>
        <w:tc>
          <w:tcPr>
            <w:tcW w:w="3478"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9" w:type="pct"/>
            <w:vMerge w:val="continue"/>
          </w:tcPr>
          <w:p/>
        </w:tc>
        <w:tc>
          <w:tcPr>
            <w:tcW w:w="1311" w:type="pct"/>
            <w:vMerge w:val="continue"/>
          </w:tcPr>
          <w:p/>
        </w:tc>
        <w:tc>
          <w:tcPr>
            <w:tcW w:w="221" w:type="pct"/>
            <w:vAlign w:val="center"/>
          </w:tcPr>
          <w:p>
            <w:pPr>
              <w:pStyle w:val="14"/>
            </w:pPr>
            <w:r>
              <w:t>合计</w:t>
            </w:r>
          </w:p>
        </w:tc>
        <w:tc>
          <w:tcPr>
            <w:tcW w:w="1038" w:type="pct"/>
            <w:vAlign w:val="center"/>
          </w:tcPr>
          <w:p>
            <w:pPr>
              <w:pStyle w:val="14"/>
            </w:pPr>
            <w:r>
              <w:t>一般公共预算              财政拨款</w:t>
            </w:r>
          </w:p>
        </w:tc>
        <w:tc>
          <w:tcPr>
            <w:tcW w:w="1047" w:type="pct"/>
            <w:vAlign w:val="center"/>
          </w:tcPr>
          <w:p>
            <w:pPr>
              <w:pStyle w:val="14"/>
            </w:pPr>
            <w:r>
              <w:t>政府性基金                  预算拨款</w:t>
            </w:r>
          </w:p>
        </w:tc>
        <w:tc>
          <w:tcPr>
            <w:tcW w:w="1170"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9" w:type="pct"/>
            <w:vAlign w:val="center"/>
          </w:tcPr>
          <w:p>
            <w:pPr>
              <w:pStyle w:val="14"/>
            </w:pPr>
            <w:r>
              <w:t>栏次</w:t>
            </w:r>
          </w:p>
        </w:tc>
        <w:tc>
          <w:tcPr>
            <w:tcW w:w="1311" w:type="pct"/>
            <w:vAlign w:val="center"/>
          </w:tcPr>
          <w:p>
            <w:pPr>
              <w:pStyle w:val="14"/>
            </w:pPr>
            <w:r>
              <w:t>1</w:t>
            </w:r>
          </w:p>
        </w:tc>
        <w:tc>
          <w:tcPr>
            <w:tcW w:w="221" w:type="pct"/>
            <w:vAlign w:val="center"/>
          </w:tcPr>
          <w:p>
            <w:pPr>
              <w:pStyle w:val="14"/>
            </w:pPr>
            <w:r>
              <w:t>2</w:t>
            </w:r>
          </w:p>
        </w:tc>
        <w:tc>
          <w:tcPr>
            <w:tcW w:w="1038" w:type="pct"/>
            <w:vAlign w:val="center"/>
          </w:tcPr>
          <w:p>
            <w:pPr>
              <w:pStyle w:val="14"/>
            </w:pPr>
            <w:r>
              <w:t>3</w:t>
            </w:r>
          </w:p>
        </w:tc>
        <w:tc>
          <w:tcPr>
            <w:tcW w:w="1047" w:type="pct"/>
            <w:vAlign w:val="center"/>
          </w:tcPr>
          <w:p>
            <w:pPr>
              <w:pStyle w:val="14"/>
            </w:pPr>
            <w:r>
              <w:t>4</w:t>
            </w:r>
          </w:p>
        </w:tc>
        <w:tc>
          <w:tcPr>
            <w:tcW w:w="1170"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1</w:t>
            </w:r>
          </w:p>
        </w:tc>
        <w:tc>
          <w:tcPr>
            <w:tcW w:w="1311" w:type="pct"/>
            <w:vAlign w:val="center"/>
          </w:tcPr>
          <w:p>
            <w:pPr>
              <w:pStyle w:val="18"/>
            </w:pPr>
            <w:r>
              <w:t>合计</w:t>
            </w:r>
          </w:p>
        </w:tc>
        <w:tc>
          <w:tcPr>
            <w:tcW w:w="221" w:type="pct"/>
            <w:vAlign w:val="center"/>
          </w:tcPr>
          <w:p>
            <w:pPr>
              <w:pStyle w:val="19"/>
              <w:rPr>
                <w:lang w:eastAsia="zh-CN"/>
              </w:rPr>
            </w:pPr>
            <w:r>
              <w:rPr>
                <w:rFonts w:hint="eastAsia"/>
                <w:lang w:eastAsia="zh-CN"/>
              </w:rPr>
              <w:t>5.38</w:t>
            </w:r>
          </w:p>
        </w:tc>
        <w:tc>
          <w:tcPr>
            <w:tcW w:w="1038" w:type="pct"/>
            <w:vAlign w:val="center"/>
          </w:tcPr>
          <w:p>
            <w:pPr>
              <w:pStyle w:val="19"/>
              <w:rPr>
                <w:lang w:eastAsia="zh-CN"/>
              </w:rPr>
            </w:pPr>
            <w:r>
              <w:rPr>
                <w:rFonts w:hint="eastAsia"/>
                <w:lang w:eastAsia="zh-CN"/>
              </w:rPr>
              <w:t>5.38</w:t>
            </w:r>
          </w:p>
        </w:tc>
        <w:tc>
          <w:tcPr>
            <w:tcW w:w="1047" w:type="pct"/>
            <w:vAlign w:val="center"/>
          </w:tcPr>
          <w:p>
            <w:pPr>
              <w:pStyle w:val="19"/>
            </w:pPr>
          </w:p>
        </w:tc>
        <w:tc>
          <w:tcPr>
            <w:tcW w:w="1170"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2</w:t>
            </w:r>
          </w:p>
        </w:tc>
        <w:tc>
          <w:tcPr>
            <w:tcW w:w="1311" w:type="pct"/>
            <w:vAlign w:val="center"/>
          </w:tcPr>
          <w:p>
            <w:pPr>
              <w:pStyle w:val="16"/>
            </w:pPr>
            <w:r>
              <w:t>“三公”经费小计</w:t>
            </w:r>
          </w:p>
        </w:tc>
        <w:tc>
          <w:tcPr>
            <w:tcW w:w="221" w:type="pct"/>
            <w:vAlign w:val="center"/>
          </w:tcPr>
          <w:p>
            <w:pPr>
              <w:pStyle w:val="15"/>
              <w:rPr>
                <w:lang w:eastAsia="zh-CN"/>
              </w:rPr>
            </w:pPr>
            <w:r>
              <w:rPr>
                <w:rFonts w:hint="eastAsia"/>
                <w:lang w:eastAsia="zh-CN"/>
              </w:rPr>
              <w:t>5.38</w:t>
            </w:r>
          </w:p>
        </w:tc>
        <w:tc>
          <w:tcPr>
            <w:tcW w:w="1038" w:type="pct"/>
            <w:vAlign w:val="center"/>
          </w:tcPr>
          <w:p>
            <w:pPr>
              <w:pStyle w:val="15"/>
              <w:rPr>
                <w:lang w:eastAsia="zh-CN"/>
              </w:rPr>
            </w:pPr>
            <w:r>
              <w:rPr>
                <w:rFonts w:hint="eastAsia"/>
                <w:lang w:eastAsia="zh-CN"/>
              </w:rPr>
              <w:t>5.38</w:t>
            </w: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3</w:t>
            </w:r>
          </w:p>
        </w:tc>
        <w:tc>
          <w:tcPr>
            <w:tcW w:w="1311" w:type="pct"/>
            <w:vAlign w:val="center"/>
          </w:tcPr>
          <w:p>
            <w:pPr>
              <w:pStyle w:val="16"/>
            </w:pPr>
            <w:r>
              <w:t>一、因公出国（境）费</w:t>
            </w:r>
          </w:p>
        </w:tc>
        <w:tc>
          <w:tcPr>
            <w:tcW w:w="221" w:type="pct"/>
            <w:vAlign w:val="center"/>
          </w:tcPr>
          <w:p>
            <w:pPr>
              <w:pStyle w:val="15"/>
            </w:pPr>
          </w:p>
        </w:tc>
        <w:tc>
          <w:tcPr>
            <w:tcW w:w="1038" w:type="pct"/>
            <w:vAlign w:val="center"/>
          </w:tcPr>
          <w:p>
            <w:pPr>
              <w:pStyle w:val="15"/>
            </w:pP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4</w:t>
            </w:r>
          </w:p>
        </w:tc>
        <w:tc>
          <w:tcPr>
            <w:tcW w:w="1311" w:type="pct"/>
            <w:vAlign w:val="center"/>
          </w:tcPr>
          <w:p>
            <w:pPr>
              <w:pStyle w:val="16"/>
            </w:pPr>
            <w:r>
              <w:t xml:space="preserve">    其中：教学科研人员因公出国（境）费</w:t>
            </w:r>
          </w:p>
        </w:tc>
        <w:tc>
          <w:tcPr>
            <w:tcW w:w="221" w:type="pct"/>
            <w:vAlign w:val="center"/>
          </w:tcPr>
          <w:p>
            <w:pPr>
              <w:pStyle w:val="15"/>
            </w:pPr>
          </w:p>
        </w:tc>
        <w:tc>
          <w:tcPr>
            <w:tcW w:w="1038" w:type="pct"/>
            <w:vAlign w:val="center"/>
          </w:tcPr>
          <w:p>
            <w:pPr>
              <w:pStyle w:val="15"/>
            </w:pP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5</w:t>
            </w:r>
          </w:p>
        </w:tc>
        <w:tc>
          <w:tcPr>
            <w:tcW w:w="1311" w:type="pct"/>
            <w:vAlign w:val="center"/>
          </w:tcPr>
          <w:p>
            <w:pPr>
              <w:pStyle w:val="16"/>
            </w:pPr>
            <w:r>
              <w:t xml:space="preserve">          其他因公出国（境）费</w:t>
            </w:r>
          </w:p>
        </w:tc>
        <w:tc>
          <w:tcPr>
            <w:tcW w:w="221" w:type="pct"/>
            <w:vAlign w:val="center"/>
          </w:tcPr>
          <w:p>
            <w:pPr>
              <w:pStyle w:val="15"/>
            </w:pPr>
          </w:p>
        </w:tc>
        <w:tc>
          <w:tcPr>
            <w:tcW w:w="1038" w:type="pct"/>
            <w:vAlign w:val="center"/>
          </w:tcPr>
          <w:p>
            <w:pPr>
              <w:pStyle w:val="15"/>
            </w:pP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6</w:t>
            </w:r>
          </w:p>
        </w:tc>
        <w:tc>
          <w:tcPr>
            <w:tcW w:w="1311" w:type="pct"/>
            <w:vAlign w:val="center"/>
          </w:tcPr>
          <w:p>
            <w:pPr>
              <w:pStyle w:val="16"/>
            </w:pPr>
            <w:r>
              <w:t>二、公务用车购置及运维费</w:t>
            </w:r>
          </w:p>
        </w:tc>
        <w:tc>
          <w:tcPr>
            <w:tcW w:w="221" w:type="pct"/>
            <w:vAlign w:val="center"/>
          </w:tcPr>
          <w:p>
            <w:pPr>
              <w:pStyle w:val="15"/>
              <w:rPr>
                <w:lang w:eastAsia="zh-CN"/>
              </w:rPr>
            </w:pPr>
            <w:r>
              <w:rPr>
                <w:rFonts w:hint="eastAsia"/>
                <w:lang w:eastAsia="zh-CN"/>
              </w:rPr>
              <w:t>3.50</w:t>
            </w:r>
          </w:p>
        </w:tc>
        <w:tc>
          <w:tcPr>
            <w:tcW w:w="1038" w:type="pct"/>
            <w:vAlign w:val="center"/>
          </w:tcPr>
          <w:p>
            <w:pPr>
              <w:pStyle w:val="15"/>
              <w:rPr>
                <w:lang w:eastAsia="zh-CN"/>
              </w:rPr>
            </w:pPr>
            <w:r>
              <w:rPr>
                <w:rFonts w:hint="eastAsia"/>
                <w:lang w:eastAsia="zh-CN"/>
              </w:rPr>
              <w:t>3.50</w:t>
            </w: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7</w:t>
            </w:r>
          </w:p>
        </w:tc>
        <w:tc>
          <w:tcPr>
            <w:tcW w:w="1311" w:type="pct"/>
            <w:vAlign w:val="center"/>
          </w:tcPr>
          <w:p>
            <w:pPr>
              <w:pStyle w:val="16"/>
            </w:pPr>
            <w:r>
              <w:t xml:space="preserve">    其中：公务用车购置费</w:t>
            </w:r>
          </w:p>
        </w:tc>
        <w:tc>
          <w:tcPr>
            <w:tcW w:w="221" w:type="pct"/>
            <w:vAlign w:val="center"/>
          </w:tcPr>
          <w:p>
            <w:pPr>
              <w:pStyle w:val="15"/>
            </w:pPr>
          </w:p>
        </w:tc>
        <w:tc>
          <w:tcPr>
            <w:tcW w:w="1038" w:type="pct"/>
            <w:vAlign w:val="center"/>
          </w:tcPr>
          <w:p>
            <w:pPr>
              <w:pStyle w:val="15"/>
            </w:pP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8</w:t>
            </w:r>
          </w:p>
        </w:tc>
        <w:tc>
          <w:tcPr>
            <w:tcW w:w="1311" w:type="pct"/>
            <w:vAlign w:val="center"/>
          </w:tcPr>
          <w:p>
            <w:pPr>
              <w:pStyle w:val="16"/>
            </w:pPr>
            <w:r>
              <w:t xml:space="preserve">          公务用车运行维护费</w:t>
            </w:r>
          </w:p>
        </w:tc>
        <w:tc>
          <w:tcPr>
            <w:tcW w:w="221" w:type="pct"/>
            <w:vAlign w:val="center"/>
          </w:tcPr>
          <w:p>
            <w:pPr>
              <w:pStyle w:val="15"/>
              <w:rPr>
                <w:lang w:eastAsia="zh-CN"/>
              </w:rPr>
            </w:pPr>
            <w:r>
              <w:rPr>
                <w:rFonts w:hint="eastAsia"/>
                <w:lang w:eastAsia="zh-CN"/>
              </w:rPr>
              <w:t>3.50</w:t>
            </w:r>
          </w:p>
        </w:tc>
        <w:tc>
          <w:tcPr>
            <w:tcW w:w="1038" w:type="pct"/>
            <w:vAlign w:val="center"/>
          </w:tcPr>
          <w:p>
            <w:pPr>
              <w:pStyle w:val="15"/>
              <w:rPr>
                <w:lang w:eastAsia="zh-CN"/>
              </w:rPr>
            </w:pPr>
            <w:r>
              <w:rPr>
                <w:rFonts w:hint="eastAsia"/>
                <w:lang w:eastAsia="zh-CN"/>
              </w:rPr>
              <w:t>3.50</w:t>
            </w: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9</w:t>
            </w:r>
          </w:p>
        </w:tc>
        <w:tc>
          <w:tcPr>
            <w:tcW w:w="1311" w:type="pct"/>
            <w:vAlign w:val="center"/>
          </w:tcPr>
          <w:p>
            <w:pPr>
              <w:pStyle w:val="16"/>
            </w:pPr>
            <w:r>
              <w:t>三、公务接待费</w:t>
            </w:r>
          </w:p>
        </w:tc>
        <w:tc>
          <w:tcPr>
            <w:tcW w:w="221" w:type="pct"/>
            <w:vAlign w:val="center"/>
          </w:tcPr>
          <w:p>
            <w:pPr>
              <w:pStyle w:val="15"/>
              <w:rPr>
                <w:lang w:eastAsia="zh-CN"/>
              </w:rPr>
            </w:pPr>
            <w:r>
              <w:t>0.</w:t>
            </w:r>
            <w:r>
              <w:rPr>
                <w:rFonts w:hint="eastAsia"/>
                <w:lang w:eastAsia="zh-CN"/>
              </w:rPr>
              <w:t>28</w:t>
            </w:r>
          </w:p>
        </w:tc>
        <w:tc>
          <w:tcPr>
            <w:tcW w:w="1038" w:type="pct"/>
            <w:vAlign w:val="center"/>
          </w:tcPr>
          <w:p>
            <w:pPr>
              <w:pStyle w:val="15"/>
              <w:rPr>
                <w:lang w:eastAsia="zh-CN"/>
              </w:rPr>
            </w:pPr>
            <w:r>
              <w:t>0.</w:t>
            </w:r>
            <w:r>
              <w:rPr>
                <w:rFonts w:hint="eastAsia"/>
                <w:lang w:eastAsia="zh-CN"/>
              </w:rPr>
              <w:t>28</w:t>
            </w: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10</w:t>
            </w:r>
          </w:p>
        </w:tc>
        <w:tc>
          <w:tcPr>
            <w:tcW w:w="1311" w:type="pct"/>
            <w:vAlign w:val="center"/>
          </w:tcPr>
          <w:p>
            <w:pPr>
              <w:pStyle w:val="16"/>
            </w:pPr>
            <w:r>
              <w:t>四、会议费</w:t>
            </w:r>
          </w:p>
        </w:tc>
        <w:tc>
          <w:tcPr>
            <w:tcW w:w="221" w:type="pct"/>
            <w:vAlign w:val="center"/>
          </w:tcPr>
          <w:p>
            <w:pPr>
              <w:pStyle w:val="15"/>
              <w:rPr>
                <w:lang w:eastAsia="zh-CN"/>
              </w:rPr>
            </w:pPr>
            <w:r>
              <w:t>1.</w:t>
            </w:r>
            <w:r>
              <w:rPr>
                <w:rFonts w:hint="eastAsia"/>
                <w:lang w:eastAsia="zh-CN"/>
              </w:rPr>
              <w:t>60</w:t>
            </w:r>
          </w:p>
        </w:tc>
        <w:tc>
          <w:tcPr>
            <w:tcW w:w="1038" w:type="pct"/>
            <w:vAlign w:val="center"/>
          </w:tcPr>
          <w:p>
            <w:pPr>
              <w:pStyle w:val="15"/>
              <w:rPr>
                <w:lang w:eastAsia="zh-CN"/>
              </w:rPr>
            </w:pPr>
            <w:r>
              <w:t>1</w:t>
            </w:r>
            <w:r>
              <w:rPr>
                <w:rFonts w:hint="eastAsia"/>
                <w:lang w:eastAsia="zh-CN"/>
              </w:rPr>
              <w:t>.60</w:t>
            </w: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11</w:t>
            </w:r>
          </w:p>
        </w:tc>
        <w:tc>
          <w:tcPr>
            <w:tcW w:w="1311" w:type="pct"/>
            <w:vAlign w:val="center"/>
          </w:tcPr>
          <w:p>
            <w:pPr>
              <w:pStyle w:val="16"/>
            </w:pPr>
            <w:r>
              <w:t>五、培训费</w:t>
            </w:r>
          </w:p>
        </w:tc>
        <w:tc>
          <w:tcPr>
            <w:tcW w:w="221" w:type="pct"/>
            <w:vAlign w:val="center"/>
          </w:tcPr>
          <w:p>
            <w:pPr>
              <w:pStyle w:val="15"/>
            </w:pPr>
          </w:p>
        </w:tc>
        <w:tc>
          <w:tcPr>
            <w:tcW w:w="1038" w:type="pct"/>
            <w:vAlign w:val="center"/>
          </w:tcPr>
          <w:p>
            <w:pPr>
              <w:pStyle w:val="15"/>
            </w:pPr>
          </w:p>
        </w:tc>
        <w:tc>
          <w:tcPr>
            <w:tcW w:w="1047" w:type="pct"/>
            <w:vAlign w:val="center"/>
          </w:tcPr>
          <w:p>
            <w:pPr>
              <w:pStyle w:val="15"/>
            </w:pPr>
          </w:p>
        </w:tc>
        <w:tc>
          <w:tcPr>
            <w:tcW w:w="1170" w:type="pct"/>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宁晋县发展和改革局2022年部门预算信息公开情况说明</w:t>
      </w:r>
    </w:p>
    <w:p>
      <w:pPr>
        <w:jc w:val="center"/>
      </w:pPr>
      <w:r>
        <w:rPr>
          <w:rFonts w:ascii="方正小标宋_GBK" w:hAnsi="方正小标宋_GBK" w:eastAsia="方正小标宋_GBK" w:cs="方正小标宋_GBK"/>
          <w:color w:val="000000"/>
          <w:sz w:val="44"/>
        </w:rPr>
        <w:t>宁晋县发展和改革局202</w:t>
      </w:r>
      <w:r>
        <w:rPr>
          <w:rFonts w:hint="eastAsia" w:ascii="方正小标宋_GBK" w:hAnsi="方正小标宋_GBK" w:eastAsia="方正小标宋_GBK" w:cs="方正小标宋_GBK"/>
          <w:color w:val="000000"/>
          <w:sz w:val="44"/>
          <w:lang w:eastAsia="zh-CN"/>
        </w:rPr>
        <w:t>1</w:t>
      </w:r>
      <w:r>
        <w:rPr>
          <w:rFonts w:ascii="方正小标宋_GBK" w:hAnsi="方正小标宋_GBK" w:eastAsia="方正小标宋_GBK" w:cs="方正小标宋_GBK"/>
          <w:color w:val="000000"/>
          <w:sz w:val="44"/>
        </w:rPr>
        <w:t>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按照《预算法》、《地方预决算公开操作规程》和《关于进一步推进预算公开工作的实施意见》规定，现将宁晋县发展和改革局202</w:t>
      </w:r>
      <w:r>
        <w:rPr>
          <w:rFonts w:hint="eastAsia" w:eastAsia="方正仿宋_GBK" w:cs="Times New Roman"/>
          <w:color w:val="000000"/>
          <w:sz w:val="28"/>
          <w:lang w:eastAsia="zh-CN"/>
        </w:rPr>
        <w:t>1</w:t>
      </w:r>
      <w:r>
        <w:rPr>
          <w:rFonts w:eastAsia="方正仿宋_GBK" w:cs="Times New Roman"/>
          <w:color w:val="000000"/>
          <w:sz w:val="28"/>
        </w:rPr>
        <w:t>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第一条  根据《中共邢台市委办公室邢台市人民政府办公室关于印发〈宁晋县机构改革方案〉的通知》（邢办字〔2018〕83号），制定本规定。</w:t>
      </w:r>
    </w:p>
    <w:p>
      <w:pPr>
        <w:pStyle w:val="21"/>
      </w:pPr>
      <w:r>
        <w:t>第二条  宁晋县发展和改革局（简称县发展改革局）为县政府工作部门，机构规格正科级，加挂宁晋县粮食和物资储备局牌子。</w:t>
      </w:r>
    </w:p>
    <w:p>
      <w:pPr>
        <w:pStyle w:val="21"/>
      </w:pPr>
      <w:r>
        <w:t>第三条  中共宁晋县委财经委员会办公室(简称县委财经办)设在县发展改革局，接受中共宁晋县委财经委员会的直接领导，承担县委财经委员会的具体工作，组织开展全县财经重大问题的政策研究，协调督促有关方面落实县委财经委员会决定事项、工作部署和要求等。设置县委财经办秘书股，负责处理县委财经办日常事务。县发展改革局的内设机构根据工作需要承担县委财经办相关工作，接受县委财经办的统筹协调。</w:t>
      </w:r>
    </w:p>
    <w:p>
      <w:pPr>
        <w:ind w:firstLine="640"/>
        <w:rPr>
          <w:rFonts w:eastAsia="方正仿宋_GBK"/>
          <w:sz w:val="28"/>
        </w:rPr>
      </w:pPr>
      <w:r>
        <w:rPr>
          <w:rFonts w:eastAsia="方正仿宋_GBK"/>
          <w:sz w:val="28"/>
        </w:rPr>
        <w:t>第四条  贯彻落实党中央和省委、市委、县委关于发展改革工作的方针政策和决策部署，坚持和加强党对发展改革工作的集中统一领导。</w:t>
      </w:r>
      <w:r>
        <w:rPr>
          <w:rFonts w:hint="eastAsia" w:eastAsia="方正仿宋_GBK"/>
          <w:sz w:val="28"/>
        </w:rPr>
        <w:t>主要职责是:</w:t>
      </w:r>
    </w:p>
    <w:p>
      <w:pPr>
        <w:ind w:firstLine="640"/>
        <w:rPr>
          <w:rFonts w:eastAsia="方正仿宋_GBK"/>
          <w:sz w:val="28"/>
        </w:rPr>
      </w:pPr>
      <w:r>
        <w:rPr>
          <w:rFonts w:hint="eastAsia" w:eastAsia="方正仿宋_GBK"/>
          <w:sz w:val="28"/>
        </w:rPr>
        <w:t>（一）拟订并组织实施全县国民经济和社会发展战略、中长期规划和年度计划。牵头组织统一规划体系建设。负责县级专项规划、区域规划、空间规划与全县发展规划的统筹街接。制定国民经济和社会发展、经济体制改革和对外开放的有关规范性文件。</w:t>
      </w:r>
    </w:p>
    <w:p>
      <w:pPr>
        <w:ind w:firstLine="640"/>
        <w:rPr>
          <w:rFonts w:eastAsia="方正仿宋_GBK"/>
          <w:sz w:val="28"/>
        </w:rPr>
      </w:pPr>
      <w:r>
        <w:rPr>
          <w:rFonts w:hint="eastAsia" w:eastAsia="方正仿宋_GBK"/>
          <w:sz w:val="28"/>
        </w:rPr>
        <w:t>（二）提出加快建设全县现代化经济体系、推动高质量发展的总体目标、重大任务以及相关政策。组织开展重大战略规划、重大政策、重大工程等的评估督导，提出相关调整建议。</w:t>
      </w:r>
    </w:p>
    <w:p>
      <w:pPr>
        <w:ind w:firstLine="640"/>
        <w:rPr>
          <w:rFonts w:eastAsia="方正仿宋_GBK"/>
          <w:sz w:val="28"/>
        </w:rPr>
      </w:pPr>
      <w:r>
        <w:rPr>
          <w:rFonts w:hint="eastAsia" w:eastAsia="方正仿宋_GBK"/>
          <w:sz w:val="28"/>
        </w:rPr>
        <w:t>（三）贯彻落实上级宏观调控政策，统筹提出全县国民经济和社会发展主要目标，监测预测预警宏观经济和社会发展态势趋势，提出经济调节政策建议。综合协调经济调节政策，牵头研究应对措施。调节经济运行，协调解决经济运行中的重大问题。拟订并组织实施有关价格政策，组织制定由县级管理的重要商品、服务价格和重要收费标准。参与贯彻落实国家财政政策、货币政策和土地政策。</w:t>
      </w:r>
    </w:p>
    <w:p>
      <w:pPr>
        <w:ind w:firstLine="640"/>
        <w:rPr>
          <w:rFonts w:eastAsia="方正仿宋_GBK"/>
          <w:sz w:val="28"/>
        </w:rPr>
      </w:pPr>
      <w:r>
        <w:rPr>
          <w:rFonts w:hint="eastAsia" w:eastAsia="方正仿宋_GBK"/>
          <w:sz w:val="28"/>
        </w:rPr>
        <w:t>（四）指导推进和综合协调经济体制改革有关工作，提出相关改革建议。牵头推进供给侧结构性改革。协调推进产权制度和要素市场化配置改革。落实国家完善基本经济制度政策，推动现代化市场体系建设，会同有关部门组织实施市场准入负面清单制度。牵头推进优化营商环境工作。</w:t>
      </w:r>
    </w:p>
    <w:p>
      <w:pPr>
        <w:ind w:firstLine="640"/>
        <w:rPr>
          <w:rFonts w:eastAsia="方正仿宋_GBK"/>
          <w:sz w:val="28"/>
        </w:rPr>
      </w:pPr>
      <w:r>
        <w:rPr>
          <w:rFonts w:hint="eastAsia" w:eastAsia="方正仿宋_GBK"/>
          <w:sz w:val="28"/>
        </w:rPr>
        <w:t>（五）提出全县利用外资和境外投资的战略、规划、总量平衡和结构优化政策。牵头推进实施全县“一带一路”建设有关工作。承担统筹协调走出去有关工作。配合有关部门贯彻落实国家外商投资准入负面清单。负责全县全口径外债的总量控制、结构优化和监测工作。</w:t>
      </w:r>
    </w:p>
    <w:p>
      <w:pPr>
        <w:ind w:firstLine="640"/>
        <w:rPr>
          <w:rFonts w:eastAsia="方正仿宋_GBK"/>
          <w:sz w:val="28"/>
        </w:rPr>
      </w:pPr>
      <w:r>
        <w:rPr>
          <w:rFonts w:hint="eastAsia" w:eastAsia="方正仿宋_GBK"/>
          <w:sz w:val="28"/>
        </w:rPr>
        <w:t>（六）负责全县投资综合管理。拟订全县固定资产投资总规模、结构调控目标和政策。安排县级预算内基本建设资金和有关发展性专项资金。规划全县重点建设项目和生产力布局，组织推动重点建设项目。拟订并推动落实鼓励民间投资政策措施。</w:t>
      </w:r>
    </w:p>
    <w:p>
      <w:pPr>
        <w:ind w:firstLine="640"/>
        <w:rPr>
          <w:rFonts w:eastAsia="方正仿宋_GBK"/>
          <w:sz w:val="28"/>
        </w:rPr>
      </w:pPr>
      <w:r>
        <w:rPr>
          <w:rFonts w:hint="eastAsia" w:eastAsia="方正仿宋_GBK"/>
          <w:sz w:val="28"/>
        </w:rPr>
        <w:t>（七）推进落实区域协调发展战略、新型城镇化战略和重大政策，组织拟订相关区域规划和政策。推进实施京津冀协同发展等区域发展战略。统筹协调区域合作和对口支援工作。组织编制并推动实施新型城镇化规划。</w:t>
      </w:r>
    </w:p>
    <w:p>
      <w:pPr>
        <w:ind w:firstLine="640"/>
        <w:rPr>
          <w:rFonts w:eastAsia="方正仿宋_GBK"/>
          <w:sz w:val="28"/>
        </w:rPr>
      </w:pPr>
      <w:r>
        <w:rPr>
          <w:rFonts w:hint="eastAsia" w:eastAsia="方正仿宋_GBK"/>
          <w:sz w:val="28"/>
        </w:rPr>
        <w:t>（八）组织贯彻实施上级产业政策，拟订全县综合性产业政策。协调一二三产业发展重大问题并统筹衔接相关发展规划和重大政策。协调推进重大基础设施建设发展，组织拟订并推动实施服务业及现代物流业战略规划和重大政策。综合研判消费变动趋势，拟订实施促进消费的综合性政策措施。</w:t>
      </w:r>
    </w:p>
    <w:p>
      <w:pPr>
        <w:ind w:firstLine="640"/>
        <w:rPr>
          <w:rFonts w:eastAsia="方正仿宋_GBK"/>
          <w:sz w:val="28"/>
        </w:rPr>
      </w:pPr>
      <w:r>
        <w:rPr>
          <w:rFonts w:hint="eastAsia" w:eastAsia="方正仿宋_GBK"/>
          <w:sz w:val="28"/>
        </w:rPr>
        <w:t>（九）推动实施创新驱动发展战略。会同相关部门拟订全县推进创新创业的规划和政策，提出创新发展和培育经济发展新动能的政策。会同相关部门规划布局重大科技基础设施。组织拟订并推动实施高技术产业和战略性新兴产业及数字经济发展规划政策，协调产业升级、重大技术装备推广应用等方面的重大问题。</w:t>
      </w:r>
    </w:p>
    <w:p>
      <w:pPr>
        <w:ind w:firstLine="640"/>
        <w:rPr>
          <w:rFonts w:eastAsia="方正仿宋_GBK"/>
          <w:sz w:val="28"/>
        </w:rPr>
      </w:pPr>
      <w:r>
        <w:rPr>
          <w:rFonts w:hint="eastAsia" w:eastAsia="方正仿宋_GBK"/>
          <w:sz w:val="28"/>
        </w:rPr>
        <w:t>（十）跟踪研判涉及经济安全、生态安全、资源安全、科技安全、社会安全等各类风险隐患，提出相关工作建议。协调落实重要工业品、原材料和重要农产品进出口调控措施。</w:t>
      </w:r>
    </w:p>
    <w:p>
      <w:pPr>
        <w:ind w:firstLine="640"/>
        <w:rPr>
          <w:rFonts w:eastAsia="方正仿宋_GBK"/>
          <w:sz w:val="28"/>
        </w:rPr>
      </w:pPr>
      <w:r>
        <w:rPr>
          <w:rFonts w:hint="eastAsia" w:eastAsia="方正仿宋_GBK"/>
          <w:sz w:val="28"/>
        </w:rPr>
        <w:t>（十一）负责全县社会发展与国民经济发展的政策衔接，协调有关重大问题。组织拟订社会发展战略、总体规划，统筹推进基本公共服务体系建设和收入分配制度改革，提出促进就业、完善社会保障与经济协调发展的政策建议。</w:t>
      </w:r>
    </w:p>
    <w:p>
      <w:pPr>
        <w:ind w:firstLine="640"/>
        <w:rPr>
          <w:rFonts w:eastAsia="方正仿宋_GBK"/>
          <w:sz w:val="28"/>
        </w:rPr>
      </w:pPr>
      <w:r>
        <w:rPr>
          <w:rFonts w:hint="eastAsia" w:eastAsia="方正仿宋_GBK"/>
          <w:sz w:val="28"/>
        </w:rP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pPr>
        <w:ind w:firstLine="640"/>
        <w:rPr>
          <w:rFonts w:eastAsia="方正仿宋_GBK"/>
          <w:sz w:val="28"/>
        </w:rPr>
      </w:pPr>
      <w:r>
        <w:rPr>
          <w:rFonts w:hint="eastAsia" w:eastAsia="方正仿宋_GBK"/>
          <w:sz w:val="28"/>
        </w:rPr>
        <w:t>（十三）组织编制全县国民经济动员规划、计划，研究国民经济动员与经济建设、国防建设的关系，协调相关重大问题，组织实施全县国民经济动员有关工作。承担县国防动员委员会交办的有关具体工作。组织拟订推进全县经济建设与国防建设协调发展的战略和规划，组织推进经济建设项目贯彻国防要求。</w:t>
      </w:r>
    </w:p>
    <w:p>
      <w:pPr>
        <w:ind w:firstLine="640"/>
        <w:rPr>
          <w:rFonts w:eastAsia="方正仿宋_GBK"/>
          <w:sz w:val="28"/>
        </w:rPr>
      </w:pPr>
      <w:r>
        <w:rPr>
          <w:rFonts w:hint="eastAsia" w:eastAsia="方正仿宋_GBK"/>
          <w:sz w:val="28"/>
        </w:rPr>
        <w:t>（十四）承担县委财经委员会办公室、县推进京津冀协同发展工作领导小组办公室、县重点项目建设领导小组办公室、县招标投标领导小组办公室等有关具体工作。</w:t>
      </w:r>
    </w:p>
    <w:p>
      <w:pPr>
        <w:ind w:firstLine="640"/>
        <w:rPr>
          <w:rFonts w:eastAsia="方正仿宋_GBK"/>
          <w:sz w:val="28"/>
        </w:rPr>
      </w:pPr>
      <w:r>
        <w:rPr>
          <w:rFonts w:hint="eastAsia" w:eastAsia="方正仿宋_GBK"/>
          <w:sz w:val="28"/>
        </w:rPr>
        <w:t>（十五）贯彻落实上级关于能源管理工作的方针政策和决策部署，坚持和加强党对能源管理工作的集中统一领导，提出能源发展战略的建议，拟订能源发展规划、产业政策和年度指导计划并组织实施。起草有关能源行业的政府规范性文件。推进能源体制改革，拟订有关改革方案并组织实施。协调能源发展和改革中的重大问题。组织实施煤炭、石油、天然气、电力(核电)、新能源和可再生能源等能源，以及炼油、煤制燃料和生物质液体等燃料的产业政策和相关标准。指导协调农村能源发展工作。指导能源科技进步、成套设备的引进消化创新，组织协调相关示范工程和推广应用新产品、新技术、新设备。负责能源行业节能和资源综合利用。参与研究能源消费总量控制目标建议，指导、监督能源消费总量控制有关工作，衔接能源生产建设和供需平衡。负责能源预测预警。发布能源信息，参与能源运行调节和应急保障。监管油气、新能源市场运行，规范能源市场秩序。监管油气管网设施的公平开放，参与电力市场的监管。参与组织推进能源国际合作。参与制定与能源相关的资源、财税、环保及应对气候变化等政策，提出能源价格调整建议。</w:t>
      </w:r>
    </w:p>
    <w:p>
      <w:pPr>
        <w:ind w:firstLine="640"/>
        <w:rPr>
          <w:rFonts w:eastAsia="方正仿宋_GBK"/>
          <w:sz w:val="28"/>
        </w:rPr>
      </w:pPr>
      <w:r>
        <w:rPr>
          <w:rFonts w:hint="eastAsia" w:eastAsia="方正仿宋_GBK"/>
          <w:sz w:val="28"/>
        </w:rPr>
        <w:t>（十六）组织落实上级有关粮食流通和物资储备的法律、法规和政策。拟订全县粮食流通、县级粮食储备和物资储备的政策和规章制度并组织实施。负责全县粮食流通和物资储备体制改革。落实上级粮食行业发展规划和政策，制定全县粮食行业发展规划并组织实施。承担全县粮食流通宏观调控，落实上级粮食购销政策，负责粮食、食糖、食盐等物资管理工作，监测县内粮食、食糖、食盐等物资供求变化并预测预警。承担粮食安全责任制考核日常工作。研究提出县级粮食和物资储备规划、储备品种目录建议，组织实施县级粮食、食糖、食盐和救灾物资等物资的收储、轮换和日常管理，落实有关动用计划和指令。负责全县粮食和物资储备工作。负责贯彻落实粮食和物资储备仓储管理有关技术标准和规范。负责粮食流通、加工行业安全生产的监督管理，承担县级粮食、食糖、食盐和救灾物资等物资承储企业以及物资储备承储单位安全生产的监管责任。负责县级粮食、食糖、食盐和救灾物资等物资储备基础设施建设和管理。拟订粮食流通设施建设规划并组织实施，管理有关储备基础设施和粮食流通设施投资项目。负责对县级粮食、食糖、食盐和救灾物资等物资储备的数量、质量和储存安全实施监督管理，对其他部门管理的物资储备进行监督指导。负责粮食流通执法检查，负责粮食收购、储存、运输环节粮食质量安全和原粮卫生的监督管理，组织实施全县粮食库存检查工作。贯彻上级粮食流通和物资储备有关标准、粮食质量标准和有关技术规范并监督执行。开展全县粮食和物资储备的对外合作与交流。</w:t>
      </w:r>
    </w:p>
    <w:p>
      <w:pPr>
        <w:pStyle w:val="21"/>
      </w:pPr>
      <w:r>
        <w:rPr>
          <w:rFonts w:hint="eastAsia"/>
        </w:rPr>
        <w:t>（十七）完成县委、县政府交办的其他任务</w:t>
      </w:r>
    </w:p>
    <w:p>
      <w:pPr>
        <w:pStyle w:val="21"/>
      </w:pPr>
      <w:r>
        <w:t>第五条  转变职能：贯彻新发展理念，把主要精力转到管宏观、谋全局、抓大事上来，加强跨部门、跨地区、跨行业、跨领域的重大战略规划、重大改革、重大工程的综合协调，统筹全面创新改革，提高经济发展质量和效益。进一步减少微观管理事务和具体审批事项，最大限度减少政府对市场资源的直接配置，最大限度减少政府对市场活动的直接干预，提高资源配置效率和公平性，激发各类市场主体活力。</w:t>
      </w:r>
    </w:p>
    <w:p>
      <w:pPr>
        <w:ind w:firstLine="640"/>
        <w:rPr>
          <w:rFonts w:eastAsia="方正仿宋_GBK"/>
          <w:sz w:val="28"/>
        </w:rPr>
      </w:pPr>
      <w:r>
        <w:rPr>
          <w:rFonts w:hint="eastAsia" w:eastAsia="方正仿宋_GBK"/>
          <w:sz w:val="28"/>
        </w:rPr>
        <w:t>（一）强化制定县级发展战略、统一规划体系的职能，完善县级规划制度，做好规划统筹，精简规划数量，提高规划质量，更好发挥县级发展战略、规划的导向作用。</w:t>
      </w:r>
    </w:p>
    <w:p>
      <w:pPr>
        <w:ind w:firstLine="640"/>
        <w:rPr>
          <w:rFonts w:eastAsia="方正仿宋_GBK"/>
          <w:sz w:val="28"/>
        </w:rPr>
      </w:pPr>
      <w:r>
        <w:rPr>
          <w:rFonts w:hint="eastAsia" w:eastAsia="方正仿宋_GBK"/>
          <w:sz w:val="28"/>
        </w:rPr>
        <w:t>（二）完善经济调节体系，创新调控方式，构建发展规划、财政、金融等政策协调和工作协同机制，强化经济监测预测预警能力，建立健全重大问题研究和政策储备工作机制，增强经济调节的前瞻性、针对性、协同性。</w:t>
      </w:r>
    </w:p>
    <w:p>
      <w:pPr>
        <w:ind w:firstLine="640"/>
        <w:rPr>
          <w:rFonts w:eastAsia="方正仿宋_GBK"/>
          <w:sz w:val="28"/>
        </w:rPr>
      </w:pPr>
      <w:r>
        <w:rPr>
          <w:rFonts w:hint="eastAsia" w:eastAsia="方正仿宋_GBK"/>
          <w:sz w:val="28"/>
        </w:rPr>
        <w:t>（三）深入推进简政放权，全面实施市场准入负面清单制度。深化投融资体制改革。深化价格改革，及时修订调减政府定价目录，健全反映市场供求的定价机制。加快推进政府监管。</w:t>
      </w:r>
    </w:p>
    <w:p>
      <w:pPr>
        <w:ind w:firstLine="640"/>
        <w:rPr>
          <w:rFonts w:eastAsia="方正仿宋_GBK"/>
          <w:sz w:val="28"/>
        </w:rPr>
      </w:pPr>
      <w:r>
        <w:rPr>
          <w:rFonts w:hint="eastAsia" w:eastAsia="方正仿宋_GBK"/>
          <w:sz w:val="28"/>
        </w:rPr>
        <w:t>（四）充分发挥市场在资源配置中的决定性作用，进一步精简行政审批，减少环节，简化程序，提高效率，大幅降低制度性交易成本。</w:t>
      </w:r>
    </w:p>
    <w:p>
      <w:pPr>
        <w:ind w:firstLine="640"/>
        <w:rPr>
          <w:rFonts w:eastAsia="方正仿宋_GBK"/>
          <w:sz w:val="28"/>
        </w:rPr>
      </w:pPr>
      <w:r>
        <w:rPr>
          <w:rFonts w:hint="eastAsia" w:eastAsia="方正仿宋_GBK"/>
          <w:sz w:val="28"/>
        </w:rPr>
        <w:t>（五）改革完善储备体系和运营方式，加强县级储备。进一步发挥政府储备引导作用，鼓励建立企业储备，推动形成政府储备与企业储备互为补充的协同发展格局。</w:t>
      </w:r>
    </w:p>
    <w:p>
      <w:pPr>
        <w:ind w:firstLine="640"/>
        <w:rPr>
          <w:rFonts w:eastAsia="方正仿宋_GBK"/>
          <w:sz w:val="28"/>
        </w:rPr>
      </w:pPr>
      <w:r>
        <w:rPr>
          <w:rFonts w:hint="eastAsia" w:eastAsia="方正仿宋_GBK"/>
          <w:sz w:val="28"/>
        </w:rPr>
        <w:t>（六）加强市场分析预测和监测预警，充分运用大数据等科技手段，强化动态监控，提高储备防风险能力，增强储备在保障国家安全、稳定社会预期、引导市场方面的作用。</w:t>
      </w:r>
    </w:p>
    <w:p>
      <w:pPr>
        <w:ind w:firstLine="640"/>
        <w:rPr>
          <w:rFonts w:eastAsia="方正仿宋_GBK"/>
          <w:sz w:val="28"/>
        </w:rPr>
      </w:pPr>
      <w:r>
        <w:rPr>
          <w:rFonts w:hint="eastAsia" w:eastAsia="方正仿宋_GBK"/>
          <w:sz w:val="28"/>
        </w:rPr>
        <w:t>（七）加强监督管理，创新监管方式，全面推进“双随机、一公开”和“互联网+监管”，着力加强安全生产，根据储备总体发展规划和品种目录及动用指令，监督储备主体做好收储、轮换和日常管理，确保县级储备物资收得进、储得好、调得动、用得上。</w:t>
      </w:r>
    </w:p>
    <w:p>
      <w:pPr>
        <w:ind w:firstLine="640"/>
        <w:rPr>
          <w:rFonts w:eastAsia="方正仿宋_GBK"/>
          <w:sz w:val="28"/>
        </w:rPr>
      </w:pPr>
      <w:r>
        <w:rPr>
          <w:rFonts w:hint="eastAsia" w:eastAsia="方正仿宋_GBK"/>
          <w:sz w:val="28"/>
        </w:rPr>
        <w:t>第六条  有关职责分工：</w:t>
      </w:r>
    </w:p>
    <w:p>
      <w:pPr>
        <w:ind w:firstLine="640"/>
        <w:rPr>
          <w:rFonts w:eastAsia="方正仿宋_GBK"/>
          <w:sz w:val="28"/>
        </w:rPr>
      </w:pPr>
      <w:r>
        <w:rPr>
          <w:rFonts w:hint="eastAsia" w:eastAsia="方正仿宋_GBK"/>
          <w:sz w:val="28"/>
        </w:rPr>
        <w:t>（一）与县卫生健康局有关职责分工。县发展改革局负责组织监测和评估人口变动情况及趋势影响，建立人口预警预报制度，开展重大决策人口影响评估，完善重大人口政策咨询机制，研究提出全县人口发展战略，拟订人口发展规划和人口政策，研究提出人口与经济、社会、资源、环境协调可持续发展，以及统筹促进人口长期均衡发展的政策建议。县卫生健康局负责开展人口监测预警工作，负责完善全县生育政策，研究提出与生育相关的人口数量、素质、结构、分布方面的政策建议，促进生育政策和相关经济社会政策配套衔接，参与制定人口发展规划和政策，落实全县人口发展规划中的有关任务。</w:t>
      </w:r>
    </w:p>
    <w:p>
      <w:pPr>
        <w:ind w:firstLine="640"/>
        <w:rPr>
          <w:rFonts w:eastAsia="方正仿宋_GBK"/>
          <w:sz w:val="28"/>
        </w:rPr>
      </w:pPr>
      <w:r>
        <w:rPr>
          <w:rFonts w:hint="eastAsia" w:eastAsia="方正仿宋_GBK"/>
          <w:sz w:val="28"/>
        </w:rPr>
        <w:t>（二）与县应急管理局的职责分工。县应急管理局负责提出救灾物资的储备需求和动用预案，组织编制救灾物资储备规划、品种目录和标准，确定年度购置计划，根据需要下达动员指示。县发展改革局(县粮食和物资储备局)负责收储、轮换和管理有关应急救灾物资，按程序及时做好调出、运送等工作。</w:t>
      </w:r>
    </w:p>
    <w:p>
      <w:pPr>
        <w:ind w:firstLine="640"/>
        <w:rPr>
          <w:rFonts w:eastAsia="方正仿宋_GBK"/>
          <w:sz w:val="28"/>
        </w:rPr>
      </w:pPr>
      <w:r>
        <w:rPr>
          <w:rFonts w:hint="eastAsia" w:eastAsia="方正仿宋_GBK"/>
          <w:sz w:val="28"/>
        </w:rPr>
        <w:t>（三）与县级储备粮承储企业的职责分工。县级储备粮承储企业落实县级储备粮计划，执行各项管理制度，对承储的县级储备粮数量、质量和储存安全负主体责任。县发展改革局（县粮食和物资储备局）负责对企业承储的县级储备粮管理情况实施监督检查。</w:t>
      </w:r>
    </w:p>
    <w:p>
      <w:pPr>
        <w:ind w:firstLine="640"/>
        <w:rPr>
          <w:rFonts w:eastAsia="方正仿宋_GBK"/>
          <w:sz w:val="28"/>
        </w:rPr>
      </w:pPr>
      <w:r>
        <w:rPr>
          <w:rFonts w:hint="eastAsia" w:eastAsia="方正仿宋_GBK"/>
          <w:sz w:val="28"/>
        </w:rPr>
        <w:t>内设机构</w:t>
      </w:r>
    </w:p>
    <w:p>
      <w:pPr>
        <w:ind w:firstLine="640"/>
        <w:rPr>
          <w:rFonts w:eastAsia="方正仿宋_GBK"/>
          <w:sz w:val="28"/>
        </w:rPr>
      </w:pPr>
      <w:r>
        <w:rPr>
          <w:rFonts w:hint="eastAsia" w:eastAsia="方正仿宋_GBK"/>
          <w:sz w:val="28"/>
        </w:rPr>
        <w:t xml:space="preserve">根据主要职责，宁晋县发展和改革局设9个内设机构： </w:t>
      </w:r>
    </w:p>
    <w:p>
      <w:pPr>
        <w:ind w:firstLine="640"/>
        <w:rPr>
          <w:rFonts w:eastAsia="方正仿宋_GBK"/>
          <w:sz w:val="28"/>
        </w:rPr>
      </w:pPr>
      <w:r>
        <w:rPr>
          <w:rFonts w:hint="eastAsia" w:eastAsia="方正仿宋_GBK"/>
          <w:sz w:val="28"/>
        </w:rPr>
        <w:t>（一）办公室。负责文电运转、会议组织、政务督办、保密机要、信访、档案管理、电子政务、安全保卫、新闻宣传等机关行政事务。承担建议提案的组织协调、政务信息、政务公开。负责机关财务和国有资产管理，组织内部审计，指导所属单位财务工作。负责机关和所属单位的干部人事管理、机构编制、教育培训、人才发展、劳动工资和绩效管理等工作。负责机关和所属单位的党群工作。负责机关离退休干部工作，指导所属单位离退休干部工作。</w:t>
      </w:r>
    </w:p>
    <w:p>
      <w:pPr>
        <w:ind w:firstLine="640"/>
        <w:rPr>
          <w:rFonts w:eastAsia="方正仿宋_GBK"/>
          <w:sz w:val="28"/>
        </w:rPr>
      </w:pPr>
      <w:r>
        <w:rPr>
          <w:rFonts w:hint="eastAsia" w:eastAsia="方正仿宋_GBK"/>
          <w:sz w:val="28"/>
        </w:rPr>
        <w:t xml:space="preserve">（二）政策法规和战略规划股。起草重要文件。组织开展经济社会发展、改革开放的重大问题研究。组织开展舆论引导和舆情监测等工作。研究提出全县重大发展战略、经济结构调整政策和重大生产力布局建议，组织拟订并实施县发展规划。承担统一规划体系建设工作，统筹衔接重大专项规划、区域规划、空间规划与发展规划，统筹规划目录清单、审批计划和备案管理。协调推进特色小镇创建培育工作。提出新型城镇化战略、规划和城乡融合发展政策建议。承担机关有关规范性文件的合法性审查工作。负责普法、行政执法协调监督和行政复议、行政应诉工作。组织有关法律和行政法规及规章执行情况的调查研究。推进全县优化营商环境工作。 </w:t>
      </w:r>
    </w:p>
    <w:p>
      <w:pPr>
        <w:ind w:firstLine="640"/>
        <w:rPr>
          <w:rFonts w:eastAsia="方正仿宋_GBK"/>
          <w:sz w:val="28"/>
        </w:rPr>
      </w:pPr>
      <w:r>
        <w:rPr>
          <w:rFonts w:hint="eastAsia" w:eastAsia="方正仿宋_GBK"/>
          <w:sz w:val="28"/>
        </w:rPr>
        <w:t>（三）国民经济综合股。组织拟订国民经济和社会发展年度计划，做好年度计划与五年发展规划的统筹衔接。监测分析全县经济形势和国内外经济发展变化，对宏观经济和社会发展进行预测。研究总量平衡，提出宏观调控目标和政策取向及调控建议，开展重大政策预研和预评估。提出建设现代化经济体系和推动高质量发展的政策建议。提出经济安全、资源安全相关政策建议。推进落实区域协调发展战略，组织拟订区域经济发展规划和政策。协调国土整治、开发利用和保护政策，参与制定土地政策，参与编制水资源平衡与节约规划、生态建设与环境整治规划。负责资源型城市转型与可持续发展工作。安排重点流域和区域环境综合整治项目。负责组织全县农业资源调查、监测评估。组织编制农业资源区划。指导农业资源优化配置。负责农业资源可持续发展和高效利用实验示范工作。综合管理农业遥感技术的利用。研究全县农村经济发展和改革重大问题，监测分析农村经济发展形势，提出农村经济发展战略和政策建议。组织编制农村经济发展、生态保护和建设、以工代赈工程建设中长期规划和年度计划，衔接平衡农业、林业、水利、气象、生态及有关农村基础设施等发展规划、计划和政策。牵头组织特重大自然灾害的灾后恢复重建规划编制，协调有关重大问题。落实建立健全生态补偿机制的政策措施。负责林业、水利、气象、农业科技、生态建设、以工代赈等方面相关建设项目的管理。提出财政性建设资金相关项目及投资计划安排意见和上级资金重大项目布局建议，并协调实施。提出生态安全相关政策建议。综合提出并协调实施社会发展战略、规划和政策。协调社会事业和产业发展政策及改革重大问题，提出相关县预算内基本建设资金安排建议。统筹推进基本公共服务体系建设。拟订人口发展和应对老龄化战略、规划及政策。提出促进就业、调整收入分配、完善社会保障与经济协调发展的战略、规划和政策建议，统筹推进收入分配制度改革及相关体制改革。提出并协调实施促进消费体制机制及扩大居民消费的相关政策措施。组织拟定全县国民经济动员规划、计划和有关政策。研究国民经济动员与经济建设、国防建设的关系。组织实施全县国民经济动员工作，协调实施国民经济平战转换能力建设。组织拟订推进全县经济建设与国防建设协调发展的战略和规划，组织推进经济建设项目贯彻国防要求。组织实施相关重大战略规划、重大政策、重大工程等评估督导工作，提出相关评估评价意见和改进措施建议。</w:t>
      </w:r>
    </w:p>
    <w:p>
      <w:pPr>
        <w:ind w:firstLine="640"/>
        <w:rPr>
          <w:rFonts w:eastAsia="方正仿宋_GBK"/>
          <w:sz w:val="28"/>
        </w:rPr>
      </w:pPr>
      <w:r>
        <w:rPr>
          <w:rFonts w:hint="eastAsia" w:eastAsia="方正仿宋_GBK"/>
          <w:sz w:val="28"/>
        </w:rPr>
        <w:t>（四）能源和资环股（县电力办公室）。拟订和组织实施绿色发展相关战略、规划和政策，推进实施可持续发展战略，承担生态文明建设和改革相关工作。拟订并协调实施能源资源节约和综合利用、循环经济政策规划，提出能源消费控制目标并组织实施。协调环保产业和清洁生产促进有关工作。组织协调重大节能示范工程和新产品、新技术、新装备的推广应用。指导墙体新材料革新、散装水泥推广和节能监察工作。监测研判经济运行态势并提出相关政策建议，协调经济运行中的重大问题。统筹协调煤、电、油、气及交通运输保障工作并组织应对有关重大突发性事件，提出安排相关应急物资储备和动用的建议。负责监测电力运行态势，电力年度供需平衡、资源配置和电力需求侧管理，有序用电、迎峰度夏(冬)电力保障工作。负责组织有序放开发用电计划、推进电力市场建设相关工作。负责电力行政执法工作。提出能源发展战略建议；拟订能源发展规划、年度计划和政策。负责能源综合业务和体制改革有关事宜，协调能源发展改革中的重大问题。起草有关能源行业的政策措施。参与研究能源消费总量控制目标建议，指导、监督能源消费总量控制有关工作；组织拟定能源市场发展规划和区域能源市场设置方案；监管能源市场运行；研究提出调整能源价格建议；监管油气管网设施的公平开放；规范能源市场秩序。负责指导能源行业节能和资源综合利用。组织实施石油、天然气等能源，以及炼油、煤制燃料和生物质液体燃料的产业政策和相关标准。提出相关发展布局及重大项目审核意见。负责相关固定资产投资管理。组织实施能源建设相关技术规范和标准。负责科技进步和装备事宜。指导、监督有关单位履行管道保护义务。</w:t>
      </w:r>
    </w:p>
    <w:p>
      <w:pPr>
        <w:ind w:firstLine="640"/>
        <w:rPr>
          <w:rFonts w:eastAsia="方正仿宋_GBK"/>
          <w:sz w:val="28"/>
        </w:rPr>
      </w:pPr>
      <w:r>
        <w:rPr>
          <w:rFonts w:hint="eastAsia" w:eastAsia="方正仿宋_GBK"/>
          <w:sz w:val="28"/>
        </w:rPr>
        <w:t>(五）固定资产投资股。提出深化投融资体制改革建议。起草固定资产投资管理有关政策措施。负责上级预算内补助资金的建设项目和县级预算内基本建设资金，编制下达固定资产投资计划。落实促进民间投资发展政策，按分工组织推广传统基础设施领域政府和社会资本合作。指导工程咨询业发展。指导管理政府投资代建制工作。参与制定管理与投资建设有关的标准定额。综合分析利用外资和境外投资状况，研究提出全县利用外资和境外投资战略、规划，拟订利用外资和境外投资年度计划。执行外商投资产业指导目录、外商投资准入负面清单。协调全县基础设施互联互通、产能和装备制造、能源资源等领域重大项目的国际合作。推进实施“一带一路”建设相关工作。指导推进和综合协调经济体制改革。研究全县经济体制改革重大问题，拟订并组织实施综合性经济体制改革方案及有关专项改革方案，协调推进要素市场化配置改革，组织实施市场准入负面清单制度。承担供给侧结构性改革相关工作。</w:t>
      </w:r>
    </w:p>
    <w:p>
      <w:pPr>
        <w:ind w:firstLine="640"/>
        <w:rPr>
          <w:rFonts w:eastAsia="方正仿宋_GBK"/>
          <w:sz w:val="28"/>
        </w:rPr>
      </w:pPr>
      <w:r>
        <w:rPr>
          <w:rFonts w:hint="eastAsia" w:eastAsia="方正仿宋_GBK"/>
          <w:sz w:val="28"/>
        </w:rPr>
        <w:t>（六）产业发展股。组织贯彻实施国家产业政策，研究拟定地方综合性产业政策。统筹衔接工业发展规划。研究拟订支持实体经济发展、加快发展先进制造业的政策措施，会同有关部门提出工业重大项目布局建议和相关产业重大工程并协调实施。协调重大技术装备推广应用，谋划推进主导产业重大结构调整项目和重大产业基地建设。统筹交通运输发展规划与国家、省、市、县发展规划的衔接平衡。综合分析交通运输运行状况，协调有关重大问题，提出统筹综合交通发展有关政策建议。提出重大基础设施布局建议并协调实施。负责申请民航发展基金投资补助。组织拟订推进创新创业和高技术产业发展的规划和政策。推进创新能力建设和新兴产业创业投资。会同有关方面提出重大科技基础设施规划布局建议。提出技术经济安全和培育经济发展新动能政策建议，推动技术创新和相关高新技术产业化，组织重大示范工程。统筹推进战略性新兴产业和数字经济、生物经济发展，会同有关方面推进大数据产业发展，衔接平衡信息化发展规划与全县发展规划。研究提出全县服务业发展战略、规划和重要政策措施，协调解决相关重大问题。监测研判外贸形势并提出政策建议。承担全县重要商品总量平衡和宏观调控相关工作。组织拟定重要农产品进出口计划并监督执行。组织实施粮食、棉花进出口计划。研究提出粮食、棉花、食盐等重要商品的总量计划，并会同有关部门管理相关县级储备。组织实施现代服务业创新发展项目，提出相关的县财政性建设资金安排建议。会同有关部门研究提出全县现代物流发展战略和总体规划。研究分析财政金融运行形势，参与研究提出我县贯彻上级财政、货币政策和财政金融体制改革的实施意见。研究财政金融政策与发展规划、产业和区域政策协调发展并提出相关建议。负责非上市公司发行企业(公司)债券审核申报工作。落实促进私募股权投资基金的政策措施，推进创业投资和产业投资基金发展与制度建设。组织建设项目政银企对接。按分工组织推广政府和社会资本合作相关工作。</w:t>
      </w:r>
    </w:p>
    <w:p>
      <w:pPr>
        <w:ind w:firstLine="640"/>
        <w:rPr>
          <w:rFonts w:eastAsia="方正仿宋_GBK"/>
          <w:sz w:val="28"/>
        </w:rPr>
      </w:pPr>
      <w:r>
        <w:rPr>
          <w:rFonts w:hint="eastAsia" w:eastAsia="方正仿宋_GBK"/>
          <w:sz w:val="28"/>
        </w:rPr>
        <w:t>（七）重点项目办公室。组织申报省、市重点项目；起草编制县重点项目建设计划；调度重点项目进度，协调解决存在的问题；参与并协调、督导重点项目前期工作；组织全县乡镇区项目建设年终考核工作；组织省、市、县项目观摩活动。负责全县经济技术交流，促进区域经济技术合作。承担对口支援工作。统计、分析全县经济技术合作情况。负责与重点大专院校、科研院所的合作工作。承担县校科技合作开发资金的审核、使用和监督工作。负责宁晋商会的沟通联络工作。负责县政府对外合作协议的归口审核（申报）和管理。承担县推进京津冀协同发展工作领导小组办公室的日常工作，负责协同发展协调服务工作。</w:t>
      </w:r>
    </w:p>
    <w:p>
      <w:pPr>
        <w:ind w:firstLine="640"/>
        <w:rPr>
          <w:rFonts w:eastAsia="方正仿宋_GBK"/>
          <w:sz w:val="28"/>
        </w:rPr>
      </w:pPr>
      <w:r>
        <w:rPr>
          <w:rFonts w:hint="eastAsia" w:eastAsia="方正仿宋_GBK"/>
          <w:sz w:val="28"/>
        </w:rPr>
        <w:t>（八）粮食和物资储备股。拟订全县粮油流通中长期规划及年度计划和粮油收支总量平衡计划。落实上级粮食购销政策。指导政策粮食供应。负责监测县内粮食供求变化并预测预警，承担粮食应急有关工作。牵头负责行业统计，具体负责粮食流通统计和粮食产业经济统计。承担粮食流通体制改革，组织起草粮食流通政策措施。落实粮食储备政策、规章制度。研究提出全县粮食储备体系建设及市场物资储备规模、品种目录的建议。负责实施县级粮食储备和县级食糖、食盐和救灾物资等物资储备的收储、轮换和日常管理，拟订县级粮食储备和物资储备管理办法并组织实施。负责粮食储备和物资储备工作。承担全县粮食储备统计工作。负责粮食流通和物资储备基础设施建设规划及项目管理。拟订县级粮食和物资储备的仓储管理规范和制度并组织实施。组织实施上级粮食流通和物资储备有关标准、粮食质量标准和有关技术规范并监督执行。指导粮食流通和物资储备的科技创新、技术改造。负责粮食流通、加工行业和粮食、食糖、食盐和救灾物资等物资承储企业安全生产的监督管理工作。承担基础设施建设、仓储和科技统计工作。对国家粮食流通和储备政策法规执行情况进行督查。拟订全县粮食流通执法督查制度并组织实施。依法配合上级对重大案件查处和督查督办。负责粮食流通的执法督查。负责对县级储备粮食、食糖、食盐和救灾物资等物资的执法督查。承担粮食安全责任制考核日常工作。</w:t>
      </w:r>
    </w:p>
    <w:p>
      <w:pPr>
        <w:ind w:firstLine="640"/>
        <w:rPr>
          <w:rFonts w:eastAsia="方正仿宋_GBK"/>
          <w:sz w:val="28"/>
        </w:rPr>
      </w:pPr>
      <w:r>
        <w:rPr>
          <w:rFonts w:hint="eastAsia" w:eastAsia="方正仿宋_GBK"/>
          <w:sz w:val="28"/>
        </w:rPr>
        <w:t>（九）价格调控股。拟订年度价格工作规划和综合性价格改革方案。研究提出年度价格总水平调控目标。监测分析研判全县价格形势和重要商品价格情况，提出价格调控政策建议。负责价格调控应急机制建设，依法实施临时价格干预和物价上涨联动机制等调控措施。负责重要农产品价格管理。负责水资源价格管理，研究提出城市供水、水利工程供水、污水处理等价格政策，推进农业水价综合改革。研究制定有关价格的重要政策文件。贯彻落实上级定价目录、价格听证目录和政府定价等行为规则，组织实施县级定价项目价格听证。负责研究制定全县重要商品及服务价格监测预警制度、价格监测报告制度并组织实施。负责执行上级重要商品和服务价格监测预警专项任务的报告制度，监视（测）生活必需品、小麦玉米等重要商品和服务价格变化，储备信息资源，为价格调控提供依据。健全价格监测分析预警网络，组织和协调全县重要商品和服务价格采集、分析、预警、发布和市场巡视工作。积极发挥政府信息对市场消费和市场预期的引导作用。负责全县政府定价能源价格管理工作。组织实施上级有关能源价格改革方案和政策措施。拟订全县天然气、热力等能源价格改革方案和政策措施，贯彻落实上级电力、成品油等能源价格改革方案和政策措施，研究制定有利于能源节约、产业结构调整和环境保护的价格调节政策。负责全县公用事业、公共服务和公共管理领域价格和收费管理，组织实施上级有关改革方案和政策措施。拟订和调整县政府管理的国家机关收费项目和标准。拟定并动态调整行政事业性收费标准目录清单和政府定价经营服务性收费目录清单。</w:t>
      </w:r>
    </w:p>
    <w:p>
      <w:pPr>
        <w:pStyle w:val="21"/>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4"/>
            </w:pPr>
            <w:r>
              <w:t>单位名称</w:t>
            </w:r>
          </w:p>
        </w:tc>
        <w:tc>
          <w:tcPr>
            <w:tcW w:w="1250" w:type="pct"/>
            <w:vAlign w:val="center"/>
          </w:tcPr>
          <w:p>
            <w:pPr>
              <w:pStyle w:val="14"/>
            </w:pPr>
            <w:r>
              <w:t>单位性质</w:t>
            </w:r>
          </w:p>
        </w:tc>
        <w:tc>
          <w:tcPr>
            <w:tcW w:w="1250" w:type="pct"/>
            <w:vAlign w:val="center"/>
          </w:tcPr>
          <w:p>
            <w:pPr>
              <w:pStyle w:val="14"/>
            </w:pPr>
            <w:r>
              <w:t>单位规格</w:t>
            </w:r>
          </w:p>
        </w:tc>
        <w:tc>
          <w:tcPr>
            <w:tcW w:w="1250" w:type="pct"/>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6"/>
              <w:rPr>
                <w:lang w:eastAsia="zh-CN"/>
              </w:rPr>
            </w:pPr>
            <w:r>
              <w:t>宁晋县发展和改革局</w:t>
            </w:r>
          </w:p>
        </w:tc>
        <w:tc>
          <w:tcPr>
            <w:tcW w:w="1250" w:type="pct"/>
            <w:vAlign w:val="center"/>
          </w:tcPr>
          <w:p>
            <w:pPr>
              <w:pStyle w:val="17"/>
            </w:pPr>
            <w:r>
              <w:t>行政</w:t>
            </w:r>
          </w:p>
        </w:tc>
        <w:tc>
          <w:tcPr>
            <w:tcW w:w="1250" w:type="pct"/>
            <w:vAlign w:val="center"/>
          </w:tcPr>
          <w:p>
            <w:pPr>
              <w:pStyle w:val="17"/>
            </w:pPr>
            <w:r>
              <w:t>正科级</w:t>
            </w:r>
          </w:p>
        </w:tc>
        <w:tc>
          <w:tcPr>
            <w:tcW w:w="1250" w:type="pct"/>
            <w:vAlign w:val="center"/>
          </w:tcPr>
          <w:p>
            <w:pPr>
              <w:pStyle w:val="17"/>
            </w:pPr>
            <w:r>
              <w:t>财政拨款</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pStyle w:val="22"/>
      </w:pPr>
      <w:r>
        <w:rPr>
          <w:rFonts w:hint="eastAsia"/>
          <w:lang w:eastAsia="zh-CN"/>
        </w:rPr>
        <w:t>、</w:t>
      </w:r>
      <w:r>
        <w:t>按照预算管理有关规定，目前我省部门预算的编制实行综合预算制度，即全部收入和支出都反映的预算中。</w:t>
      </w:r>
      <w:r>
        <w:rPr>
          <w:rFonts w:hint="eastAsia"/>
          <w:lang w:eastAsia="zh-CN"/>
        </w:rPr>
        <w:t>宁晋县发展和改革局机关及</w:t>
      </w:r>
      <w:r>
        <w:t>所属行政事业单位的收支包含在部门预算中。</w:t>
      </w:r>
    </w:p>
    <w:p>
      <w:pPr>
        <w:pStyle w:val="22"/>
      </w:pPr>
      <w:r>
        <w:t xml:space="preserve">1、收入说明 </w:t>
      </w:r>
    </w:p>
    <w:p>
      <w:pPr>
        <w:pStyle w:val="22"/>
      </w:pPr>
      <w:r>
        <w:rPr>
          <w:rFonts w:hint="eastAsia" w:ascii="宋体" w:hAnsi="宋体" w:cs="宋体"/>
          <w:sz w:val="32"/>
          <w:szCs w:val="32"/>
          <w:lang w:eastAsia="zh-CN"/>
        </w:rPr>
        <w:t>反映本部门当年全部收入</w:t>
      </w:r>
      <w:r>
        <w:rPr>
          <w:rFonts w:hint="eastAsia" w:ascii="宋体" w:hAnsi="宋体" w:cs="宋体"/>
          <w:sz w:val="32"/>
          <w:szCs w:val="32"/>
        </w:rPr>
        <w:t>，</w:t>
      </w:r>
      <w:r>
        <w:rPr>
          <w:rFonts w:ascii="宋体" w:hAnsi="宋体" w:cs="宋体"/>
          <w:sz w:val="32"/>
          <w:szCs w:val="32"/>
        </w:rPr>
        <w:t>20</w:t>
      </w:r>
      <w:r>
        <w:rPr>
          <w:rFonts w:hint="eastAsia" w:ascii="宋体" w:hAnsi="宋体" w:cs="宋体"/>
          <w:sz w:val="32"/>
          <w:szCs w:val="32"/>
        </w:rPr>
        <w:t>21</w:t>
      </w:r>
      <w:r>
        <w:rPr>
          <w:rFonts w:ascii="宋体" w:hAnsi="宋体" w:cs="宋体"/>
          <w:sz w:val="32"/>
          <w:szCs w:val="32"/>
        </w:rPr>
        <w:t>年部门预算总收入</w:t>
      </w:r>
      <w:r>
        <w:rPr>
          <w:rFonts w:hint="eastAsia" w:ascii="宋体" w:hAnsi="宋体" w:cs="宋体"/>
          <w:sz w:val="32"/>
          <w:szCs w:val="32"/>
        </w:rPr>
        <w:t>3251.6</w:t>
      </w:r>
      <w:r>
        <w:rPr>
          <w:rFonts w:hint="eastAsia" w:ascii="宋体" w:hAnsi="宋体" w:cs="宋体"/>
          <w:sz w:val="32"/>
          <w:szCs w:val="32"/>
          <w:lang w:eastAsia="zh-CN"/>
        </w:rPr>
        <w:t>0</w:t>
      </w:r>
      <w:r>
        <w:rPr>
          <w:rFonts w:ascii="宋体" w:hAnsi="宋体" w:cs="宋体"/>
          <w:sz w:val="32"/>
          <w:szCs w:val="32"/>
        </w:rPr>
        <w:t>万元，</w:t>
      </w:r>
      <w:r>
        <w:rPr>
          <w:rFonts w:hint="eastAsia"/>
          <w:lang w:eastAsia="zh-CN"/>
        </w:rPr>
        <w:t>其中：一般公共预算收入3251.60万元，政府性基金预算收入0万元，财政专户核拨收入0万元，其他来源收入0万元。</w:t>
      </w:r>
    </w:p>
    <w:p>
      <w:pPr>
        <w:pStyle w:val="22"/>
      </w:pPr>
      <w:r>
        <w:t xml:space="preserve">2、支出说明 </w:t>
      </w:r>
    </w:p>
    <w:p>
      <w:pPr>
        <w:pStyle w:val="22"/>
        <w:rPr>
          <w:lang w:eastAsia="zh-CN"/>
        </w:rPr>
      </w:pPr>
      <w:r>
        <w:t>收支预算总表支出栏、基本支出表、项目支出表按经济分类和支出功能分类科目编制，反映</w:t>
      </w:r>
      <w:r>
        <w:rPr>
          <w:rFonts w:hint="eastAsia"/>
          <w:lang w:eastAsia="zh-CN"/>
        </w:rPr>
        <w:t>宁晋县发展和改革局</w:t>
      </w:r>
      <w:r>
        <w:t>年度部门预算中支出预算的总体情况。202</w:t>
      </w:r>
      <w:r>
        <w:rPr>
          <w:rFonts w:hint="eastAsia"/>
          <w:lang w:eastAsia="zh-CN"/>
        </w:rPr>
        <w:t>1</w:t>
      </w:r>
      <w:r>
        <w:t>年部门预算总支出</w:t>
      </w:r>
      <w:r>
        <w:rPr>
          <w:rFonts w:hint="eastAsia" w:ascii="宋体" w:hAnsi="宋体" w:cs="宋体"/>
          <w:sz w:val="32"/>
          <w:szCs w:val="32"/>
        </w:rPr>
        <w:t>3251.6</w:t>
      </w:r>
      <w:r>
        <w:rPr>
          <w:rFonts w:hint="eastAsia" w:ascii="宋体" w:hAnsi="宋体" w:cs="宋体"/>
          <w:sz w:val="32"/>
          <w:szCs w:val="32"/>
          <w:lang w:eastAsia="zh-CN"/>
        </w:rPr>
        <w:t>0</w:t>
      </w:r>
      <w:r>
        <w:t>万元，其中基本支出</w:t>
      </w:r>
      <w:r>
        <w:rPr>
          <w:rFonts w:hint="eastAsia"/>
          <w:lang w:eastAsia="zh-CN"/>
        </w:rPr>
        <w:t>732.57</w:t>
      </w:r>
      <w:r>
        <w:t>万元，包括人员经费</w:t>
      </w:r>
      <w:r>
        <w:rPr>
          <w:rFonts w:hint="eastAsia"/>
          <w:lang w:eastAsia="zh-CN"/>
        </w:rPr>
        <w:t>657.43</w:t>
      </w:r>
      <w:r>
        <w:t>万元和日常公用经费</w:t>
      </w:r>
      <w:r>
        <w:rPr>
          <w:rFonts w:hint="eastAsia"/>
          <w:lang w:eastAsia="zh-CN"/>
        </w:rPr>
        <w:t>75.14</w:t>
      </w:r>
      <w:r>
        <w:t>万元；项目支出</w:t>
      </w:r>
      <w:r>
        <w:rPr>
          <w:rFonts w:hint="eastAsia"/>
          <w:lang w:eastAsia="zh-CN"/>
        </w:rPr>
        <w:t>2519.03</w:t>
      </w:r>
      <w:r>
        <w:t>万元，主要为：</w:t>
      </w:r>
      <w:r>
        <w:rPr>
          <w:rFonts w:hint="eastAsia"/>
          <w:lang w:eastAsia="zh-CN"/>
        </w:rPr>
        <w:t>2021年大气污染防治（节能与循环经济）-康伟科技环保（河北）有限公司（冀财建【2020】317号），优质粮食工程补助资金（喜和圣、玉锋），河北凤来仪酒业有限公司“工业设计平台项目”。</w:t>
      </w:r>
    </w:p>
    <w:p>
      <w:pPr>
        <w:pStyle w:val="22"/>
        <w:numPr>
          <w:ilvl w:val="0"/>
          <w:numId w:val="1"/>
        </w:numPr>
      </w:pPr>
      <w:r>
        <w:t>比上年增减情况</w:t>
      </w:r>
    </w:p>
    <w:p>
      <w:pPr>
        <w:pStyle w:val="22"/>
        <w:ind w:firstLineChars="200"/>
      </w:pPr>
      <w:r>
        <w:t>202</w:t>
      </w:r>
      <w:r>
        <w:rPr>
          <w:rFonts w:hint="eastAsia"/>
          <w:lang w:eastAsia="zh-CN"/>
        </w:rPr>
        <w:t>1</w:t>
      </w:r>
      <w:r>
        <w:t>年，部门预算收支安排</w:t>
      </w:r>
      <w:r>
        <w:rPr>
          <w:rFonts w:hint="eastAsia"/>
          <w:lang w:eastAsia="zh-CN"/>
        </w:rPr>
        <w:t>3251.60</w:t>
      </w:r>
      <w:r>
        <w:t>万元，较202</w:t>
      </w:r>
      <w:r>
        <w:rPr>
          <w:rFonts w:hint="eastAsia"/>
          <w:lang w:eastAsia="zh-CN"/>
        </w:rPr>
        <w:t>0</w:t>
      </w:r>
      <w:r>
        <w:t>年</w:t>
      </w:r>
      <w:r>
        <w:rPr>
          <w:rFonts w:hint="eastAsia"/>
          <w:lang w:eastAsia="zh-CN"/>
        </w:rPr>
        <w:t>减少681.31</w:t>
      </w:r>
      <w:r>
        <w:t>万元，其中：基本支出</w:t>
      </w:r>
      <w:r>
        <w:rPr>
          <w:rFonts w:hint="eastAsia"/>
          <w:lang w:eastAsia="zh-CN"/>
        </w:rPr>
        <w:t>增加18.06</w:t>
      </w:r>
      <w:r>
        <w:t>万元；项目支出</w:t>
      </w:r>
      <w:r>
        <w:rPr>
          <w:rFonts w:hint="eastAsia"/>
          <w:lang w:eastAsia="zh-CN"/>
        </w:rPr>
        <w:t>减少699.37</w:t>
      </w:r>
      <w:r>
        <w:t>万元，主要是</w:t>
      </w:r>
      <w:r>
        <w:rPr>
          <w:rFonts w:hint="eastAsia"/>
          <w:lang w:eastAsia="zh-CN"/>
        </w:rPr>
        <w:t>项目资金减少</w:t>
      </w:r>
      <w:r>
        <w:t>。</w:t>
      </w:r>
    </w:p>
    <w:p>
      <w:pPr>
        <w:pStyle w:val="22"/>
        <w:ind w:firstLine="0"/>
        <w:rPr>
          <w:lang w:eastAsia="zh-CN"/>
        </w:rPr>
      </w:pPr>
    </w:p>
    <w:p>
      <w:pPr>
        <w:spacing w:before="10" w:after="10" w:line="360" w:lineRule="auto"/>
        <w:ind w:firstLine="640"/>
        <w:outlineLvl w:val="2"/>
        <w:rPr>
          <w:rFonts w:ascii="黑体" w:hAnsi="黑体" w:eastAsia="黑体" w:cs="黑体"/>
          <w:color w:val="000000"/>
          <w:sz w:val="32"/>
        </w:rPr>
      </w:pPr>
      <w:bookmarkStart w:id="11" w:name="_Toc_3_3_0000000012"/>
    </w:p>
    <w:p>
      <w:pPr>
        <w:spacing w:before="10" w:after="10" w:line="360" w:lineRule="auto"/>
        <w:ind w:firstLine="640"/>
        <w:outlineLvl w:val="2"/>
      </w:pPr>
      <w:r>
        <w:rPr>
          <w:rFonts w:ascii="黑体" w:hAnsi="黑体" w:eastAsia="黑体" w:cs="黑体"/>
          <w:color w:val="000000"/>
          <w:sz w:val="32"/>
        </w:rPr>
        <w:t>三、机关运行经费安排情况</w:t>
      </w:r>
      <w:bookmarkEnd w:id="11"/>
    </w:p>
    <w:p>
      <w:pPr>
        <w:pStyle w:val="23"/>
      </w:pPr>
      <w:r>
        <w:t>202</w:t>
      </w:r>
      <w:r>
        <w:rPr>
          <w:rFonts w:hint="eastAsia"/>
          <w:lang w:eastAsia="zh-CN"/>
        </w:rPr>
        <w:t>1</w:t>
      </w:r>
      <w:r>
        <w:t>年日常公用经费共计安排</w:t>
      </w:r>
      <w:r>
        <w:rPr>
          <w:rFonts w:hint="eastAsia"/>
          <w:lang w:eastAsia="zh-CN"/>
        </w:rPr>
        <w:t>75.14</w:t>
      </w:r>
      <w:r>
        <w:t>万元，其中，主要用于保证机关正常运转的办公费</w:t>
      </w:r>
      <w:r>
        <w:rPr>
          <w:rFonts w:hint="eastAsia"/>
          <w:lang w:eastAsia="zh-CN"/>
        </w:rPr>
        <w:t>2.85</w:t>
      </w:r>
      <w:r>
        <w:t>万元、水费0.</w:t>
      </w:r>
      <w:r>
        <w:rPr>
          <w:rFonts w:hint="eastAsia"/>
          <w:lang w:eastAsia="zh-CN"/>
        </w:rPr>
        <w:t>29</w:t>
      </w:r>
      <w:r>
        <w:t>万元、电费</w:t>
      </w:r>
      <w:r>
        <w:rPr>
          <w:rFonts w:hint="eastAsia"/>
          <w:lang w:eastAsia="zh-CN"/>
        </w:rPr>
        <w:t>0.51</w:t>
      </w:r>
      <w:r>
        <w:t>、公务通讯补贴</w:t>
      </w:r>
      <w:r>
        <w:rPr>
          <w:rFonts w:hint="eastAsia"/>
          <w:lang w:eastAsia="zh-CN"/>
        </w:rPr>
        <w:t>14.70</w:t>
      </w:r>
      <w:r>
        <w:t>万元</w:t>
      </w:r>
      <w:r>
        <w:rPr>
          <w:rFonts w:hint="eastAsia"/>
          <w:lang w:eastAsia="zh-CN"/>
        </w:rPr>
        <w:t>、其他邮电费0.55万元、办公取暖费1.25万元、差旅费2.44万元、维修费0.34万元、会议费1.6万元、公务接待费0.28万元、工会经费4.47万元、福利费12.06万元、</w:t>
      </w:r>
      <w:r>
        <w:t>公务车运行维护费</w:t>
      </w:r>
      <w:r>
        <w:rPr>
          <w:rFonts w:hint="eastAsia"/>
          <w:lang w:eastAsia="zh-CN"/>
        </w:rPr>
        <w:t>3.5</w:t>
      </w:r>
      <w:r>
        <w:t>万元、车补</w:t>
      </w:r>
      <w:r>
        <w:rPr>
          <w:rFonts w:hint="eastAsia"/>
          <w:lang w:eastAsia="zh-CN"/>
        </w:rPr>
        <w:t>30.30</w:t>
      </w:r>
      <w:r>
        <w:t>万元。</w:t>
      </w:r>
    </w:p>
    <w:p>
      <w:pPr>
        <w:pStyle w:val="23"/>
      </w:pPr>
    </w:p>
    <w:p>
      <w:pPr>
        <w:spacing w:before="10" w:after="10" w:line="360" w:lineRule="auto"/>
        <w:ind w:firstLine="640"/>
        <w:outlineLvl w:val="2"/>
        <w:rPr>
          <w:rFonts w:ascii="黑体" w:hAnsi="黑体" w:eastAsia="黑体" w:cs="黑体"/>
          <w:color w:val="000000"/>
          <w:sz w:val="32"/>
        </w:rPr>
      </w:pPr>
      <w:bookmarkStart w:id="12" w:name="_Toc_3_3_0000000013"/>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pPr>
        <w:pStyle w:val="24"/>
      </w:pPr>
      <w:r>
        <w:t>财政拨款“三公”经费预算情况：</w:t>
      </w:r>
    </w:p>
    <w:p>
      <w:pPr>
        <w:pStyle w:val="24"/>
      </w:pPr>
    </w:p>
    <w:p>
      <w:pPr>
        <w:pStyle w:val="24"/>
        <w:rPr>
          <w:lang w:eastAsia="zh-CN"/>
        </w:rPr>
      </w:pPr>
      <w:r>
        <w:t>202</w:t>
      </w:r>
      <w:r>
        <w:rPr>
          <w:rFonts w:hint="eastAsia"/>
          <w:lang w:eastAsia="zh-CN"/>
        </w:rPr>
        <w:t>1</w:t>
      </w:r>
      <w:r>
        <w:t>年财政拨款“三公”经费预算</w:t>
      </w:r>
      <w:r>
        <w:rPr>
          <w:rFonts w:hint="eastAsia"/>
          <w:lang w:eastAsia="zh-CN"/>
        </w:rPr>
        <w:t>5.38</w:t>
      </w:r>
      <w:r>
        <w:t>万元，其中:因公出国（境）费0万元、公务用车购置及运行费</w:t>
      </w:r>
      <w:r>
        <w:rPr>
          <w:rFonts w:hint="eastAsia"/>
          <w:lang w:eastAsia="zh-CN"/>
        </w:rPr>
        <w:t>3.5</w:t>
      </w:r>
      <w:r>
        <w:t>万元、公务接待费0.</w:t>
      </w:r>
      <w:r>
        <w:rPr>
          <w:rFonts w:hint="eastAsia"/>
          <w:lang w:eastAsia="zh-CN"/>
        </w:rPr>
        <w:t>28</w:t>
      </w:r>
      <w:r>
        <w:t>万元、会议费1.</w:t>
      </w:r>
      <w:r>
        <w:rPr>
          <w:rFonts w:hint="eastAsia"/>
          <w:lang w:eastAsia="zh-CN"/>
        </w:rPr>
        <w:t>6</w:t>
      </w:r>
      <w:r>
        <w:t>万元，与20</w:t>
      </w:r>
      <w:r>
        <w:rPr>
          <w:rFonts w:hint="eastAsia"/>
          <w:lang w:eastAsia="zh-CN"/>
        </w:rPr>
        <w:t>20</w:t>
      </w:r>
      <w:r>
        <w:t>年预算数增加</w:t>
      </w:r>
      <w:r>
        <w:rPr>
          <w:rFonts w:hint="eastAsia"/>
          <w:lang w:eastAsia="zh-CN"/>
        </w:rPr>
        <w:t>1.07</w:t>
      </w:r>
      <w:r>
        <w:t>万元</w:t>
      </w:r>
      <w:r>
        <w:rPr>
          <w:rFonts w:hint="eastAsia"/>
          <w:lang w:eastAsia="zh-CN"/>
        </w:rPr>
        <w:t>，主要原因燃油费增加。</w:t>
      </w:r>
    </w:p>
    <w:p>
      <w:pPr>
        <w:spacing w:before="10" w:after="10" w:line="360" w:lineRule="auto"/>
        <w:ind w:firstLine="640"/>
        <w:outlineLvl w:val="2"/>
        <w:rPr>
          <w:rFonts w:ascii="黑体" w:hAnsi="黑体" w:eastAsia="黑体" w:cs="黑体"/>
          <w:color w:val="000000"/>
          <w:sz w:val="32"/>
        </w:rPr>
      </w:pPr>
      <w:bookmarkStart w:id="13" w:name="_Toc_3_3_0000000014"/>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rPr>
          <w:b/>
          <w:sz w:val="22"/>
          <w:szCs w:val="22"/>
        </w:rPr>
      </w:pPr>
      <w:r>
        <w:rPr>
          <w:rFonts w:ascii="方正楷体_GBK" w:hAnsi="方正楷体_GBK" w:eastAsia="方正楷体_GBK" w:cs="方正楷体_GBK"/>
          <w:b/>
          <w:color w:val="000000"/>
          <w:sz w:val="28"/>
          <w:szCs w:val="2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202</w:t>
      </w:r>
      <w:r>
        <w:rPr>
          <w:rFonts w:hint="eastAsia"/>
          <w:lang w:eastAsia="zh-CN"/>
        </w:rPr>
        <w:t>1</w:t>
      </w:r>
      <w:r>
        <w:t>年，紧紧围绕贯彻落实省和市发改委精神，编制年度国民经济和社会发展计划，做好项目建设工作，加大重大项目的谋划、争列和建设力度。做好节能降耗工作，完成省确定目标。加强洁净型煤配送体系建设，继续落实重点项目分包责任制。加大重点项目代办服务工作力度。千方百计争取上级资金和政策支持。破解影响企业和项目建设的制约难题。做好京津冀协同发展工作，做好央企服务工作，做好农业区划工作，做好服务业推进工作，做好产业协调、高新技术、战略性新兴产业、省级企业技术中心工作，抓好机关建设工作，切实做好项目审批、备案、核准工作。</w:t>
      </w:r>
    </w:p>
    <w:p>
      <w:pPr>
        <w:spacing w:line="500" w:lineRule="exact"/>
        <w:ind w:firstLine="560"/>
        <w:rPr>
          <w:rFonts w:eastAsia="方正仿宋_GBK" w:cs="Times New Roman"/>
          <w:color w:val="000000"/>
          <w:sz w:val="28"/>
        </w:rPr>
      </w:pPr>
    </w:p>
    <w:p>
      <w:pPr>
        <w:spacing w:line="500" w:lineRule="exact"/>
        <w:ind w:firstLine="560"/>
      </w:pPr>
      <w:r>
        <w:rPr>
          <w:rFonts w:eastAsia="方正仿宋_GBK" w:cs="Times New Roman"/>
          <w:color w:val="000000"/>
          <w:sz w:val="28"/>
        </w:rPr>
        <w:t>（二）分项绩效目标</w:t>
      </w:r>
    </w:p>
    <w:p>
      <w:pPr>
        <w:pStyle w:val="26"/>
      </w:pPr>
      <w:r>
        <w:t>1、组织编制经济社会发展规划和计划。组织拟订全县经济社会发展战略（中长期）规划、年度计划及重点领域、区域经济的规划；参与国民经济和社会发展有关地方性法规、规章的起草和组织实施。</w:t>
      </w:r>
    </w:p>
    <w:p>
      <w:pPr>
        <w:pStyle w:val="26"/>
      </w:pPr>
      <w:r>
        <w:t>2、推进经济体制改革，实施经济体制改革、对外开放有关地方性法规，以及对相关规章的起草和实施</w:t>
      </w:r>
    </w:p>
    <w:p>
      <w:pPr>
        <w:pStyle w:val="26"/>
      </w:pPr>
      <w:r>
        <w:t>3、经济和社会运行监测、调节与协调。综合协调和监测调节经济社会协调发展，实施重大调控政策，实施促进就业、调整收入分配、完善社会保障与经济协调发展的政策措施，推进社会公共服务均等化；实施产业政策；组织实施全县国民经济、装备动员。</w:t>
      </w:r>
    </w:p>
    <w:p>
      <w:pPr>
        <w:pStyle w:val="26"/>
      </w:pPr>
      <w:r>
        <w:t>4、促进全县区域经济发展。推进区域经济协调发展、加快城镇化、县域经济发展；负责区域经济合作统筹协调；推动沿海、京津冀两大区域发展。</w:t>
      </w:r>
    </w:p>
    <w:p>
      <w:pPr>
        <w:pStyle w:val="26"/>
      </w:pPr>
      <w:r>
        <w:t>5、推进全县产业结构调整和转型升级。实施综合性产业政策，负责协调全县第一、二、三产业发展的重大问题并衔接平衡相关发展规划和重大政策，推进经济结构战略性调整。按照经济和社会发展要求，引导产业升级和转型，支持重点领域和行业建设。</w:t>
      </w:r>
    </w:p>
    <w:p>
      <w:pPr>
        <w:pStyle w:val="26"/>
      </w:pPr>
      <w:r>
        <w:t>6、固定资产投资调控与管理。拟订社会固定资产投资规模和投资结构的调控目标、及措施，衔接政府投资和重大建设项目的专项规划；按规定权限审批、核准、审核重大建设项目，提出预算内基建建设项目安排建议；开展重点建设项目管理。</w:t>
      </w:r>
    </w:p>
    <w:p>
      <w:pPr>
        <w:pStyle w:val="26"/>
      </w:pPr>
      <w:r>
        <w:t xml:space="preserve">7、发展和改革政务管理。保障发展改革一般性日常业务开展和机关事务的基本运转。  </w:t>
      </w:r>
    </w:p>
    <w:p>
      <w:pPr>
        <w:pStyle w:val="26"/>
      </w:pPr>
    </w:p>
    <w:p>
      <w:pPr>
        <w:spacing w:line="500" w:lineRule="exact"/>
        <w:ind w:firstLine="560"/>
      </w:pPr>
      <w:r>
        <w:rPr>
          <w:rFonts w:eastAsia="方正仿宋_GBK" w:cs="Times New Roman"/>
          <w:color w:val="000000"/>
          <w:sz w:val="28"/>
        </w:rPr>
        <w:t>（三）工作保障措施</w:t>
      </w:r>
    </w:p>
    <w:p>
      <w:pPr>
        <w:pStyle w:val="27"/>
      </w:pPr>
      <w:r>
        <w:t>一</w:t>
      </w:r>
      <w:r>
        <w:rPr>
          <w:rFonts w:hint="eastAsia"/>
          <w:lang w:eastAsia="zh-CN"/>
        </w:rPr>
        <w:t>、</w:t>
      </w:r>
      <w:r>
        <w:t>是编制2021年年度国民经济和社会发展计划。</w:t>
      </w:r>
    </w:p>
    <w:p>
      <w:pPr>
        <w:pStyle w:val="27"/>
      </w:pPr>
      <w:r>
        <w:t>二</w:t>
      </w:r>
      <w:r>
        <w:rPr>
          <w:rFonts w:hint="eastAsia"/>
          <w:lang w:eastAsia="zh-CN"/>
        </w:rPr>
        <w:t>、</w:t>
      </w:r>
      <w:r>
        <w:t>是编制宁晋产业规划</w:t>
      </w:r>
      <w:r>
        <w:rPr>
          <w:rFonts w:hint="eastAsia" w:ascii="方正书宋_GBK" w:eastAsia="方正书宋_GBK"/>
          <w:sz w:val="32"/>
          <w:szCs w:val="32"/>
        </w:rPr>
        <w:t>及</w:t>
      </w:r>
      <w:r>
        <w:rPr>
          <w:rFonts w:hint="eastAsia" w:ascii="方正书宋_GBK" w:eastAsia="方正书宋_GBK"/>
          <w:sz w:val="32"/>
          <w:szCs w:val="32"/>
          <w:lang w:eastAsia="zh-CN"/>
        </w:rPr>
        <w:t>“十四五”规划</w:t>
      </w:r>
      <w:r>
        <w:t>。</w:t>
      </w:r>
    </w:p>
    <w:p>
      <w:pPr>
        <w:pStyle w:val="27"/>
      </w:pPr>
      <w:r>
        <w:t>三</w:t>
      </w:r>
      <w:r>
        <w:rPr>
          <w:rFonts w:hint="eastAsia"/>
          <w:lang w:eastAsia="zh-CN"/>
        </w:rPr>
        <w:t>、</w:t>
      </w:r>
      <w:r>
        <w:t>是做好项目建设工作，加大重大项目的谋划、争列和建设力度。</w:t>
      </w:r>
    </w:p>
    <w:p>
      <w:pPr>
        <w:pStyle w:val="27"/>
      </w:pPr>
      <w:r>
        <w:t>四</w:t>
      </w:r>
      <w:r>
        <w:rPr>
          <w:rFonts w:hint="eastAsia"/>
          <w:lang w:eastAsia="zh-CN"/>
        </w:rPr>
        <w:t>、</w:t>
      </w:r>
      <w:r>
        <w:t>是做好节能降耗工作，完成省确定的指标。</w:t>
      </w:r>
    </w:p>
    <w:p>
      <w:pPr>
        <w:pStyle w:val="27"/>
      </w:pPr>
      <w:r>
        <w:t>五</w:t>
      </w:r>
      <w:r>
        <w:rPr>
          <w:rFonts w:hint="eastAsia"/>
          <w:lang w:eastAsia="zh-CN"/>
        </w:rPr>
        <w:t>、</w:t>
      </w:r>
      <w:r>
        <w:t>是加强洁净型煤配送体系建设。</w:t>
      </w:r>
    </w:p>
    <w:p>
      <w:pPr>
        <w:pStyle w:val="27"/>
      </w:pPr>
      <w:r>
        <w:t>六</w:t>
      </w:r>
      <w:r>
        <w:rPr>
          <w:rFonts w:hint="eastAsia"/>
          <w:lang w:eastAsia="zh-CN"/>
        </w:rPr>
        <w:t>、</w:t>
      </w:r>
      <w:r>
        <w:t>是继续落实重点项目分包责任制工作。</w:t>
      </w:r>
    </w:p>
    <w:p>
      <w:pPr>
        <w:pStyle w:val="27"/>
      </w:pPr>
      <w:r>
        <w:t>七</w:t>
      </w:r>
      <w:r>
        <w:rPr>
          <w:rFonts w:hint="eastAsia"/>
          <w:lang w:eastAsia="zh-CN"/>
        </w:rPr>
        <w:t>、</w:t>
      </w:r>
      <w:r>
        <w:t>是做好重点企业（项目）服务工作。</w:t>
      </w:r>
    </w:p>
    <w:p>
      <w:pPr>
        <w:pStyle w:val="27"/>
      </w:pPr>
      <w:r>
        <w:t>八</w:t>
      </w:r>
      <w:r>
        <w:rPr>
          <w:rFonts w:hint="eastAsia"/>
          <w:lang w:eastAsia="zh-CN"/>
        </w:rPr>
        <w:t>、</w:t>
      </w:r>
      <w:r>
        <w:t xml:space="preserve">是千方百计争取上级资金和政策支持。    </w:t>
      </w:r>
    </w:p>
    <w:p>
      <w:pPr>
        <w:pStyle w:val="27"/>
      </w:pPr>
      <w:r>
        <w:t>九</w:t>
      </w:r>
      <w:r>
        <w:rPr>
          <w:rFonts w:hint="eastAsia"/>
          <w:lang w:eastAsia="zh-CN"/>
        </w:rPr>
        <w:t>、</w:t>
      </w:r>
      <w:r>
        <w:t>是做好京津冀协同发展工作。</w:t>
      </w:r>
    </w:p>
    <w:p>
      <w:pPr>
        <w:pStyle w:val="27"/>
      </w:pPr>
      <w:r>
        <w:t>十</w:t>
      </w:r>
      <w:r>
        <w:rPr>
          <w:rFonts w:hint="eastAsia"/>
          <w:lang w:eastAsia="zh-CN"/>
        </w:rPr>
        <w:t>、是</w:t>
      </w:r>
      <w:r>
        <w:t xml:space="preserve">做好服务业发展、央企服务工作。   </w:t>
      </w:r>
    </w:p>
    <w:p>
      <w:pPr>
        <w:pStyle w:val="27"/>
      </w:pPr>
      <w:r>
        <w:t>十一</w:t>
      </w:r>
      <w:r>
        <w:rPr>
          <w:rFonts w:hint="eastAsia"/>
          <w:lang w:eastAsia="zh-CN"/>
        </w:rPr>
        <w:t>、是</w:t>
      </w:r>
      <w:r>
        <w:t>做好服务业推进工作。</w:t>
      </w:r>
    </w:p>
    <w:p>
      <w:pPr>
        <w:pStyle w:val="27"/>
      </w:pPr>
      <w:r>
        <w:t>十二</w:t>
      </w:r>
      <w:r>
        <w:rPr>
          <w:rFonts w:hint="eastAsia"/>
          <w:lang w:eastAsia="zh-CN"/>
        </w:rPr>
        <w:t>、是</w:t>
      </w:r>
      <w:r>
        <w:t xml:space="preserve">做好产业协调、高新技术、战略性新兴产业、省级企业技术中心等工作。    </w:t>
      </w:r>
    </w:p>
    <w:p>
      <w:pPr>
        <w:pStyle w:val="27"/>
      </w:pPr>
      <w:r>
        <w:t>十三</w:t>
      </w:r>
      <w:r>
        <w:rPr>
          <w:rFonts w:hint="eastAsia"/>
          <w:lang w:eastAsia="zh-CN"/>
        </w:rPr>
        <w:t>、是</w:t>
      </w:r>
      <w:r>
        <w:t>抓好机关建设工作。</w:t>
      </w:r>
    </w:p>
    <w:p>
      <w:pPr>
        <w:pStyle w:val="27"/>
      </w:pPr>
      <w:r>
        <w:t>十四</w:t>
      </w:r>
      <w:r>
        <w:rPr>
          <w:rFonts w:hint="eastAsia"/>
          <w:lang w:eastAsia="zh-CN"/>
        </w:rPr>
        <w:t>、</w:t>
      </w:r>
      <w:r>
        <w:t xml:space="preserve">是做好固定资产投资工作。 </w:t>
      </w:r>
    </w:p>
    <w:p>
      <w:pPr>
        <w:pStyle w:val="27"/>
      </w:pPr>
      <w:r>
        <w:t>十五</w:t>
      </w:r>
      <w:r>
        <w:rPr>
          <w:rFonts w:hint="eastAsia"/>
          <w:lang w:eastAsia="zh-CN"/>
        </w:rPr>
        <w:t>、</w:t>
      </w:r>
      <w:r>
        <w:t>是做好粮食流通监督检查工作及政策性粮食监管。</w:t>
      </w:r>
    </w:p>
    <w:p>
      <w:pPr>
        <w:pStyle w:val="27"/>
      </w:pPr>
      <w:r>
        <w:t>十六</w:t>
      </w:r>
      <w:r>
        <w:rPr>
          <w:rFonts w:hint="eastAsia"/>
          <w:lang w:eastAsia="zh-CN"/>
        </w:rPr>
        <w:t>、</w:t>
      </w:r>
      <w:r>
        <w:t>是做好市场价格监测、价格成本调查工作；做好收费管理，开展行政事业性收费和涉企行政事业性收费及政府定价经营服务性收费标准目录的编制；加强成本监审和价格管理工作。</w:t>
      </w:r>
    </w:p>
    <w:p>
      <w:pPr>
        <w:pStyle w:val="27"/>
      </w:pPr>
      <w:r>
        <w:t>十七</w:t>
      </w:r>
      <w:r>
        <w:rPr>
          <w:rFonts w:hint="eastAsia"/>
          <w:lang w:eastAsia="zh-CN"/>
        </w:rPr>
        <w:t>、是</w:t>
      </w:r>
      <w:r>
        <w:t>开展价格认定工作。</w:t>
      </w:r>
    </w:p>
    <w:p>
      <w:pPr>
        <w:pStyle w:val="27"/>
      </w:pPr>
    </w:p>
    <w:p>
      <w:pPr>
        <w:ind w:firstLine="640"/>
        <w:rPr>
          <w:rFonts w:ascii="方正楷体_GBK" w:hAnsi="方正楷体_GBK" w:eastAsia="方正楷体_GBK" w:cs="方正楷体_GBK"/>
          <w:b/>
          <w:color w:val="000000"/>
          <w:sz w:val="32"/>
        </w:rPr>
      </w:pPr>
    </w:p>
    <w:p>
      <w:pPr>
        <w:ind w:firstLine="640"/>
        <w:rPr>
          <w:b/>
          <w:sz w:val="22"/>
          <w:szCs w:val="22"/>
        </w:rPr>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28"/>
          <w:szCs w:val="22"/>
        </w:rPr>
        <w:t>第二部分  专项资金绩效目标</w:t>
      </w: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sz w:val="22"/>
          <w:szCs w:val="22"/>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28"/>
          <w:szCs w:val="22"/>
        </w:rPr>
        <w:t>第三部分  预算项目绩效目标</w:t>
      </w: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《宁晋县生物经济发展“十四五”规划》编制</w:t>
      </w:r>
      <w:r>
        <w:rPr>
          <w:rFonts w:ascii="方正仿宋_GBK" w:hAnsi="方正仿宋_GBK" w:eastAsia="方正仿宋_GBK" w:cs="方正仿宋_GBK"/>
          <w:b/>
          <w:color w:val="000000"/>
          <w:sz w:val="28"/>
        </w:rPr>
        <w:t>绩效目标表</w:t>
      </w:r>
    </w:p>
    <w:tbl>
      <w:tblPr>
        <w:tblStyle w:val="8"/>
        <w:tblW w:w="13895" w:type="dxa"/>
        <w:tblInd w:w="392" w:type="dxa"/>
        <w:tblLayout w:type="autofit"/>
        <w:tblCellMar>
          <w:top w:w="0" w:type="dxa"/>
          <w:left w:w="108" w:type="dxa"/>
          <w:bottom w:w="0" w:type="dxa"/>
          <w:right w:w="108" w:type="dxa"/>
        </w:tblCellMar>
      </w:tblPr>
      <w:tblGrid>
        <w:gridCol w:w="1134"/>
        <w:gridCol w:w="1287"/>
        <w:gridCol w:w="1945"/>
        <w:gridCol w:w="2721"/>
        <w:gridCol w:w="709"/>
        <w:gridCol w:w="567"/>
        <w:gridCol w:w="3254"/>
        <w:gridCol w:w="2278"/>
      </w:tblGrid>
      <w:tr>
        <w:tblPrEx>
          <w:tblCellMar>
            <w:top w:w="0" w:type="dxa"/>
            <w:left w:w="108" w:type="dxa"/>
            <w:bottom w:w="0" w:type="dxa"/>
            <w:right w:w="108" w:type="dxa"/>
          </w:tblCellMar>
        </w:tblPrEx>
        <w:trPr>
          <w:trHeight w:val="330" w:hRule="atLeast"/>
        </w:trPr>
        <w:tc>
          <w:tcPr>
            <w:tcW w:w="1134" w:type="dxa"/>
            <w:tcBorders>
              <w:top w:val="single" w:color="auto" w:sz="4" w:space="0"/>
              <w:left w:val="single" w:color="auto" w:sz="4" w:space="0"/>
              <w:bottom w:val="single" w:color="auto" w:sz="4" w:space="0"/>
              <w:right w:val="single" w:color="auto" w:sz="4" w:space="0"/>
            </w:tcBorders>
            <w:shd w:val="clear" w:color="auto" w:fill="auto"/>
            <w:noWrap/>
          </w:tcPr>
          <w:p>
            <w:pPr>
              <w:rPr>
                <w:rFonts w:ascii="宋体" w:hAnsi="宋体" w:eastAsia="宋体" w:cs="宋体"/>
                <w:color w:val="000000"/>
                <w:sz w:val="20"/>
                <w:szCs w:val="18"/>
                <w:lang w:eastAsia="zh-CN"/>
              </w:rPr>
            </w:pPr>
            <w:r>
              <w:rPr>
                <w:rFonts w:hint="eastAsia" w:ascii="宋体" w:hAnsi="宋体" w:eastAsia="宋体" w:cs="宋体"/>
                <w:color w:val="000000"/>
                <w:sz w:val="20"/>
                <w:szCs w:val="18"/>
                <w:lang w:eastAsia="zh-CN"/>
              </w:rPr>
              <w:t>绩效目标</w:t>
            </w:r>
          </w:p>
        </w:tc>
        <w:tc>
          <w:tcPr>
            <w:tcW w:w="1287" w:type="dxa"/>
            <w:tcBorders>
              <w:top w:val="single" w:color="auto" w:sz="4" w:space="0"/>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目标1</w:t>
            </w:r>
          </w:p>
        </w:tc>
        <w:tc>
          <w:tcPr>
            <w:tcW w:w="11474" w:type="dxa"/>
            <w:gridSpan w:val="6"/>
            <w:tcBorders>
              <w:top w:val="single" w:color="auto" w:sz="4" w:space="0"/>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目标内容1</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一级指标</w:t>
            </w:r>
          </w:p>
        </w:tc>
        <w:tc>
          <w:tcPr>
            <w:tcW w:w="1287"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二级指标</w:t>
            </w:r>
          </w:p>
        </w:tc>
        <w:tc>
          <w:tcPr>
            <w:tcW w:w="1945"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三级指标</w:t>
            </w:r>
          </w:p>
        </w:tc>
        <w:tc>
          <w:tcPr>
            <w:tcW w:w="2721"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指标说明</w:t>
            </w:r>
          </w:p>
        </w:tc>
        <w:tc>
          <w:tcPr>
            <w:tcW w:w="4530" w:type="dxa"/>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指标值</w:t>
            </w:r>
          </w:p>
        </w:tc>
        <w:tc>
          <w:tcPr>
            <w:tcW w:w="2278" w:type="dxa"/>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指标确定依据</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945"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2721"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709"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符号</w:t>
            </w:r>
          </w:p>
        </w:tc>
        <w:tc>
          <w:tcPr>
            <w:tcW w:w="567"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值</w:t>
            </w:r>
          </w:p>
        </w:tc>
        <w:tc>
          <w:tcPr>
            <w:tcW w:w="3254"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单位（文字描述）</w:t>
            </w:r>
          </w:p>
        </w:tc>
        <w:tc>
          <w:tcPr>
            <w:tcW w:w="2278" w:type="dxa"/>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产出指标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数量指标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质量指标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时效指标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效益指标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经济效益指标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社会效益指标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生态效益指标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90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满意度指标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sz w:val="28"/>
        </w:rPr>
        <w:t>2、</w:t>
      </w:r>
      <w:r>
        <w:rPr>
          <w:rFonts w:hint="eastAsia" w:ascii="方正仿宋_GBK" w:hAnsi="方正仿宋_GBK" w:eastAsia="方正仿宋_GBK" w:cs="方正仿宋_GBK"/>
          <w:b/>
          <w:sz w:val="28"/>
        </w:rPr>
        <w:t>财经委员会办公室办公经费</w:t>
      </w:r>
      <w:r>
        <w:rPr>
          <w:rFonts w:ascii="方正仿宋_GBK" w:hAnsi="方正仿宋_GBK" w:eastAsia="方正仿宋_GBK" w:cs="方正仿宋_GBK"/>
          <w:b/>
          <w:sz w:val="28"/>
        </w:rPr>
        <w:t>绩效目标表</w:t>
      </w:r>
    </w:p>
    <w:tbl>
      <w:tblPr>
        <w:tblStyle w:val="8"/>
        <w:tblW w:w="13895" w:type="dxa"/>
        <w:tblInd w:w="392" w:type="dxa"/>
        <w:tblLayout w:type="autofit"/>
        <w:tblCellMar>
          <w:top w:w="0" w:type="dxa"/>
          <w:left w:w="108" w:type="dxa"/>
          <w:bottom w:w="0" w:type="dxa"/>
          <w:right w:w="108" w:type="dxa"/>
        </w:tblCellMar>
      </w:tblPr>
      <w:tblGrid>
        <w:gridCol w:w="1134"/>
        <w:gridCol w:w="1287"/>
        <w:gridCol w:w="1945"/>
        <w:gridCol w:w="2721"/>
        <w:gridCol w:w="709"/>
        <w:gridCol w:w="567"/>
        <w:gridCol w:w="3254"/>
        <w:gridCol w:w="2278"/>
      </w:tblGrid>
      <w:tr>
        <w:tblPrEx>
          <w:tblCellMar>
            <w:top w:w="0" w:type="dxa"/>
            <w:left w:w="108" w:type="dxa"/>
            <w:bottom w:w="0" w:type="dxa"/>
            <w:right w:w="108" w:type="dxa"/>
          </w:tblCellMar>
        </w:tblPrEx>
        <w:trPr>
          <w:trHeight w:val="330" w:hRule="atLeast"/>
        </w:trPr>
        <w:tc>
          <w:tcPr>
            <w:tcW w:w="1134" w:type="dxa"/>
            <w:tcBorders>
              <w:top w:val="single" w:color="auto" w:sz="4" w:space="0"/>
              <w:left w:val="single" w:color="auto" w:sz="4" w:space="0"/>
              <w:bottom w:val="single" w:color="auto" w:sz="4" w:space="0"/>
              <w:right w:val="single" w:color="auto" w:sz="4" w:space="0"/>
            </w:tcBorders>
            <w:shd w:val="clear" w:color="auto" w:fill="auto"/>
            <w:noWrap/>
          </w:tcPr>
          <w:p>
            <w:pPr>
              <w:rPr>
                <w:rFonts w:ascii="宋体" w:hAnsi="宋体" w:eastAsia="宋体" w:cs="宋体"/>
                <w:color w:val="000000"/>
                <w:sz w:val="20"/>
                <w:szCs w:val="18"/>
                <w:lang w:eastAsia="zh-CN"/>
              </w:rPr>
            </w:pPr>
            <w:r>
              <w:rPr>
                <w:rFonts w:hint="eastAsia" w:ascii="宋体" w:hAnsi="宋体" w:eastAsia="宋体" w:cs="宋体"/>
                <w:color w:val="000000"/>
                <w:sz w:val="20"/>
                <w:szCs w:val="18"/>
                <w:lang w:eastAsia="zh-CN"/>
              </w:rPr>
              <w:t>绩效目标</w:t>
            </w:r>
          </w:p>
        </w:tc>
        <w:tc>
          <w:tcPr>
            <w:tcW w:w="1287" w:type="dxa"/>
            <w:tcBorders>
              <w:top w:val="single" w:color="auto" w:sz="4" w:space="0"/>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目标1</w:t>
            </w:r>
          </w:p>
        </w:tc>
        <w:tc>
          <w:tcPr>
            <w:tcW w:w="11474" w:type="dxa"/>
            <w:gridSpan w:val="6"/>
            <w:tcBorders>
              <w:top w:val="single" w:color="auto" w:sz="4" w:space="0"/>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目标内容1</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一级指标</w:t>
            </w:r>
          </w:p>
        </w:tc>
        <w:tc>
          <w:tcPr>
            <w:tcW w:w="1287"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二级指标</w:t>
            </w:r>
          </w:p>
        </w:tc>
        <w:tc>
          <w:tcPr>
            <w:tcW w:w="1945"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三级指标</w:t>
            </w:r>
          </w:p>
        </w:tc>
        <w:tc>
          <w:tcPr>
            <w:tcW w:w="2721"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指标说明</w:t>
            </w:r>
          </w:p>
        </w:tc>
        <w:tc>
          <w:tcPr>
            <w:tcW w:w="4530" w:type="dxa"/>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指标值</w:t>
            </w:r>
          </w:p>
        </w:tc>
        <w:tc>
          <w:tcPr>
            <w:tcW w:w="2278" w:type="dxa"/>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指标确定依据</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945"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2721"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709"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符号</w:t>
            </w:r>
          </w:p>
        </w:tc>
        <w:tc>
          <w:tcPr>
            <w:tcW w:w="567"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值</w:t>
            </w:r>
          </w:p>
        </w:tc>
        <w:tc>
          <w:tcPr>
            <w:tcW w:w="3254"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单位（文字描述）</w:t>
            </w:r>
          </w:p>
        </w:tc>
        <w:tc>
          <w:tcPr>
            <w:tcW w:w="2278" w:type="dxa"/>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产出指标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数量指标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质量指标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时效指标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效益指标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经济效益指标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社会效益指标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生态效益指标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90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满意度指标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r>
    </w:tbl>
    <w:p/>
    <w:p/>
    <w:p/>
    <w:p>
      <w:pPr>
        <w:ind w:firstLine="1200" w:firstLineChars="500"/>
        <w:rPr>
          <w:rFonts w:eastAsia="宋体"/>
          <w:lang w:eastAsia="zh-CN"/>
        </w:r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eastAsia="zh-CN"/>
        </w:rPr>
        <w:t>“十四五”规划编制剩余资金</w:t>
      </w:r>
      <w:r>
        <w:rPr>
          <w:rFonts w:ascii="方正仿宋_GBK" w:hAnsi="方正仿宋_GBK" w:eastAsia="方正仿宋_GBK" w:cs="方正仿宋_GBK"/>
          <w:b/>
          <w:color w:val="000000"/>
          <w:sz w:val="28"/>
        </w:rPr>
        <w:t>绩效目标表</w:t>
      </w:r>
    </w:p>
    <w:tbl>
      <w:tblPr>
        <w:tblStyle w:val="8"/>
        <w:tblW w:w="13895" w:type="dxa"/>
        <w:tblInd w:w="392" w:type="dxa"/>
        <w:tblLayout w:type="autofit"/>
        <w:tblCellMar>
          <w:top w:w="0" w:type="dxa"/>
          <w:left w:w="108" w:type="dxa"/>
          <w:bottom w:w="0" w:type="dxa"/>
          <w:right w:w="108" w:type="dxa"/>
        </w:tblCellMar>
      </w:tblPr>
      <w:tblGrid>
        <w:gridCol w:w="1134"/>
        <w:gridCol w:w="1287"/>
        <w:gridCol w:w="1945"/>
        <w:gridCol w:w="2721"/>
        <w:gridCol w:w="709"/>
        <w:gridCol w:w="567"/>
        <w:gridCol w:w="3254"/>
        <w:gridCol w:w="2278"/>
      </w:tblGrid>
      <w:tr>
        <w:tblPrEx>
          <w:tblCellMar>
            <w:top w:w="0" w:type="dxa"/>
            <w:left w:w="108" w:type="dxa"/>
            <w:bottom w:w="0" w:type="dxa"/>
            <w:right w:w="108" w:type="dxa"/>
          </w:tblCellMar>
        </w:tblPrEx>
        <w:trPr>
          <w:trHeight w:val="330" w:hRule="atLeast"/>
        </w:trPr>
        <w:tc>
          <w:tcPr>
            <w:tcW w:w="1134" w:type="dxa"/>
            <w:tcBorders>
              <w:top w:val="single" w:color="auto" w:sz="4" w:space="0"/>
              <w:left w:val="single" w:color="auto" w:sz="4" w:space="0"/>
              <w:bottom w:val="single" w:color="auto" w:sz="4" w:space="0"/>
              <w:right w:val="single" w:color="auto" w:sz="4" w:space="0"/>
            </w:tcBorders>
            <w:shd w:val="clear" w:color="auto" w:fill="auto"/>
            <w:noWrap/>
          </w:tcPr>
          <w:p>
            <w:pPr>
              <w:rPr>
                <w:rFonts w:ascii="宋体" w:hAnsi="宋体" w:eastAsia="宋体" w:cs="宋体"/>
                <w:color w:val="000000"/>
                <w:sz w:val="20"/>
                <w:szCs w:val="18"/>
                <w:lang w:eastAsia="zh-CN"/>
              </w:rPr>
            </w:pPr>
            <w:r>
              <w:rPr>
                <w:rFonts w:hint="eastAsia" w:ascii="宋体" w:hAnsi="宋体" w:eastAsia="宋体" w:cs="宋体"/>
                <w:color w:val="000000"/>
                <w:sz w:val="20"/>
                <w:szCs w:val="18"/>
                <w:lang w:eastAsia="zh-CN"/>
              </w:rPr>
              <w:t>绩效目标</w:t>
            </w:r>
          </w:p>
        </w:tc>
        <w:tc>
          <w:tcPr>
            <w:tcW w:w="1287" w:type="dxa"/>
            <w:tcBorders>
              <w:top w:val="single" w:color="auto" w:sz="4" w:space="0"/>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目标1</w:t>
            </w:r>
          </w:p>
        </w:tc>
        <w:tc>
          <w:tcPr>
            <w:tcW w:w="11474" w:type="dxa"/>
            <w:gridSpan w:val="6"/>
            <w:tcBorders>
              <w:top w:val="single" w:color="auto" w:sz="4" w:space="0"/>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目标内容1</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一级指标</w:t>
            </w:r>
          </w:p>
        </w:tc>
        <w:tc>
          <w:tcPr>
            <w:tcW w:w="1287"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二级指标</w:t>
            </w:r>
          </w:p>
        </w:tc>
        <w:tc>
          <w:tcPr>
            <w:tcW w:w="1945"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三级指标</w:t>
            </w:r>
          </w:p>
        </w:tc>
        <w:tc>
          <w:tcPr>
            <w:tcW w:w="2721"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指标说明</w:t>
            </w:r>
          </w:p>
        </w:tc>
        <w:tc>
          <w:tcPr>
            <w:tcW w:w="4530" w:type="dxa"/>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指标值</w:t>
            </w:r>
          </w:p>
        </w:tc>
        <w:tc>
          <w:tcPr>
            <w:tcW w:w="2278" w:type="dxa"/>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指标确定依据</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945"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2721"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709"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符号</w:t>
            </w:r>
          </w:p>
        </w:tc>
        <w:tc>
          <w:tcPr>
            <w:tcW w:w="567"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值</w:t>
            </w:r>
          </w:p>
        </w:tc>
        <w:tc>
          <w:tcPr>
            <w:tcW w:w="3254"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单位（文字描述）</w:t>
            </w:r>
          </w:p>
        </w:tc>
        <w:tc>
          <w:tcPr>
            <w:tcW w:w="2278" w:type="dxa"/>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产出指标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数量指标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质量指标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时效指标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效益指标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经济效益指标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社会效益指标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生态效益指标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90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满意度指标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r>
    </w:tbl>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eastAsia="zh-CN"/>
        </w:rPr>
        <w:t>价格认证</w:t>
      </w:r>
      <w:r>
        <w:rPr>
          <w:rFonts w:ascii="方正仿宋_GBK" w:hAnsi="方正仿宋_GBK" w:eastAsia="方正仿宋_GBK" w:cs="方正仿宋_GBK"/>
          <w:b/>
          <w:color w:val="000000"/>
          <w:sz w:val="28"/>
        </w:rPr>
        <w:t>人员</w:t>
      </w:r>
      <w:r>
        <w:rPr>
          <w:rFonts w:hint="eastAsia" w:ascii="方正仿宋_GBK" w:hAnsi="方正仿宋_GBK" w:eastAsia="方正仿宋_GBK" w:cs="方正仿宋_GBK"/>
          <w:b/>
          <w:color w:val="000000"/>
          <w:sz w:val="28"/>
          <w:lang w:eastAsia="zh-CN"/>
        </w:rPr>
        <w:t>费用</w:t>
      </w:r>
      <w:r>
        <w:rPr>
          <w:rFonts w:ascii="方正仿宋_GBK" w:hAnsi="方正仿宋_GBK" w:eastAsia="方正仿宋_GBK" w:cs="方正仿宋_GBK"/>
          <w:b/>
          <w:color w:val="000000"/>
          <w:sz w:val="28"/>
        </w:rPr>
        <w:t>绩效目标表</w:t>
      </w:r>
    </w:p>
    <w:tbl>
      <w:tblPr>
        <w:tblStyle w:val="8"/>
        <w:tblW w:w="13895" w:type="dxa"/>
        <w:tblInd w:w="392" w:type="dxa"/>
        <w:tblLayout w:type="autofit"/>
        <w:tblCellMar>
          <w:top w:w="0" w:type="dxa"/>
          <w:left w:w="108" w:type="dxa"/>
          <w:bottom w:w="0" w:type="dxa"/>
          <w:right w:w="108" w:type="dxa"/>
        </w:tblCellMar>
      </w:tblPr>
      <w:tblGrid>
        <w:gridCol w:w="1134"/>
        <w:gridCol w:w="1287"/>
        <w:gridCol w:w="1945"/>
        <w:gridCol w:w="2721"/>
        <w:gridCol w:w="709"/>
        <w:gridCol w:w="567"/>
        <w:gridCol w:w="3254"/>
        <w:gridCol w:w="2278"/>
      </w:tblGrid>
      <w:tr>
        <w:tblPrEx>
          <w:tblCellMar>
            <w:top w:w="0" w:type="dxa"/>
            <w:left w:w="108" w:type="dxa"/>
            <w:bottom w:w="0" w:type="dxa"/>
            <w:right w:w="108" w:type="dxa"/>
          </w:tblCellMar>
        </w:tblPrEx>
        <w:trPr>
          <w:trHeight w:val="330" w:hRule="atLeast"/>
        </w:trPr>
        <w:tc>
          <w:tcPr>
            <w:tcW w:w="1134" w:type="dxa"/>
            <w:tcBorders>
              <w:top w:val="single" w:color="auto" w:sz="4" w:space="0"/>
              <w:left w:val="single" w:color="auto" w:sz="4" w:space="0"/>
              <w:bottom w:val="single" w:color="auto" w:sz="4" w:space="0"/>
              <w:right w:val="single" w:color="auto" w:sz="4" w:space="0"/>
            </w:tcBorders>
            <w:shd w:val="clear" w:color="auto" w:fill="auto"/>
            <w:noWrap/>
          </w:tcPr>
          <w:p>
            <w:pPr>
              <w:rPr>
                <w:rFonts w:ascii="宋体" w:hAnsi="宋体" w:eastAsia="宋体" w:cs="宋体"/>
                <w:color w:val="000000"/>
                <w:sz w:val="20"/>
                <w:szCs w:val="18"/>
                <w:lang w:eastAsia="zh-CN"/>
              </w:rPr>
            </w:pPr>
            <w:r>
              <w:rPr>
                <w:rFonts w:hint="eastAsia" w:ascii="宋体" w:hAnsi="宋体" w:eastAsia="宋体" w:cs="宋体"/>
                <w:color w:val="000000"/>
                <w:sz w:val="20"/>
                <w:szCs w:val="18"/>
                <w:lang w:eastAsia="zh-CN"/>
              </w:rPr>
              <w:t>绩效目标</w:t>
            </w:r>
          </w:p>
        </w:tc>
        <w:tc>
          <w:tcPr>
            <w:tcW w:w="1287" w:type="dxa"/>
            <w:tcBorders>
              <w:top w:val="single" w:color="auto" w:sz="4" w:space="0"/>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目标1</w:t>
            </w:r>
          </w:p>
        </w:tc>
        <w:tc>
          <w:tcPr>
            <w:tcW w:w="11474" w:type="dxa"/>
            <w:gridSpan w:val="6"/>
            <w:tcBorders>
              <w:top w:val="single" w:color="auto" w:sz="4" w:space="0"/>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目标内容1</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一级指标</w:t>
            </w:r>
          </w:p>
        </w:tc>
        <w:tc>
          <w:tcPr>
            <w:tcW w:w="1287"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二级指标</w:t>
            </w:r>
          </w:p>
        </w:tc>
        <w:tc>
          <w:tcPr>
            <w:tcW w:w="1945"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三级指标</w:t>
            </w:r>
          </w:p>
        </w:tc>
        <w:tc>
          <w:tcPr>
            <w:tcW w:w="2721"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指标说明</w:t>
            </w:r>
          </w:p>
        </w:tc>
        <w:tc>
          <w:tcPr>
            <w:tcW w:w="4530" w:type="dxa"/>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指标值</w:t>
            </w:r>
          </w:p>
        </w:tc>
        <w:tc>
          <w:tcPr>
            <w:tcW w:w="2278" w:type="dxa"/>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指标确定依据</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945"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2721"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709"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符号</w:t>
            </w:r>
          </w:p>
        </w:tc>
        <w:tc>
          <w:tcPr>
            <w:tcW w:w="567"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值</w:t>
            </w:r>
          </w:p>
        </w:tc>
        <w:tc>
          <w:tcPr>
            <w:tcW w:w="3254"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单位（文字描述）</w:t>
            </w:r>
          </w:p>
        </w:tc>
        <w:tc>
          <w:tcPr>
            <w:tcW w:w="2278" w:type="dxa"/>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产出指标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数量指标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质量指标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时效指标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效益指标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经济效益指标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社会效益指标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生态效益指标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90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满意度指标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r>
    </w:tbl>
    <w:p>
      <w:pPr>
        <w:sectPr>
          <w:pgSz w:w="16840" w:h="11900" w:orient="landscape"/>
          <w:pgMar w:top="1361" w:right="1020" w:bottom="1134" w:left="1020" w:header="720" w:footer="720" w:gutter="0"/>
          <w:cols w:space="720" w:num="1"/>
        </w:sectPr>
      </w:pPr>
    </w:p>
    <w:p>
      <w:pPr>
        <w:ind w:firstLine="560"/>
        <w:rPr>
          <w:rFonts w:hint="eastAsia" w:ascii="方正仿宋_GBK" w:hAnsi="方正仿宋_GBK" w:eastAsia="方正仿宋_GBK" w:cs="方正仿宋_GBK"/>
          <w:b/>
          <w:color w:val="000000"/>
          <w:sz w:val="28"/>
          <w:lang w:eastAsia="zh-CN"/>
        </w:rPr>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lang w:eastAsia="zh-CN"/>
        </w:rPr>
        <w:t>2021年大气污染防治（节能与循环经济）-康伟科技环保(河北)有限公司(冀财建【2020】317号）</w:t>
      </w:r>
    </w:p>
    <w:p>
      <w:pPr>
        <w:ind w:firstLine="560"/>
      </w:pPr>
      <w:r>
        <w:rPr>
          <w:rFonts w:ascii="方正仿宋_GBK" w:hAnsi="方正仿宋_GBK" w:eastAsia="方正仿宋_GBK" w:cs="方正仿宋_GBK"/>
          <w:b/>
          <w:color w:val="000000"/>
          <w:sz w:val="28"/>
        </w:rPr>
        <w:t>绩效目标表</w:t>
      </w:r>
    </w:p>
    <w:tbl>
      <w:tblPr>
        <w:tblStyle w:val="8"/>
        <w:tblW w:w="13895" w:type="dxa"/>
        <w:tblInd w:w="392" w:type="dxa"/>
        <w:tblLayout w:type="autofit"/>
        <w:tblCellMar>
          <w:top w:w="0" w:type="dxa"/>
          <w:left w:w="108" w:type="dxa"/>
          <w:bottom w:w="0" w:type="dxa"/>
          <w:right w:w="108" w:type="dxa"/>
        </w:tblCellMar>
      </w:tblPr>
      <w:tblGrid>
        <w:gridCol w:w="1134"/>
        <w:gridCol w:w="1287"/>
        <w:gridCol w:w="1945"/>
        <w:gridCol w:w="2721"/>
        <w:gridCol w:w="709"/>
        <w:gridCol w:w="567"/>
        <w:gridCol w:w="3254"/>
        <w:gridCol w:w="2278"/>
      </w:tblGrid>
      <w:tr>
        <w:tblPrEx>
          <w:tblCellMar>
            <w:top w:w="0" w:type="dxa"/>
            <w:left w:w="108" w:type="dxa"/>
            <w:bottom w:w="0" w:type="dxa"/>
            <w:right w:w="108" w:type="dxa"/>
          </w:tblCellMar>
        </w:tblPrEx>
        <w:trPr>
          <w:trHeight w:val="330" w:hRule="atLeast"/>
        </w:trPr>
        <w:tc>
          <w:tcPr>
            <w:tcW w:w="1134" w:type="dxa"/>
            <w:tcBorders>
              <w:top w:val="single" w:color="auto" w:sz="4" w:space="0"/>
              <w:left w:val="single" w:color="auto" w:sz="4" w:space="0"/>
              <w:bottom w:val="single" w:color="auto" w:sz="4" w:space="0"/>
              <w:right w:val="single" w:color="auto" w:sz="4" w:space="0"/>
            </w:tcBorders>
            <w:shd w:val="clear" w:color="auto" w:fill="auto"/>
            <w:noWrap/>
          </w:tcPr>
          <w:p>
            <w:pPr>
              <w:rPr>
                <w:rFonts w:ascii="宋体" w:hAnsi="宋体" w:eastAsia="宋体" w:cs="宋体"/>
                <w:color w:val="000000"/>
                <w:sz w:val="20"/>
                <w:szCs w:val="18"/>
                <w:lang w:eastAsia="zh-CN"/>
              </w:rPr>
            </w:pPr>
            <w:r>
              <w:rPr>
                <w:rFonts w:hint="eastAsia" w:ascii="宋体" w:hAnsi="宋体" w:eastAsia="宋体" w:cs="宋体"/>
                <w:color w:val="000000"/>
                <w:sz w:val="20"/>
                <w:szCs w:val="18"/>
                <w:lang w:eastAsia="zh-CN"/>
              </w:rPr>
              <w:t>绩效目标</w:t>
            </w:r>
          </w:p>
        </w:tc>
        <w:tc>
          <w:tcPr>
            <w:tcW w:w="1287" w:type="dxa"/>
            <w:tcBorders>
              <w:top w:val="single" w:color="auto" w:sz="4" w:space="0"/>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目标1</w:t>
            </w:r>
          </w:p>
        </w:tc>
        <w:tc>
          <w:tcPr>
            <w:tcW w:w="11474" w:type="dxa"/>
            <w:gridSpan w:val="6"/>
            <w:tcBorders>
              <w:top w:val="single" w:color="auto" w:sz="4" w:space="0"/>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目标内容1</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一级指标</w:t>
            </w:r>
          </w:p>
        </w:tc>
        <w:tc>
          <w:tcPr>
            <w:tcW w:w="1287"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二级指标</w:t>
            </w:r>
          </w:p>
        </w:tc>
        <w:tc>
          <w:tcPr>
            <w:tcW w:w="1945"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三级指标</w:t>
            </w:r>
          </w:p>
        </w:tc>
        <w:tc>
          <w:tcPr>
            <w:tcW w:w="2721"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指标说明</w:t>
            </w:r>
          </w:p>
        </w:tc>
        <w:tc>
          <w:tcPr>
            <w:tcW w:w="4530" w:type="dxa"/>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指标值</w:t>
            </w:r>
          </w:p>
        </w:tc>
        <w:tc>
          <w:tcPr>
            <w:tcW w:w="2278" w:type="dxa"/>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指标确定依据</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945"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2721"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709"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符号</w:t>
            </w:r>
          </w:p>
        </w:tc>
        <w:tc>
          <w:tcPr>
            <w:tcW w:w="567"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值</w:t>
            </w:r>
          </w:p>
        </w:tc>
        <w:tc>
          <w:tcPr>
            <w:tcW w:w="3254"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单位（文字描述）</w:t>
            </w:r>
          </w:p>
        </w:tc>
        <w:tc>
          <w:tcPr>
            <w:tcW w:w="2278" w:type="dxa"/>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产出指标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数量指标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质量指标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时效指标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效益指标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经济效益指标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社会效益指标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生态效益指标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90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满意度指标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lang w:eastAsia="zh-CN"/>
        </w:rPr>
        <w:t>重点项目办公室办公经费</w:t>
      </w:r>
      <w:r>
        <w:rPr>
          <w:rFonts w:ascii="方正仿宋_GBK" w:hAnsi="方正仿宋_GBK" w:eastAsia="方正仿宋_GBK" w:cs="方正仿宋_GBK"/>
          <w:b/>
          <w:color w:val="000000"/>
          <w:sz w:val="28"/>
        </w:rPr>
        <w:t>绩效目标表</w:t>
      </w:r>
    </w:p>
    <w:tbl>
      <w:tblPr>
        <w:tblStyle w:val="8"/>
        <w:tblW w:w="13895" w:type="dxa"/>
        <w:tblInd w:w="392" w:type="dxa"/>
        <w:tblLayout w:type="autofit"/>
        <w:tblCellMar>
          <w:top w:w="0" w:type="dxa"/>
          <w:left w:w="108" w:type="dxa"/>
          <w:bottom w:w="0" w:type="dxa"/>
          <w:right w:w="108" w:type="dxa"/>
        </w:tblCellMar>
      </w:tblPr>
      <w:tblGrid>
        <w:gridCol w:w="1134"/>
        <w:gridCol w:w="1287"/>
        <w:gridCol w:w="1945"/>
        <w:gridCol w:w="2721"/>
        <w:gridCol w:w="709"/>
        <w:gridCol w:w="567"/>
        <w:gridCol w:w="3254"/>
        <w:gridCol w:w="2278"/>
      </w:tblGrid>
      <w:tr>
        <w:tblPrEx>
          <w:tblCellMar>
            <w:top w:w="0" w:type="dxa"/>
            <w:left w:w="108" w:type="dxa"/>
            <w:bottom w:w="0" w:type="dxa"/>
            <w:right w:w="108" w:type="dxa"/>
          </w:tblCellMar>
        </w:tblPrEx>
        <w:trPr>
          <w:trHeight w:val="330" w:hRule="atLeast"/>
        </w:trPr>
        <w:tc>
          <w:tcPr>
            <w:tcW w:w="1134" w:type="dxa"/>
            <w:tcBorders>
              <w:top w:val="single" w:color="auto" w:sz="4" w:space="0"/>
              <w:left w:val="single" w:color="auto" w:sz="4" w:space="0"/>
              <w:bottom w:val="single" w:color="auto" w:sz="4" w:space="0"/>
              <w:right w:val="single" w:color="auto" w:sz="4" w:space="0"/>
            </w:tcBorders>
            <w:shd w:val="clear" w:color="auto" w:fill="auto"/>
            <w:noWrap/>
          </w:tcPr>
          <w:p>
            <w:pPr>
              <w:rPr>
                <w:rFonts w:ascii="宋体" w:hAnsi="宋体" w:eastAsia="宋体" w:cs="宋体"/>
                <w:color w:val="000000"/>
                <w:sz w:val="20"/>
                <w:szCs w:val="18"/>
                <w:lang w:eastAsia="zh-CN"/>
              </w:rPr>
            </w:pPr>
            <w:r>
              <w:rPr>
                <w:rFonts w:hint="eastAsia" w:ascii="宋体" w:hAnsi="宋体" w:eastAsia="宋体" w:cs="宋体"/>
                <w:color w:val="000000"/>
                <w:sz w:val="20"/>
                <w:szCs w:val="18"/>
                <w:lang w:eastAsia="zh-CN"/>
              </w:rPr>
              <w:t>绩效目标</w:t>
            </w:r>
          </w:p>
        </w:tc>
        <w:tc>
          <w:tcPr>
            <w:tcW w:w="1287" w:type="dxa"/>
            <w:tcBorders>
              <w:top w:val="single" w:color="auto" w:sz="4" w:space="0"/>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目标1</w:t>
            </w:r>
          </w:p>
        </w:tc>
        <w:tc>
          <w:tcPr>
            <w:tcW w:w="11474" w:type="dxa"/>
            <w:gridSpan w:val="6"/>
            <w:tcBorders>
              <w:top w:val="single" w:color="auto" w:sz="4" w:space="0"/>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目标内容1</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一级指标</w:t>
            </w:r>
          </w:p>
        </w:tc>
        <w:tc>
          <w:tcPr>
            <w:tcW w:w="1287"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二级指标</w:t>
            </w:r>
          </w:p>
        </w:tc>
        <w:tc>
          <w:tcPr>
            <w:tcW w:w="1945"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三级指标</w:t>
            </w:r>
          </w:p>
        </w:tc>
        <w:tc>
          <w:tcPr>
            <w:tcW w:w="2721"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指标说明</w:t>
            </w:r>
          </w:p>
        </w:tc>
        <w:tc>
          <w:tcPr>
            <w:tcW w:w="4530" w:type="dxa"/>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指标值</w:t>
            </w:r>
          </w:p>
        </w:tc>
        <w:tc>
          <w:tcPr>
            <w:tcW w:w="2278" w:type="dxa"/>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指标确定依据</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945"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2721"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709"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符号</w:t>
            </w:r>
          </w:p>
        </w:tc>
        <w:tc>
          <w:tcPr>
            <w:tcW w:w="567"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值</w:t>
            </w:r>
          </w:p>
        </w:tc>
        <w:tc>
          <w:tcPr>
            <w:tcW w:w="3254"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单位（文字描述）</w:t>
            </w:r>
          </w:p>
        </w:tc>
        <w:tc>
          <w:tcPr>
            <w:tcW w:w="2278" w:type="dxa"/>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产出指标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数量指标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质量指标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时效指标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效益指标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经济效益指标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社会效益指标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生态效益指标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90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满意度指标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r>
    </w:tbl>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eastAsia="zh-CN"/>
        </w:rPr>
        <w:t>社会风险稳定性评估</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≥95工作按时完成率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≥96实际完成率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≥90质量合格率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≥85政策建议采纳率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≥92生态影响</w:t>
            </w:r>
          </w:p>
        </w:tc>
        <w:tc>
          <w:tcPr>
            <w:tcW w:w="2268"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≥91政策建议采纳率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≥97企业满意度</w:t>
            </w:r>
          </w:p>
        </w:tc>
        <w:tc>
          <w:tcPr>
            <w:tcW w:w="2268" w:type="dxa"/>
            <w:vAlign w:val="center"/>
          </w:tcPr>
          <w:p>
            <w:pPr>
              <w:pStyle w:val="16"/>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≥98办理单位满意度</w:t>
            </w:r>
          </w:p>
        </w:tc>
        <w:tc>
          <w:tcPr>
            <w:tcW w:w="2268" w:type="dxa"/>
            <w:vAlign w:val="center"/>
          </w:tcPr>
          <w:p>
            <w:pPr>
              <w:pStyle w:val="16"/>
            </w:pPr>
            <w:r>
              <w:t>办理单位满意度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≥86客户满意度</w:t>
            </w:r>
          </w:p>
        </w:tc>
        <w:tc>
          <w:tcPr>
            <w:tcW w:w="2268" w:type="dxa"/>
            <w:vAlign w:val="center"/>
          </w:tcPr>
          <w:p>
            <w:pPr>
              <w:pStyle w:val="16"/>
            </w:pPr>
            <w:r>
              <w:t>客户满意度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eastAsia="zh-CN"/>
        </w:rPr>
        <w:t>原二轻人员工资等</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≥1工作按时完成率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≥1生态影响</w:t>
            </w:r>
          </w:p>
        </w:tc>
        <w:tc>
          <w:tcPr>
            <w:tcW w:w="2268"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≥80政策建议采纳率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≥90企业满意度</w:t>
            </w:r>
          </w:p>
        </w:tc>
        <w:tc>
          <w:tcPr>
            <w:tcW w:w="2268" w:type="dxa"/>
            <w:vAlign w:val="center"/>
          </w:tcPr>
          <w:p>
            <w:pPr>
              <w:pStyle w:val="16"/>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办公单位满意度</w:t>
            </w:r>
          </w:p>
        </w:tc>
        <w:tc>
          <w:tcPr>
            <w:tcW w:w="2835" w:type="dxa"/>
            <w:vAlign w:val="center"/>
          </w:tcPr>
          <w:p>
            <w:pPr>
              <w:pStyle w:val="16"/>
            </w:pPr>
            <w:r>
              <w:t>办公单位满意度</w:t>
            </w:r>
          </w:p>
        </w:tc>
        <w:tc>
          <w:tcPr>
            <w:tcW w:w="2551" w:type="dxa"/>
            <w:vAlign w:val="center"/>
          </w:tcPr>
          <w:p>
            <w:pPr>
              <w:pStyle w:val="16"/>
            </w:pPr>
            <w:r>
              <w:t>≥80办公单位满意度</w:t>
            </w:r>
          </w:p>
        </w:tc>
        <w:tc>
          <w:tcPr>
            <w:tcW w:w="2268" w:type="dxa"/>
            <w:vAlign w:val="center"/>
          </w:tcPr>
          <w:p>
            <w:pPr>
              <w:pStyle w:val="16"/>
            </w:pPr>
            <w:r>
              <w:t>办公单位满意度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≥80客户满意度</w:t>
            </w:r>
          </w:p>
        </w:tc>
        <w:tc>
          <w:tcPr>
            <w:tcW w:w="2268" w:type="dxa"/>
            <w:vAlign w:val="center"/>
          </w:tcPr>
          <w:p>
            <w:pPr>
              <w:pStyle w:val="16"/>
            </w:pPr>
            <w:r>
              <w:t>客户满意度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CN"/>
        </w:rPr>
        <w:t>重点企业服务办公室办公</w:t>
      </w:r>
      <w:r>
        <w:rPr>
          <w:rFonts w:ascii="方正仿宋_GBK" w:hAnsi="方正仿宋_GBK" w:eastAsia="方正仿宋_GBK" w:cs="方正仿宋_GBK"/>
          <w:b/>
          <w:color w:val="000000"/>
          <w:sz w:val="28"/>
        </w:rPr>
        <w:t>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lang w:eastAsia="zh-CN"/>
              </w:rPr>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≥95工作按时完成率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≥98质量合格率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≥96政策建议采纳率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投入产出率</w:t>
            </w:r>
          </w:p>
        </w:tc>
        <w:tc>
          <w:tcPr>
            <w:tcW w:w="2835" w:type="dxa"/>
            <w:vAlign w:val="center"/>
          </w:tcPr>
          <w:p>
            <w:pPr>
              <w:pStyle w:val="16"/>
            </w:pPr>
            <w:r>
              <w:t>投入产出率</w:t>
            </w:r>
          </w:p>
        </w:tc>
        <w:tc>
          <w:tcPr>
            <w:tcW w:w="2551" w:type="dxa"/>
            <w:vAlign w:val="center"/>
          </w:tcPr>
          <w:p>
            <w:pPr>
              <w:pStyle w:val="16"/>
            </w:pPr>
            <w:r>
              <w:t>≥94投入产出率</w:t>
            </w:r>
          </w:p>
        </w:tc>
        <w:tc>
          <w:tcPr>
            <w:tcW w:w="2268" w:type="dxa"/>
            <w:vAlign w:val="center"/>
          </w:tcPr>
          <w:p>
            <w:pPr>
              <w:pStyle w:val="16"/>
            </w:pPr>
            <w:r>
              <w:t>投入产出率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利润完成率</w:t>
            </w:r>
          </w:p>
        </w:tc>
        <w:tc>
          <w:tcPr>
            <w:tcW w:w="2835" w:type="dxa"/>
            <w:vAlign w:val="center"/>
          </w:tcPr>
          <w:p>
            <w:pPr>
              <w:pStyle w:val="16"/>
            </w:pPr>
            <w:r>
              <w:t>利润完成率</w:t>
            </w:r>
          </w:p>
        </w:tc>
        <w:tc>
          <w:tcPr>
            <w:tcW w:w="2551" w:type="dxa"/>
            <w:vAlign w:val="center"/>
          </w:tcPr>
          <w:p>
            <w:pPr>
              <w:pStyle w:val="16"/>
            </w:pPr>
            <w:r>
              <w:t>≥93利润完成率</w:t>
            </w:r>
          </w:p>
        </w:tc>
        <w:tc>
          <w:tcPr>
            <w:tcW w:w="2268" w:type="dxa"/>
            <w:vAlign w:val="center"/>
          </w:tcPr>
          <w:p>
            <w:pPr>
              <w:pStyle w:val="16"/>
            </w:pPr>
            <w:r>
              <w:t>利润完成率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社会支持率</w:t>
            </w:r>
          </w:p>
        </w:tc>
        <w:tc>
          <w:tcPr>
            <w:tcW w:w="2835" w:type="dxa"/>
            <w:vAlign w:val="center"/>
          </w:tcPr>
          <w:p>
            <w:pPr>
              <w:pStyle w:val="16"/>
            </w:pPr>
            <w:r>
              <w:t>社会支持率</w:t>
            </w:r>
          </w:p>
        </w:tc>
        <w:tc>
          <w:tcPr>
            <w:tcW w:w="2551" w:type="dxa"/>
            <w:vAlign w:val="center"/>
          </w:tcPr>
          <w:p>
            <w:pPr>
              <w:pStyle w:val="16"/>
            </w:pPr>
            <w:r>
              <w:t>≥90社会支持率</w:t>
            </w:r>
          </w:p>
        </w:tc>
        <w:tc>
          <w:tcPr>
            <w:tcW w:w="2268" w:type="dxa"/>
            <w:vAlign w:val="center"/>
          </w:tcPr>
          <w:p>
            <w:pPr>
              <w:pStyle w:val="16"/>
            </w:pPr>
            <w:r>
              <w:t>社会支持率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≥88生态影响率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持续发展率</w:t>
            </w:r>
          </w:p>
        </w:tc>
        <w:tc>
          <w:tcPr>
            <w:tcW w:w="2835" w:type="dxa"/>
            <w:vAlign w:val="center"/>
          </w:tcPr>
          <w:p>
            <w:pPr>
              <w:pStyle w:val="16"/>
            </w:pPr>
            <w:r>
              <w:t>持续发展率</w:t>
            </w:r>
          </w:p>
        </w:tc>
        <w:tc>
          <w:tcPr>
            <w:tcW w:w="2551" w:type="dxa"/>
            <w:vAlign w:val="center"/>
          </w:tcPr>
          <w:p>
            <w:pPr>
              <w:pStyle w:val="16"/>
            </w:pPr>
            <w:r>
              <w:t>≥89持续发展率</w:t>
            </w:r>
          </w:p>
        </w:tc>
        <w:tc>
          <w:tcPr>
            <w:tcW w:w="2268" w:type="dxa"/>
            <w:vAlign w:val="center"/>
          </w:tcPr>
          <w:p>
            <w:pPr>
              <w:pStyle w:val="16"/>
            </w:pPr>
            <w:r>
              <w:t>持续发展率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客户满意率</w:t>
            </w:r>
          </w:p>
        </w:tc>
        <w:tc>
          <w:tcPr>
            <w:tcW w:w="2835" w:type="dxa"/>
            <w:vAlign w:val="center"/>
          </w:tcPr>
          <w:p>
            <w:pPr>
              <w:pStyle w:val="16"/>
            </w:pPr>
            <w:r>
              <w:t>客户满意率</w:t>
            </w:r>
          </w:p>
        </w:tc>
        <w:tc>
          <w:tcPr>
            <w:tcW w:w="2551" w:type="dxa"/>
            <w:vAlign w:val="center"/>
          </w:tcPr>
          <w:p>
            <w:pPr>
              <w:pStyle w:val="16"/>
            </w:pPr>
            <w:r>
              <w:t>≥85客户满意率</w:t>
            </w:r>
          </w:p>
        </w:tc>
        <w:tc>
          <w:tcPr>
            <w:tcW w:w="2268" w:type="dxa"/>
            <w:vAlign w:val="center"/>
          </w:tcPr>
          <w:p>
            <w:pPr>
              <w:pStyle w:val="16"/>
            </w:pPr>
            <w:r>
              <w:t>客户满意率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lang w:eastAsia="zh-CN"/>
        </w:rPr>
        <w:t>《宁晋县数字经济发展规划（2010-2025）》编制经费</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完成项目数量</w:t>
            </w:r>
          </w:p>
        </w:tc>
        <w:tc>
          <w:tcPr>
            <w:tcW w:w="2835" w:type="dxa"/>
            <w:vAlign w:val="center"/>
          </w:tcPr>
          <w:p>
            <w:pPr>
              <w:pStyle w:val="16"/>
            </w:pPr>
            <w:r>
              <w:t>完成项目数量</w:t>
            </w:r>
          </w:p>
        </w:tc>
        <w:tc>
          <w:tcPr>
            <w:tcW w:w="2551" w:type="dxa"/>
            <w:vAlign w:val="center"/>
          </w:tcPr>
          <w:p>
            <w:pPr>
              <w:pStyle w:val="16"/>
            </w:pPr>
            <w:r>
              <w:t>≥100完成项目数量</w:t>
            </w:r>
          </w:p>
        </w:tc>
        <w:tc>
          <w:tcPr>
            <w:tcW w:w="2268" w:type="dxa"/>
            <w:vAlign w:val="center"/>
          </w:tcPr>
          <w:p>
            <w:pPr>
              <w:pStyle w:val="16"/>
            </w:pPr>
            <w:r>
              <w:t>完成项目数量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新建建筑验收合格率（%）</w:t>
            </w:r>
          </w:p>
        </w:tc>
        <w:tc>
          <w:tcPr>
            <w:tcW w:w="2835" w:type="dxa"/>
            <w:vAlign w:val="center"/>
          </w:tcPr>
          <w:p>
            <w:pPr>
              <w:pStyle w:val="16"/>
            </w:pPr>
            <w:r>
              <w:t>新建建筑验收合格率（%）</w:t>
            </w:r>
          </w:p>
        </w:tc>
        <w:tc>
          <w:tcPr>
            <w:tcW w:w="2551" w:type="dxa"/>
            <w:vAlign w:val="center"/>
          </w:tcPr>
          <w:p>
            <w:pPr>
              <w:pStyle w:val="16"/>
            </w:pPr>
            <w:r>
              <w:t>≥100新建建筑验收合格率（%）</w:t>
            </w:r>
          </w:p>
        </w:tc>
        <w:tc>
          <w:tcPr>
            <w:tcW w:w="2268" w:type="dxa"/>
            <w:vAlign w:val="center"/>
          </w:tcPr>
          <w:p>
            <w:pPr>
              <w:pStyle w:val="16"/>
            </w:pPr>
            <w:r>
              <w:t>新建建筑验收合格率（%）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污染治理设施成本控制率</w:t>
            </w:r>
          </w:p>
        </w:tc>
        <w:tc>
          <w:tcPr>
            <w:tcW w:w="2835" w:type="dxa"/>
            <w:vAlign w:val="center"/>
          </w:tcPr>
          <w:p>
            <w:pPr>
              <w:pStyle w:val="16"/>
            </w:pPr>
            <w:r>
              <w:t>污染治理设施成本控制率</w:t>
            </w:r>
          </w:p>
        </w:tc>
        <w:tc>
          <w:tcPr>
            <w:tcW w:w="2551" w:type="dxa"/>
            <w:vAlign w:val="center"/>
          </w:tcPr>
          <w:p>
            <w:pPr>
              <w:pStyle w:val="16"/>
            </w:pPr>
            <w:r>
              <w:t>≥1污染治理设施成本控制率</w:t>
            </w:r>
          </w:p>
        </w:tc>
        <w:tc>
          <w:tcPr>
            <w:tcW w:w="2268" w:type="dxa"/>
            <w:vAlign w:val="center"/>
          </w:tcPr>
          <w:p>
            <w:pPr>
              <w:pStyle w:val="16"/>
            </w:pPr>
            <w:r>
              <w:t>污染治理设施成本控制率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提升企业环境治理水平</w:t>
            </w:r>
          </w:p>
        </w:tc>
        <w:tc>
          <w:tcPr>
            <w:tcW w:w="2835" w:type="dxa"/>
            <w:vAlign w:val="center"/>
          </w:tcPr>
          <w:p>
            <w:pPr>
              <w:pStyle w:val="16"/>
            </w:pPr>
            <w:r>
              <w:t>提升企业环境治理水平</w:t>
            </w:r>
          </w:p>
        </w:tc>
        <w:tc>
          <w:tcPr>
            <w:tcW w:w="2551" w:type="dxa"/>
            <w:vAlign w:val="center"/>
          </w:tcPr>
          <w:p>
            <w:pPr>
              <w:pStyle w:val="16"/>
            </w:pPr>
            <w:r>
              <w:t>≥100提升企业环境治理水平</w:t>
            </w:r>
          </w:p>
        </w:tc>
        <w:tc>
          <w:tcPr>
            <w:tcW w:w="2268" w:type="dxa"/>
            <w:vAlign w:val="center"/>
          </w:tcPr>
          <w:p>
            <w:pPr>
              <w:pStyle w:val="16"/>
            </w:pPr>
            <w:r>
              <w:t>提升企业环境治理水平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水质达标率</w:t>
            </w:r>
          </w:p>
        </w:tc>
        <w:tc>
          <w:tcPr>
            <w:tcW w:w="2835" w:type="dxa"/>
            <w:vAlign w:val="center"/>
          </w:tcPr>
          <w:p>
            <w:pPr>
              <w:pStyle w:val="16"/>
            </w:pPr>
            <w:r>
              <w:t>水质达标率</w:t>
            </w:r>
          </w:p>
        </w:tc>
        <w:tc>
          <w:tcPr>
            <w:tcW w:w="2551" w:type="dxa"/>
            <w:vAlign w:val="center"/>
          </w:tcPr>
          <w:p>
            <w:pPr>
              <w:pStyle w:val="16"/>
            </w:pPr>
            <w:r>
              <w:t>≥10水质达标率</w:t>
            </w:r>
          </w:p>
        </w:tc>
        <w:tc>
          <w:tcPr>
            <w:tcW w:w="2268" w:type="dxa"/>
            <w:vAlign w:val="center"/>
          </w:tcPr>
          <w:p>
            <w:pPr>
              <w:pStyle w:val="16"/>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污水处理率</w:t>
            </w:r>
          </w:p>
        </w:tc>
        <w:tc>
          <w:tcPr>
            <w:tcW w:w="2835" w:type="dxa"/>
            <w:vAlign w:val="center"/>
          </w:tcPr>
          <w:p>
            <w:pPr>
              <w:pStyle w:val="16"/>
            </w:pPr>
            <w:r>
              <w:t>污水处理率</w:t>
            </w:r>
          </w:p>
        </w:tc>
        <w:tc>
          <w:tcPr>
            <w:tcW w:w="2551" w:type="dxa"/>
            <w:vAlign w:val="center"/>
          </w:tcPr>
          <w:p>
            <w:pPr>
              <w:pStyle w:val="16"/>
            </w:pPr>
            <w:r>
              <w:t>≥10污水处理率</w:t>
            </w:r>
          </w:p>
        </w:tc>
        <w:tc>
          <w:tcPr>
            <w:tcW w:w="2268" w:type="dxa"/>
            <w:vAlign w:val="center"/>
          </w:tcPr>
          <w:p>
            <w:pPr>
              <w:pStyle w:val="16"/>
            </w:pPr>
            <w:r>
              <w:t>污水处理率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科研工作人员满意度</w:t>
            </w:r>
          </w:p>
        </w:tc>
        <w:tc>
          <w:tcPr>
            <w:tcW w:w="2835" w:type="dxa"/>
            <w:vAlign w:val="center"/>
          </w:tcPr>
          <w:p>
            <w:pPr>
              <w:pStyle w:val="16"/>
            </w:pPr>
            <w:r>
              <w:t>科研工作人员满意度</w:t>
            </w:r>
          </w:p>
        </w:tc>
        <w:tc>
          <w:tcPr>
            <w:tcW w:w="2551" w:type="dxa"/>
            <w:vAlign w:val="center"/>
          </w:tcPr>
          <w:p>
            <w:pPr>
              <w:pStyle w:val="16"/>
            </w:pPr>
            <w:r>
              <w:t>≥80科研工作人员满意度</w:t>
            </w:r>
          </w:p>
        </w:tc>
        <w:tc>
          <w:tcPr>
            <w:tcW w:w="2268" w:type="dxa"/>
            <w:vAlign w:val="center"/>
          </w:tcPr>
          <w:p>
            <w:pPr>
              <w:pStyle w:val="16"/>
            </w:pPr>
            <w:r>
              <w:t>科研工作人员满意度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≥80企业满意度</w:t>
            </w:r>
          </w:p>
        </w:tc>
        <w:tc>
          <w:tcPr>
            <w:tcW w:w="2268" w:type="dxa"/>
            <w:vAlign w:val="center"/>
          </w:tcPr>
          <w:p>
            <w:pPr>
              <w:pStyle w:val="16"/>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仪器使用人员满意度</w:t>
            </w:r>
          </w:p>
        </w:tc>
        <w:tc>
          <w:tcPr>
            <w:tcW w:w="2835" w:type="dxa"/>
            <w:vAlign w:val="center"/>
          </w:tcPr>
          <w:p>
            <w:pPr>
              <w:pStyle w:val="16"/>
            </w:pPr>
            <w:r>
              <w:t>仪器使用人员满意度</w:t>
            </w:r>
          </w:p>
        </w:tc>
        <w:tc>
          <w:tcPr>
            <w:tcW w:w="2551" w:type="dxa"/>
            <w:vAlign w:val="center"/>
          </w:tcPr>
          <w:p>
            <w:pPr>
              <w:pStyle w:val="16"/>
            </w:pPr>
            <w:r>
              <w:t>≥80仪器使用人员满意度</w:t>
            </w:r>
          </w:p>
        </w:tc>
        <w:tc>
          <w:tcPr>
            <w:tcW w:w="2268" w:type="dxa"/>
            <w:vAlign w:val="center"/>
          </w:tcPr>
          <w:p>
            <w:pPr>
              <w:pStyle w:val="16"/>
            </w:pPr>
            <w:r>
              <w:t>仪器使用人员满意度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lang w:eastAsia="zh-CN"/>
        </w:rPr>
        <w:t>洁净煤应急储备</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≥1工作按时完成率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投入产出率</w:t>
            </w:r>
          </w:p>
        </w:tc>
        <w:tc>
          <w:tcPr>
            <w:tcW w:w="2835" w:type="dxa"/>
            <w:vAlign w:val="center"/>
          </w:tcPr>
          <w:p>
            <w:pPr>
              <w:pStyle w:val="16"/>
            </w:pPr>
            <w:r>
              <w:t>投入产出率</w:t>
            </w:r>
          </w:p>
        </w:tc>
        <w:tc>
          <w:tcPr>
            <w:tcW w:w="2551" w:type="dxa"/>
            <w:vAlign w:val="center"/>
          </w:tcPr>
          <w:p>
            <w:pPr>
              <w:pStyle w:val="16"/>
            </w:pPr>
            <w:r>
              <w:t>≥90投入产出率</w:t>
            </w:r>
          </w:p>
        </w:tc>
        <w:tc>
          <w:tcPr>
            <w:tcW w:w="2268" w:type="dxa"/>
            <w:vAlign w:val="center"/>
          </w:tcPr>
          <w:p>
            <w:pPr>
              <w:pStyle w:val="16"/>
            </w:pPr>
            <w:r>
              <w:t>投入产出率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利润完成率</w:t>
            </w:r>
          </w:p>
        </w:tc>
        <w:tc>
          <w:tcPr>
            <w:tcW w:w="2835" w:type="dxa"/>
            <w:vAlign w:val="center"/>
          </w:tcPr>
          <w:p>
            <w:pPr>
              <w:pStyle w:val="16"/>
            </w:pPr>
            <w:r>
              <w:t>利润完成率</w:t>
            </w:r>
          </w:p>
        </w:tc>
        <w:tc>
          <w:tcPr>
            <w:tcW w:w="2551" w:type="dxa"/>
            <w:vAlign w:val="center"/>
          </w:tcPr>
          <w:p>
            <w:pPr>
              <w:pStyle w:val="16"/>
            </w:pPr>
            <w:r>
              <w:t>≥98利润完成率</w:t>
            </w:r>
          </w:p>
        </w:tc>
        <w:tc>
          <w:tcPr>
            <w:tcW w:w="2268" w:type="dxa"/>
            <w:vAlign w:val="center"/>
          </w:tcPr>
          <w:p>
            <w:pPr>
              <w:pStyle w:val="16"/>
            </w:pPr>
            <w:r>
              <w:t>利润完成率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社会满意率</w:t>
            </w:r>
          </w:p>
        </w:tc>
        <w:tc>
          <w:tcPr>
            <w:tcW w:w="2835" w:type="dxa"/>
            <w:vAlign w:val="center"/>
          </w:tcPr>
          <w:p>
            <w:pPr>
              <w:pStyle w:val="16"/>
            </w:pPr>
            <w:r>
              <w:t>社会满意率</w:t>
            </w:r>
          </w:p>
        </w:tc>
        <w:tc>
          <w:tcPr>
            <w:tcW w:w="2551" w:type="dxa"/>
            <w:vAlign w:val="center"/>
          </w:tcPr>
          <w:p>
            <w:pPr>
              <w:pStyle w:val="16"/>
            </w:pPr>
            <w:r>
              <w:t>≥95社会满意率</w:t>
            </w:r>
          </w:p>
        </w:tc>
        <w:tc>
          <w:tcPr>
            <w:tcW w:w="2268" w:type="dxa"/>
            <w:vAlign w:val="center"/>
          </w:tcPr>
          <w:p>
            <w:pPr>
              <w:pStyle w:val="16"/>
            </w:pPr>
            <w:r>
              <w:t>社会满意率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≥85生态影响率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持续发展率</w:t>
            </w:r>
          </w:p>
        </w:tc>
        <w:tc>
          <w:tcPr>
            <w:tcW w:w="2835" w:type="dxa"/>
            <w:vAlign w:val="center"/>
          </w:tcPr>
          <w:p>
            <w:pPr>
              <w:pStyle w:val="16"/>
            </w:pPr>
            <w:r>
              <w:t>持续发展率</w:t>
            </w:r>
          </w:p>
        </w:tc>
        <w:tc>
          <w:tcPr>
            <w:tcW w:w="2551" w:type="dxa"/>
            <w:vAlign w:val="center"/>
          </w:tcPr>
          <w:p>
            <w:pPr>
              <w:pStyle w:val="16"/>
            </w:pPr>
            <w:r>
              <w:t>≥1持续发展率</w:t>
            </w:r>
          </w:p>
        </w:tc>
        <w:tc>
          <w:tcPr>
            <w:tcW w:w="2268" w:type="dxa"/>
            <w:vAlign w:val="center"/>
          </w:tcPr>
          <w:p>
            <w:pPr>
              <w:pStyle w:val="16"/>
            </w:pPr>
            <w:r>
              <w:t>持续发展率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客户满意率</w:t>
            </w:r>
          </w:p>
        </w:tc>
        <w:tc>
          <w:tcPr>
            <w:tcW w:w="2835" w:type="dxa"/>
            <w:vAlign w:val="center"/>
          </w:tcPr>
          <w:p>
            <w:pPr>
              <w:pStyle w:val="16"/>
            </w:pPr>
            <w:r>
              <w:t>客户满意率</w:t>
            </w:r>
          </w:p>
        </w:tc>
        <w:tc>
          <w:tcPr>
            <w:tcW w:w="2551" w:type="dxa"/>
            <w:vAlign w:val="center"/>
          </w:tcPr>
          <w:p>
            <w:pPr>
              <w:pStyle w:val="16"/>
            </w:pPr>
            <w:r>
              <w:t>≥1客户满意率</w:t>
            </w:r>
          </w:p>
        </w:tc>
        <w:tc>
          <w:tcPr>
            <w:tcW w:w="2268" w:type="dxa"/>
            <w:vAlign w:val="center"/>
          </w:tcPr>
          <w:p>
            <w:pPr>
              <w:pStyle w:val="16"/>
            </w:pPr>
            <w:r>
              <w:t>客户满意率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lang w:eastAsia="zh-CN"/>
        </w:rPr>
        <w:t>李怀双抚恤金和丧葬费</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完成及时率</w:t>
            </w:r>
          </w:p>
        </w:tc>
        <w:tc>
          <w:tcPr>
            <w:tcW w:w="2551" w:type="dxa"/>
            <w:vAlign w:val="center"/>
          </w:tcPr>
          <w:p>
            <w:pPr>
              <w:pStyle w:val="16"/>
            </w:pPr>
            <w:r>
              <w:t>100完成及时率</w:t>
            </w:r>
          </w:p>
        </w:tc>
        <w:tc>
          <w:tcPr>
            <w:tcW w:w="2268" w:type="dxa"/>
            <w:vAlign w:val="center"/>
          </w:tcPr>
          <w:p>
            <w:pPr>
              <w:pStyle w:val="16"/>
            </w:pPr>
            <w: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年度服务企业数量</w:t>
            </w:r>
          </w:p>
        </w:tc>
        <w:tc>
          <w:tcPr>
            <w:tcW w:w="2835" w:type="dxa"/>
            <w:vAlign w:val="center"/>
          </w:tcPr>
          <w:p>
            <w:pPr>
              <w:pStyle w:val="16"/>
            </w:pPr>
            <w:r>
              <w:t>年度服务企业数量</w:t>
            </w:r>
          </w:p>
        </w:tc>
        <w:tc>
          <w:tcPr>
            <w:tcW w:w="2551" w:type="dxa"/>
            <w:vAlign w:val="center"/>
          </w:tcPr>
          <w:p>
            <w:pPr>
              <w:pStyle w:val="16"/>
            </w:pPr>
            <w:r>
              <w:t>≥1年度服务企业数量</w:t>
            </w:r>
          </w:p>
        </w:tc>
        <w:tc>
          <w:tcPr>
            <w:tcW w:w="2268" w:type="dxa"/>
            <w:vAlign w:val="center"/>
          </w:tcPr>
          <w:p>
            <w:pPr>
              <w:pStyle w:val="16"/>
            </w:pPr>
            <w:r>
              <w:t>年度服务企业数量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最低</w:t>
            </w:r>
          </w:p>
        </w:tc>
        <w:tc>
          <w:tcPr>
            <w:tcW w:w="2268"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效果持续时间</w:t>
            </w:r>
          </w:p>
        </w:tc>
        <w:tc>
          <w:tcPr>
            <w:tcW w:w="2835" w:type="dxa"/>
            <w:vAlign w:val="center"/>
          </w:tcPr>
          <w:p>
            <w:pPr>
              <w:pStyle w:val="16"/>
            </w:pPr>
            <w:r>
              <w:t>效果持续时间</w:t>
            </w:r>
          </w:p>
        </w:tc>
        <w:tc>
          <w:tcPr>
            <w:tcW w:w="2551" w:type="dxa"/>
            <w:vAlign w:val="center"/>
          </w:tcPr>
          <w:p>
            <w:pPr>
              <w:pStyle w:val="16"/>
            </w:pPr>
            <w:r>
              <w:t>效果持续时间</w:t>
            </w:r>
          </w:p>
        </w:tc>
        <w:tc>
          <w:tcPr>
            <w:tcW w:w="2268" w:type="dxa"/>
            <w:vAlign w:val="center"/>
          </w:tcPr>
          <w:p>
            <w:pPr>
              <w:pStyle w:val="16"/>
            </w:pPr>
            <w:r>
              <w:t>效果持续时间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项目工程完成情况</w:t>
            </w:r>
          </w:p>
        </w:tc>
        <w:tc>
          <w:tcPr>
            <w:tcW w:w="2835" w:type="dxa"/>
            <w:vAlign w:val="center"/>
          </w:tcPr>
          <w:p>
            <w:pPr>
              <w:pStyle w:val="16"/>
            </w:pPr>
            <w:r>
              <w:t>项目完成情况</w:t>
            </w:r>
          </w:p>
        </w:tc>
        <w:tc>
          <w:tcPr>
            <w:tcW w:w="2551" w:type="dxa"/>
            <w:vAlign w:val="center"/>
          </w:tcPr>
          <w:p>
            <w:pPr>
              <w:pStyle w:val="16"/>
            </w:pPr>
            <w:r>
              <w:t>按时完成</w:t>
            </w:r>
          </w:p>
        </w:tc>
        <w:tc>
          <w:tcPr>
            <w:tcW w:w="2268" w:type="dxa"/>
            <w:vAlign w:val="center"/>
          </w:tcPr>
          <w:p>
            <w:pPr>
              <w:pStyle w:val="16"/>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≥80企业满意度</w:t>
            </w:r>
          </w:p>
        </w:tc>
        <w:tc>
          <w:tcPr>
            <w:tcW w:w="2268" w:type="dxa"/>
            <w:vAlign w:val="center"/>
          </w:tcPr>
          <w:p>
            <w:pPr>
              <w:pStyle w:val="16"/>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≥100满意度</w:t>
            </w:r>
          </w:p>
        </w:tc>
        <w:tc>
          <w:tcPr>
            <w:tcW w:w="2268" w:type="dxa"/>
            <w:vAlign w:val="center"/>
          </w:tcPr>
          <w:p>
            <w:pPr>
              <w:pStyle w:val="16"/>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lang w:eastAsia="zh-CN"/>
        </w:rPr>
        <w:t>河北凤来仪酒业有限公司“工业设计平台项目”</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lang w:eastAsia="zh-CN"/>
              </w:rPr>
            </w:pPr>
            <w:r>
              <w:t>1.</w:t>
            </w:r>
            <w:r>
              <w:rPr>
                <w:rFonts w:hint="eastAsia"/>
                <w:lang w:eastAsia="zh-CN"/>
              </w:rPr>
              <w:t>促进新兴产业发展</w:t>
            </w:r>
          </w:p>
          <w:p>
            <w:pPr>
              <w:pStyle w:val="16"/>
              <w:rPr>
                <w:rFonts w:hint="eastAsia"/>
                <w:lang w:eastAsia="zh-CN"/>
              </w:rPr>
            </w:pPr>
            <w:r>
              <w:t>2.</w:t>
            </w:r>
            <w:r>
              <w:rPr>
                <w:rFonts w:hint="eastAsia"/>
                <w:lang w:eastAsia="zh-CN"/>
              </w:rPr>
              <w:t>调整产业结构促进县域经济发展</w:t>
            </w:r>
          </w:p>
          <w:p>
            <w:pPr>
              <w:pStyle w:val="16"/>
              <w:rPr>
                <w:rFonts w:hint="eastAsia"/>
                <w:lang w:eastAsia="zh-CN"/>
              </w:rPr>
            </w:pPr>
            <w:r>
              <w:t>3.</w:t>
            </w:r>
            <w:r>
              <w:rPr>
                <w:rFonts w:hint="eastAsia"/>
                <w:lang w:eastAsia="zh-CN"/>
              </w:rPr>
              <w:t>促进企业发展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rPr>
                <w:rFonts w:hint="eastAsia"/>
                <w:lang w:eastAsia="zh-CN"/>
              </w:rPr>
            </w:pPr>
            <w:r>
              <w:rPr>
                <w:rFonts w:hint="eastAsia"/>
                <w:lang w:eastAsia="zh-CN"/>
              </w:rPr>
              <w:t>年度服务部门数量</w:t>
            </w:r>
          </w:p>
        </w:tc>
        <w:tc>
          <w:tcPr>
            <w:tcW w:w="2835" w:type="dxa"/>
            <w:vAlign w:val="center"/>
          </w:tcPr>
          <w:p>
            <w:pPr>
              <w:pStyle w:val="16"/>
            </w:pPr>
            <w:r>
              <w:rPr>
                <w:rFonts w:hint="eastAsia"/>
                <w:lang w:eastAsia="zh-CN"/>
              </w:rPr>
              <w:t>年度服务部门数量</w:t>
            </w:r>
          </w:p>
        </w:tc>
        <w:tc>
          <w:tcPr>
            <w:tcW w:w="2551" w:type="dxa"/>
            <w:vAlign w:val="center"/>
          </w:tcPr>
          <w:p>
            <w:pPr>
              <w:pStyle w:val="16"/>
              <w:rPr>
                <w:rFonts w:hint="eastAsia"/>
                <w:lang w:eastAsia="zh-CN"/>
              </w:rPr>
            </w:pPr>
            <w:r>
              <w:rPr>
                <w:rFonts w:hint="eastAsia"/>
                <w:lang w:eastAsia="zh-CN"/>
              </w:rPr>
              <w:t>≥1</w:t>
            </w:r>
          </w:p>
        </w:tc>
        <w:tc>
          <w:tcPr>
            <w:tcW w:w="2268" w:type="dxa"/>
            <w:vAlign w:val="center"/>
          </w:tcPr>
          <w:p>
            <w:pPr>
              <w:pStyle w:val="16"/>
            </w:pPr>
            <w:r>
              <w:rPr>
                <w:rFonts w:hint="eastAsia"/>
                <w:lang w:eastAsia="zh-CN"/>
              </w:rP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rPr>
                <w:rFonts w:hint="eastAsia"/>
                <w:lang w:eastAsia="zh-CN"/>
              </w:rPr>
              <w:t>服务有效率</w:t>
            </w:r>
          </w:p>
        </w:tc>
        <w:tc>
          <w:tcPr>
            <w:tcW w:w="2835" w:type="dxa"/>
            <w:vAlign w:val="center"/>
          </w:tcPr>
          <w:p>
            <w:pPr>
              <w:pStyle w:val="16"/>
            </w:pPr>
            <w:r>
              <w:rPr>
                <w:rFonts w:hint="eastAsia"/>
                <w:lang w:eastAsia="zh-CN"/>
              </w:rPr>
              <w:t>服务有效率</w:t>
            </w:r>
          </w:p>
        </w:tc>
        <w:tc>
          <w:tcPr>
            <w:tcW w:w="2551" w:type="dxa"/>
            <w:vAlign w:val="center"/>
          </w:tcPr>
          <w:p>
            <w:pPr>
              <w:pStyle w:val="16"/>
            </w:pPr>
            <w:r>
              <w:t>100%</w:t>
            </w:r>
          </w:p>
        </w:tc>
        <w:tc>
          <w:tcPr>
            <w:tcW w:w="2268" w:type="dxa"/>
            <w:vAlign w:val="center"/>
          </w:tcPr>
          <w:p>
            <w:pPr>
              <w:pStyle w:val="16"/>
            </w:pPr>
            <w:r>
              <w:rPr>
                <w:rFonts w:hint="eastAsia"/>
                <w:lang w:eastAsia="zh-CN"/>
              </w:rPr>
              <w:t>服务有效率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rPr>
                <w:rFonts w:hint="eastAsia"/>
                <w:lang w:eastAsia="zh-CN"/>
              </w:rPr>
            </w:pPr>
            <w:r>
              <w:rPr>
                <w:rFonts w:hint="eastAsia"/>
                <w:lang w:eastAsia="zh-CN"/>
              </w:rPr>
              <w:t>项目完成情况</w:t>
            </w:r>
          </w:p>
        </w:tc>
        <w:tc>
          <w:tcPr>
            <w:tcW w:w="2835" w:type="dxa"/>
            <w:vAlign w:val="center"/>
          </w:tcPr>
          <w:p>
            <w:pPr>
              <w:pStyle w:val="16"/>
              <w:rPr>
                <w:rFonts w:hint="eastAsia"/>
                <w:lang w:eastAsia="zh-CN"/>
              </w:rPr>
            </w:pPr>
            <w:r>
              <w:rPr>
                <w:rFonts w:hint="eastAsia"/>
                <w:lang w:eastAsia="zh-CN"/>
              </w:rPr>
              <w:t>不断优化产业结构</w:t>
            </w:r>
          </w:p>
        </w:tc>
        <w:tc>
          <w:tcPr>
            <w:tcW w:w="2551" w:type="dxa"/>
            <w:vAlign w:val="center"/>
          </w:tcPr>
          <w:p>
            <w:pPr>
              <w:pStyle w:val="16"/>
            </w:pPr>
            <w:r>
              <w:rPr>
                <w:rFonts w:hint="eastAsia"/>
                <w:lang w:eastAsia="zh-CN"/>
              </w:rPr>
              <w:t>不断优化产业结构</w:t>
            </w:r>
          </w:p>
        </w:tc>
        <w:tc>
          <w:tcPr>
            <w:tcW w:w="2268" w:type="dxa"/>
            <w:vAlign w:val="center"/>
          </w:tcPr>
          <w:p>
            <w:pPr>
              <w:pStyle w:val="16"/>
            </w:pPr>
            <w:r>
              <w:rPr>
                <w:rFonts w:hint="eastAsia"/>
                <w:lang w:eastAsia="zh-CN"/>
              </w:rPr>
              <w:t>不断优化产业结构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rPr>
                <w:rFonts w:hint="eastAsia"/>
                <w:lang w:eastAsia="zh-CN"/>
              </w:rPr>
            </w:pPr>
            <w:r>
              <w:rPr>
                <w:rFonts w:hint="eastAsia"/>
                <w:lang w:eastAsia="zh-CN"/>
              </w:rPr>
              <w:t>效果持续时间</w:t>
            </w:r>
          </w:p>
        </w:tc>
        <w:tc>
          <w:tcPr>
            <w:tcW w:w="2551" w:type="dxa"/>
          </w:tcPr>
          <w:p>
            <w:pPr>
              <w:rPr>
                <w:sz w:val="22"/>
              </w:rPr>
            </w:pPr>
            <w:r>
              <w:rPr>
                <w:rFonts w:hint="eastAsia" w:ascii="宋体" w:hAnsi="宋体" w:eastAsia="宋体" w:cs="宋体"/>
                <w:sz w:val="22"/>
                <w:lang w:eastAsia="zh-CN"/>
              </w:rPr>
              <w:t>效果持续时间</w:t>
            </w:r>
          </w:p>
        </w:tc>
        <w:tc>
          <w:tcPr>
            <w:tcW w:w="2268" w:type="dxa"/>
          </w:tcPr>
          <w:p>
            <w:pPr>
              <w:rPr>
                <w:sz w:val="22"/>
              </w:rPr>
            </w:pPr>
            <w:r>
              <w:rPr>
                <w:rFonts w:hint="eastAsia" w:ascii="宋体" w:hAnsi="宋体" w:eastAsia="宋体" w:cs="宋体"/>
                <w:sz w:val="22"/>
                <w:lang w:eastAsia="zh-CN"/>
              </w:rPr>
              <w:t>效果持续时间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≥98%</w:t>
            </w:r>
          </w:p>
        </w:tc>
        <w:tc>
          <w:tcPr>
            <w:tcW w:w="2268"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lang w:eastAsia="zh-CN"/>
        </w:rPr>
        <w:t>价格监测、成本、认定</w:t>
      </w:r>
      <w:r>
        <w:rPr>
          <w:rFonts w:ascii="方正仿宋_GBK" w:hAnsi="方正仿宋_GBK" w:eastAsia="方正仿宋_GBK" w:cs="方正仿宋_GBK"/>
          <w:b/>
          <w:color w:val="000000"/>
          <w:sz w:val="28"/>
        </w:rPr>
        <w:t>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≥1工作按时完成率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≥90政策建议采纳率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≥80企业满意度</w:t>
            </w:r>
          </w:p>
        </w:tc>
        <w:tc>
          <w:tcPr>
            <w:tcW w:w="2268" w:type="dxa"/>
            <w:vAlign w:val="center"/>
          </w:tcPr>
          <w:p>
            <w:pPr>
              <w:pStyle w:val="16"/>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≥85办理单位满意度</w:t>
            </w:r>
          </w:p>
        </w:tc>
        <w:tc>
          <w:tcPr>
            <w:tcW w:w="2268" w:type="dxa"/>
            <w:vAlign w:val="center"/>
          </w:tcPr>
          <w:p>
            <w:pPr>
              <w:pStyle w:val="16"/>
            </w:pPr>
            <w:r>
              <w:t>办理单位满意度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≥80客户满意度</w:t>
            </w:r>
          </w:p>
        </w:tc>
        <w:tc>
          <w:tcPr>
            <w:tcW w:w="2268" w:type="dxa"/>
            <w:vAlign w:val="center"/>
          </w:tcPr>
          <w:p>
            <w:pPr>
              <w:pStyle w:val="16"/>
            </w:pPr>
            <w:r>
              <w:t>客户满意度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w:t>
      </w:r>
      <w:r>
        <w:rPr>
          <w:rFonts w:hint="eastAsia" w:ascii="方正仿宋_GBK" w:hAnsi="方正仿宋_GBK" w:eastAsia="方正仿宋_GBK" w:cs="方正仿宋_GBK"/>
          <w:b/>
          <w:color w:val="000000"/>
          <w:sz w:val="28"/>
          <w:lang w:eastAsia="zh-CN"/>
        </w:rPr>
        <w:t>代扣合同制工人</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≥1工作按时完成率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≥0.85客户满意度</w:t>
            </w:r>
          </w:p>
        </w:tc>
        <w:tc>
          <w:tcPr>
            <w:tcW w:w="2268" w:type="dxa"/>
            <w:vAlign w:val="center"/>
          </w:tcPr>
          <w:p>
            <w:pPr>
              <w:pStyle w:val="16"/>
            </w:pPr>
            <w:r>
              <w:t>客户满意度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≥0.85办理单位满意度</w:t>
            </w:r>
          </w:p>
        </w:tc>
        <w:tc>
          <w:tcPr>
            <w:tcW w:w="2268" w:type="dxa"/>
            <w:vAlign w:val="center"/>
          </w:tcPr>
          <w:p>
            <w:pPr>
              <w:pStyle w:val="16"/>
            </w:pPr>
            <w:r>
              <w:t>办理单位满意度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≥0.9企业满意度</w:t>
            </w:r>
          </w:p>
        </w:tc>
        <w:tc>
          <w:tcPr>
            <w:tcW w:w="2268" w:type="dxa"/>
            <w:vAlign w:val="center"/>
          </w:tcPr>
          <w:p>
            <w:pPr>
              <w:pStyle w:val="16"/>
            </w:pPr>
            <w:r>
              <w:t>企业满意度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w:t>
      </w:r>
      <w:r>
        <w:rPr>
          <w:rFonts w:hint="eastAsia" w:ascii="方正仿宋_GBK" w:hAnsi="方正仿宋_GBK" w:eastAsia="方正仿宋_GBK" w:cs="方正仿宋_GBK"/>
          <w:b/>
          <w:color w:val="000000"/>
          <w:sz w:val="28"/>
          <w:lang w:eastAsia="zh-CN"/>
        </w:rPr>
        <w:t>涉军安置人员工资福利</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lang w:eastAsia="zh-CN"/>
              </w:rPr>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≥95工作按时完成率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≥98质量合格率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≥96政策建议采纳率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投入产出率</w:t>
            </w:r>
          </w:p>
        </w:tc>
        <w:tc>
          <w:tcPr>
            <w:tcW w:w="2835" w:type="dxa"/>
            <w:vAlign w:val="center"/>
          </w:tcPr>
          <w:p>
            <w:pPr>
              <w:pStyle w:val="16"/>
            </w:pPr>
            <w:r>
              <w:t>投入产出率</w:t>
            </w:r>
          </w:p>
        </w:tc>
        <w:tc>
          <w:tcPr>
            <w:tcW w:w="2551" w:type="dxa"/>
            <w:vAlign w:val="center"/>
          </w:tcPr>
          <w:p>
            <w:pPr>
              <w:pStyle w:val="16"/>
            </w:pPr>
            <w:r>
              <w:t>≥94投入产出率</w:t>
            </w:r>
          </w:p>
        </w:tc>
        <w:tc>
          <w:tcPr>
            <w:tcW w:w="2268" w:type="dxa"/>
            <w:vAlign w:val="center"/>
          </w:tcPr>
          <w:p>
            <w:pPr>
              <w:pStyle w:val="16"/>
            </w:pPr>
            <w:r>
              <w:t>投入产出率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利润完成率</w:t>
            </w:r>
          </w:p>
        </w:tc>
        <w:tc>
          <w:tcPr>
            <w:tcW w:w="2835" w:type="dxa"/>
            <w:vAlign w:val="center"/>
          </w:tcPr>
          <w:p>
            <w:pPr>
              <w:pStyle w:val="16"/>
            </w:pPr>
            <w:r>
              <w:t>利润完成率</w:t>
            </w:r>
          </w:p>
        </w:tc>
        <w:tc>
          <w:tcPr>
            <w:tcW w:w="2551" w:type="dxa"/>
            <w:vAlign w:val="center"/>
          </w:tcPr>
          <w:p>
            <w:pPr>
              <w:pStyle w:val="16"/>
            </w:pPr>
            <w:r>
              <w:t>≥93利润完成率</w:t>
            </w:r>
          </w:p>
        </w:tc>
        <w:tc>
          <w:tcPr>
            <w:tcW w:w="2268" w:type="dxa"/>
            <w:vAlign w:val="center"/>
          </w:tcPr>
          <w:p>
            <w:pPr>
              <w:pStyle w:val="16"/>
            </w:pPr>
            <w:r>
              <w:t>利润完成率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社会支持率</w:t>
            </w:r>
          </w:p>
        </w:tc>
        <w:tc>
          <w:tcPr>
            <w:tcW w:w="2835" w:type="dxa"/>
            <w:vAlign w:val="center"/>
          </w:tcPr>
          <w:p>
            <w:pPr>
              <w:pStyle w:val="16"/>
            </w:pPr>
            <w:r>
              <w:t>社会支持率</w:t>
            </w:r>
          </w:p>
        </w:tc>
        <w:tc>
          <w:tcPr>
            <w:tcW w:w="2551" w:type="dxa"/>
            <w:vAlign w:val="center"/>
          </w:tcPr>
          <w:p>
            <w:pPr>
              <w:pStyle w:val="16"/>
            </w:pPr>
            <w:r>
              <w:t>≥90社会支持率</w:t>
            </w:r>
          </w:p>
        </w:tc>
        <w:tc>
          <w:tcPr>
            <w:tcW w:w="2268" w:type="dxa"/>
            <w:vAlign w:val="center"/>
          </w:tcPr>
          <w:p>
            <w:pPr>
              <w:pStyle w:val="16"/>
            </w:pPr>
            <w:r>
              <w:t>社会支持率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≥88生态影响率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持续发展率</w:t>
            </w:r>
          </w:p>
        </w:tc>
        <w:tc>
          <w:tcPr>
            <w:tcW w:w="2835" w:type="dxa"/>
            <w:vAlign w:val="center"/>
          </w:tcPr>
          <w:p>
            <w:pPr>
              <w:pStyle w:val="16"/>
            </w:pPr>
            <w:r>
              <w:t>持续发展率</w:t>
            </w:r>
          </w:p>
        </w:tc>
        <w:tc>
          <w:tcPr>
            <w:tcW w:w="2551" w:type="dxa"/>
            <w:vAlign w:val="center"/>
          </w:tcPr>
          <w:p>
            <w:pPr>
              <w:pStyle w:val="16"/>
            </w:pPr>
            <w:r>
              <w:t>≥89持续发展率</w:t>
            </w:r>
          </w:p>
        </w:tc>
        <w:tc>
          <w:tcPr>
            <w:tcW w:w="2268" w:type="dxa"/>
            <w:vAlign w:val="center"/>
          </w:tcPr>
          <w:p>
            <w:pPr>
              <w:pStyle w:val="16"/>
            </w:pPr>
            <w:r>
              <w:t>持续发展率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客户满意率</w:t>
            </w:r>
          </w:p>
        </w:tc>
        <w:tc>
          <w:tcPr>
            <w:tcW w:w="2835" w:type="dxa"/>
            <w:vAlign w:val="center"/>
          </w:tcPr>
          <w:p>
            <w:pPr>
              <w:pStyle w:val="16"/>
            </w:pPr>
            <w:r>
              <w:t>客户满意率</w:t>
            </w:r>
          </w:p>
        </w:tc>
        <w:tc>
          <w:tcPr>
            <w:tcW w:w="2551" w:type="dxa"/>
            <w:vAlign w:val="center"/>
          </w:tcPr>
          <w:p>
            <w:pPr>
              <w:pStyle w:val="16"/>
            </w:pPr>
            <w:r>
              <w:t>≥85客户满意率</w:t>
            </w:r>
          </w:p>
        </w:tc>
        <w:tc>
          <w:tcPr>
            <w:tcW w:w="2268" w:type="dxa"/>
            <w:vAlign w:val="center"/>
          </w:tcPr>
          <w:p>
            <w:pPr>
              <w:pStyle w:val="16"/>
            </w:pPr>
            <w:r>
              <w:t>客户满意率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w:t>
      </w:r>
      <w:r>
        <w:rPr>
          <w:rFonts w:hint="eastAsia" w:ascii="方正仿宋_GBK" w:hAnsi="方正仿宋_GBK" w:eastAsia="方正仿宋_GBK" w:cs="方正仿宋_GBK"/>
          <w:b/>
          <w:color w:val="000000"/>
          <w:sz w:val="28"/>
          <w:lang w:eastAsia="zh-CN"/>
        </w:rPr>
        <w:t>原二轻人员石永言抚恤金及丧葬</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≥1工作按时完成率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企业满意率</w:t>
            </w:r>
          </w:p>
        </w:tc>
        <w:tc>
          <w:tcPr>
            <w:tcW w:w="2835" w:type="dxa"/>
            <w:vAlign w:val="center"/>
          </w:tcPr>
          <w:p>
            <w:pPr>
              <w:pStyle w:val="16"/>
            </w:pPr>
            <w:r>
              <w:t>企业满意率</w:t>
            </w:r>
          </w:p>
        </w:tc>
        <w:tc>
          <w:tcPr>
            <w:tcW w:w="2551" w:type="dxa"/>
            <w:vAlign w:val="center"/>
          </w:tcPr>
          <w:p>
            <w:pPr>
              <w:pStyle w:val="16"/>
            </w:pPr>
            <w:r>
              <w:t>≥1企业满意率</w:t>
            </w:r>
          </w:p>
        </w:tc>
        <w:tc>
          <w:tcPr>
            <w:tcW w:w="2268" w:type="dxa"/>
            <w:vAlign w:val="center"/>
          </w:tcPr>
          <w:p>
            <w:pPr>
              <w:pStyle w:val="16"/>
            </w:pPr>
            <w:r>
              <w:t>企业满意率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≥80生态影响</w:t>
            </w:r>
          </w:p>
        </w:tc>
        <w:tc>
          <w:tcPr>
            <w:tcW w:w="2268"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企事业满意率</w:t>
            </w:r>
          </w:p>
        </w:tc>
        <w:tc>
          <w:tcPr>
            <w:tcW w:w="2835" w:type="dxa"/>
            <w:vAlign w:val="center"/>
          </w:tcPr>
          <w:p>
            <w:pPr>
              <w:pStyle w:val="16"/>
            </w:pPr>
            <w:r>
              <w:t>企事业满意率</w:t>
            </w:r>
          </w:p>
        </w:tc>
        <w:tc>
          <w:tcPr>
            <w:tcW w:w="2551" w:type="dxa"/>
            <w:vAlign w:val="center"/>
          </w:tcPr>
          <w:p>
            <w:pPr>
              <w:pStyle w:val="16"/>
            </w:pPr>
            <w:r>
              <w:t>≥90企事业满意率</w:t>
            </w:r>
          </w:p>
        </w:tc>
        <w:tc>
          <w:tcPr>
            <w:tcW w:w="2268" w:type="dxa"/>
            <w:vAlign w:val="center"/>
          </w:tcPr>
          <w:p>
            <w:pPr>
              <w:pStyle w:val="16"/>
            </w:pPr>
            <w:r>
              <w:t>企事业满意率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办公单位满意率</w:t>
            </w:r>
          </w:p>
        </w:tc>
        <w:tc>
          <w:tcPr>
            <w:tcW w:w="2835" w:type="dxa"/>
            <w:vAlign w:val="center"/>
          </w:tcPr>
          <w:p>
            <w:pPr>
              <w:pStyle w:val="16"/>
            </w:pPr>
            <w:r>
              <w:t>办公单位满意率</w:t>
            </w:r>
          </w:p>
        </w:tc>
        <w:tc>
          <w:tcPr>
            <w:tcW w:w="2551" w:type="dxa"/>
            <w:vAlign w:val="center"/>
          </w:tcPr>
          <w:p>
            <w:pPr>
              <w:pStyle w:val="16"/>
            </w:pPr>
            <w:r>
              <w:t>≥80办公单位满意率</w:t>
            </w:r>
          </w:p>
        </w:tc>
        <w:tc>
          <w:tcPr>
            <w:tcW w:w="2268" w:type="dxa"/>
            <w:vAlign w:val="center"/>
          </w:tcPr>
          <w:p>
            <w:pPr>
              <w:pStyle w:val="16"/>
            </w:pPr>
            <w:r>
              <w:t>办公单位满意率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客户满意率</w:t>
            </w:r>
          </w:p>
        </w:tc>
        <w:tc>
          <w:tcPr>
            <w:tcW w:w="2835" w:type="dxa"/>
            <w:vAlign w:val="center"/>
          </w:tcPr>
          <w:p>
            <w:pPr>
              <w:pStyle w:val="16"/>
            </w:pPr>
            <w:r>
              <w:t>客户满意率</w:t>
            </w:r>
          </w:p>
        </w:tc>
        <w:tc>
          <w:tcPr>
            <w:tcW w:w="2551" w:type="dxa"/>
            <w:vAlign w:val="center"/>
          </w:tcPr>
          <w:p>
            <w:pPr>
              <w:pStyle w:val="16"/>
            </w:pPr>
            <w:r>
              <w:t>≥80客户满意率</w:t>
            </w:r>
          </w:p>
        </w:tc>
        <w:tc>
          <w:tcPr>
            <w:tcW w:w="2268" w:type="dxa"/>
            <w:vAlign w:val="center"/>
          </w:tcPr>
          <w:p>
            <w:pPr>
              <w:pStyle w:val="16"/>
            </w:pPr>
            <w:r>
              <w:t>客户满意率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lang w:eastAsia="zh-CN"/>
        </w:rPr>
        <w:t>《宁晋县战略性新兴产业发展“十四五”规划》编制经费</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lang w:eastAsia="zh-CN"/>
              </w:rPr>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≥0.9政策建议采纳率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≥0.8企业满意度</w:t>
            </w:r>
          </w:p>
        </w:tc>
        <w:tc>
          <w:tcPr>
            <w:tcW w:w="2268" w:type="dxa"/>
            <w:vAlign w:val="center"/>
          </w:tcPr>
          <w:p>
            <w:pPr>
              <w:pStyle w:val="16"/>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≥0.8办理单位满意度</w:t>
            </w:r>
          </w:p>
        </w:tc>
        <w:tc>
          <w:tcPr>
            <w:tcW w:w="2268" w:type="dxa"/>
            <w:vAlign w:val="center"/>
          </w:tcPr>
          <w:p>
            <w:pPr>
              <w:pStyle w:val="16"/>
            </w:pPr>
            <w:r>
              <w:t>办理单位满意度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≥0.85客户满意度</w:t>
            </w:r>
          </w:p>
        </w:tc>
        <w:tc>
          <w:tcPr>
            <w:tcW w:w="2268" w:type="dxa"/>
            <w:vAlign w:val="center"/>
          </w:tcPr>
          <w:p>
            <w:pPr>
              <w:pStyle w:val="16"/>
            </w:pPr>
            <w:r>
              <w:t>客户满意度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lang w:eastAsia="zh-CN"/>
        </w:rPr>
        <w:t>《宁晋县智慧城市发展总体规划》编制经</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bookmarkStart w:id="14" w:name="_Toc_3_3_0000000015"/>
      <w:r>
        <w:rPr>
          <w:rFonts w:hint="eastAsia" w:ascii="方正仿宋_GBK" w:hAnsi="方正仿宋_GBK" w:eastAsia="方正仿宋_GBK" w:cs="方正仿宋_GBK"/>
          <w:b/>
          <w:color w:val="000000"/>
          <w:sz w:val="28"/>
          <w:lang w:eastAsia="zh-CN"/>
        </w:rPr>
        <w:t>20</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粮食执法监管经</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21</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原物价局遗留债务</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22</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双创双服办公室办公经</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23</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《宁晋县保障和改善公共服务“十四五”规划》编制经</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6"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24</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2020年度目标绩效奖</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25</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优质粮食工程补助资金（喜和圣玉锋）（以前年度）</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26</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《宁晋县发展循环经济“十四五”规划》编制经</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27</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2020年度精神文明奖及平安建设奖</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w:t>
      </w:r>
      <w:r>
        <w:rPr>
          <w:rFonts w:hint="eastAsia" w:eastAsia="方正仿宋_GBK" w:cs="Times New Roman"/>
          <w:color w:val="000000"/>
          <w:sz w:val="28"/>
          <w:lang w:eastAsia="zh-CN"/>
        </w:rPr>
        <w:t>1</w:t>
      </w:r>
      <w:r>
        <w:rPr>
          <w:rFonts w:eastAsia="方正仿宋_GBK" w:cs="Times New Roman"/>
          <w:color w:val="000000"/>
          <w:sz w:val="28"/>
        </w:rPr>
        <w:t>年，宁晋县发展和改革局安排政府采购预算0.00万元。具体内容见下表。</w:t>
      </w: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1034"/>
        <w:gridCol w:w="81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303宁晋县发展和改革局</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1034" w:type="dxa"/>
            <w:vMerge w:val="restart"/>
            <w:vAlign w:val="center"/>
          </w:tcPr>
          <w:p>
            <w:pPr>
              <w:pStyle w:val="14"/>
            </w:pPr>
            <w:r>
              <w:t>计量  单位</w:t>
            </w:r>
          </w:p>
        </w:tc>
        <w:tc>
          <w:tcPr>
            <w:tcW w:w="81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w:t>
            </w:r>
            <w:r>
              <w:rPr>
                <w:rFonts w:hint="eastAsia"/>
                <w:lang w:eastAsia="zh-CN"/>
              </w:rPr>
              <w:t>1</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1034" w:type="dxa"/>
            <w:vMerge w:val="continue"/>
          </w:tcPr>
          <w:p/>
        </w:tc>
        <w:tc>
          <w:tcPr>
            <w:tcW w:w="81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1034" w:type="dxa"/>
            <w:vAlign w:val="center"/>
          </w:tcPr>
          <w:p>
            <w:pPr>
              <w:pStyle w:val="17"/>
            </w:pPr>
          </w:p>
        </w:tc>
        <w:tc>
          <w:tcPr>
            <w:tcW w:w="81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rPr>
          <w:rFonts w:ascii="黑体" w:hAnsi="黑体" w:eastAsia="黑体" w:cs="黑体"/>
          <w:color w:val="000000"/>
          <w:sz w:val="32"/>
        </w:rPr>
      </w:pPr>
      <w:bookmarkStart w:id="15" w:name="_Toc_3_3_0000000016"/>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宁晋县发展和改革局（含所属单位）上年末固定资产金额为</w:t>
      </w:r>
      <w:r>
        <w:rPr>
          <w:rFonts w:hint="eastAsia" w:eastAsia="方正仿宋_GBK" w:cs="Times New Roman"/>
          <w:color w:val="000000"/>
          <w:sz w:val="28"/>
          <w:lang w:eastAsia="zh-CN"/>
        </w:rPr>
        <w:t>136.1415</w:t>
      </w:r>
      <w:r>
        <w:rPr>
          <w:rFonts w:eastAsia="方正仿宋_GBK" w:cs="Times New Roman"/>
          <w:color w:val="000000"/>
          <w:sz w:val="28"/>
        </w:rPr>
        <w:t>万元（详见下表）。本年度拟购置固定资产总额为0.00万元，已按要求列入政府采购预算，详见政府采购预算表。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303宁晋县发展和改革局</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w:t>
            </w:r>
            <w:r>
              <w:rPr>
                <w:rFonts w:hint="eastAsia"/>
                <w:lang w:eastAsia="zh-CN"/>
              </w:rPr>
              <w:t>0</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tabs>
                <w:tab w:val="left" w:pos="1840"/>
              </w:tabs>
              <w:rPr>
                <w:lang w:eastAsia="zh-CN"/>
              </w:rPr>
            </w:pPr>
            <w:r>
              <w:rPr>
                <w:rFonts w:hint="eastAsia"/>
                <w:lang w:eastAsia="zh-CN"/>
              </w:rPr>
              <w:t>资产总额</w:t>
            </w:r>
          </w:p>
        </w:tc>
        <w:tc>
          <w:tcPr>
            <w:tcW w:w="4933" w:type="dxa"/>
            <w:vAlign w:val="center"/>
          </w:tcPr>
          <w:p>
            <w:pPr>
              <w:pStyle w:val="17"/>
            </w:pPr>
          </w:p>
        </w:tc>
        <w:tc>
          <w:tcPr>
            <w:tcW w:w="4933" w:type="dxa"/>
            <w:vAlign w:val="center"/>
          </w:tcPr>
          <w:p>
            <w:pPr>
              <w:pStyle w:val="15"/>
              <w:rPr>
                <w:lang w:eastAsia="zh-CN"/>
              </w:rPr>
            </w:pPr>
            <w:r>
              <w:rPr>
                <w:rFonts w:hint="eastAsia"/>
                <w:lang w:eastAsia="zh-CN"/>
              </w:rPr>
              <w:t>136.1415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rPr>
                <w:lang w:eastAsia="zh-CN"/>
              </w:rPr>
            </w:pPr>
            <w:r>
              <w:rPr>
                <w:rFonts w:hint="eastAsia"/>
                <w:lang w:eastAsia="zh-CN"/>
              </w:rPr>
              <w:t>500</w:t>
            </w:r>
          </w:p>
        </w:tc>
        <w:tc>
          <w:tcPr>
            <w:tcW w:w="4933" w:type="dxa"/>
            <w:vAlign w:val="center"/>
          </w:tcPr>
          <w:p>
            <w:pPr>
              <w:pStyle w:val="15"/>
              <w:rPr>
                <w:lang w:eastAsia="zh-CN"/>
              </w:rPr>
            </w:pPr>
            <w:r>
              <w:rPr>
                <w:rFonts w:hint="eastAsia"/>
                <w:lang w:eastAsia="zh-CN"/>
              </w:rPr>
              <w:t>87.48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rPr>
                <w:lang w:eastAsia="zh-CN"/>
              </w:rPr>
            </w:pPr>
            <w:r>
              <w:rPr>
                <w:rFonts w:hint="eastAsia"/>
                <w:lang w:eastAsia="zh-CN"/>
              </w:rPr>
              <w:t>2、汽车</w:t>
            </w:r>
          </w:p>
        </w:tc>
        <w:tc>
          <w:tcPr>
            <w:tcW w:w="4933" w:type="dxa"/>
            <w:vAlign w:val="center"/>
          </w:tcPr>
          <w:p>
            <w:pPr>
              <w:pStyle w:val="17"/>
              <w:rPr>
                <w:lang w:eastAsia="zh-CN"/>
              </w:rPr>
            </w:pPr>
            <w:r>
              <w:rPr>
                <w:rFonts w:hint="eastAsia"/>
                <w:lang w:eastAsia="zh-CN"/>
              </w:rPr>
              <w:t>2</w:t>
            </w:r>
          </w:p>
        </w:tc>
        <w:tc>
          <w:tcPr>
            <w:tcW w:w="4933" w:type="dxa"/>
            <w:vAlign w:val="center"/>
          </w:tcPr>
          <w:p>
            <w:pPr>
              <w:pStyle w:val="15"/>
              <w:rPr>
                <w:lang w:eastAsia="zh-CN"/>
              </w:rPr>
            </w:pPr>
            <w:r>
              <w:rPr>
                <w:rFonts w:hint="eastAsia"/>
                <w:lang w:eastAsia="zh-CN"/>
              </w:rPr>
              <w:t>29.10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rPr>
                <w:lang w:eastAsia="zh-CN"/>
              </w:rPr>
            </w:pPr>
            <w:r>
              <w:rPr>
                <w:rFonts w:hint="eastAsia"/>
                <w:lang w:eastAsia="zh-CN"/>
              </w:rPr>
              <w:t>3、其他资产</w:t>
            </w:r>
          </w:p>
        </w:tc>
        <w:tc>
          <w:tcPr>
            <w:tcW w:w="4933" w:type="dxa"/>
            <w:vAlign w:val="center"/>
          </w:tcPr>
          <w:p>
            <w:pPr>
              <w:pStyle w:val="17"/>
              <w:rPr>
                <w:lang w:eastAsia="zh-CN"/>
              </w:rPr>
            </w:pPr>
          </w:p>
        </w:tc>
        <w:tc>
          <w:tcPr>
            <w:tcW w:w="4933" w:type="dxa"/>
            <w:vAlign w:val="center"/>
          </w:tcPr>
          <w:p>
            <w:pPr>
              <w:pStyle w:val="15"/>
              <w:rPr>
                <w:lang w:eastAsia="zh-CN"/>
              </w:rPr>
            </w:pPr>
            <w:r>
              <w:rPr>
                <w:rFonts w:hint="eastAsia"/>
                <w:lang w:eastAsia="zh-CN"/>
              </w:rPr>
              <w:t>19.5615</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2"/>
        <w:rPr>
          <w:rFonts w:ascii="黑体" w:hAnsi="黑体" w:eastAsia="黑体" w:cs="黑体"/>
          <w:color w:val="000000"/>
          <w:sz w:val="32"/>
        </w:rPr>
      </w:pPr>
      <w:bookmarkStart w:id="16" w:name="_Toc_3_3_0000000017"/>
    </w:p>
    <w:p>
      <w:pPr>
        <w:spacing w:before="10" w:after="10"/>
        <w:ind w:firstLine="640"/>
        <w:outlineLvl w:val="2"/>
      </w:pPr>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rPr>
          <w:rFonts w:ascii="黑体" w:hAnsi="黑体" w:eastAsia="黑体" w:cs="黑体"/>
          <w:color w:val="000000"/>
          <w:sz w:val="32"/>
        </w:rPr>
      </w:pPr>
      <w:bookmarkStart w:id="17" w:name="_Toc_3_3_0000000018"/>
    </w:p>
    <w:p>
      <w:pPr>
        <w:spacing w:before="10" w:after="10"/>
        <w:ind w:firstLine="640"/>
        <w:outlineLvl w:val="2"/>
      </w:pPr>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一、宁晋县发展和改革局本级收支预算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303001宁晋县发展和改革局本级</w:t>
            </w:r>
          </w:p>
        </w:tc>
        <w:tc>
          <w:tcPr>
            <w:tcW w:w="2126" w:type="dxa"/>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一、一般公共预算拨款收入</w:t>
            </w:r>
          </w:p>
        </w:tc>
        <w:tc>
          <w:tcPr>
            <w:tcW w:w="212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一、一般公共服务支出</w:t>
            </w:r>
          </w:p>
        </w:tc>
        <w:tc>
          <w:tcPr>
            <w:tcW w:w="2126" w:type="dxa"/>
            <w:vAlign w:val="center"/>
          </w:tcPr>
          <w:p>
            <w:pPr>
              <w:jc w:val="right"/>
              <w:textAlignment w:val="center"/>
              <w:rPr>
                <w:rFonts w:eastAsia="方正书宋_GBK"/>
                <w:b/>
                <w:bCs/>
                <w:sz w:val="36"/>
                <w:szCs w:val="36"/>
                <w:lang w:eastAsia="zh-CN"/>
              </w:rPr>
            </w:pPr>
            <w:r>
              <w:rPr>
                <w:rFonts w:hint="eastAsia" w:ascii="宋体" w:hAnsi="宋体" w:eastAsia="宋体" w:cs="宋体"/>
                <w:b/>
                <w:bCs/>
                <w:color w:val="000000"/>
                <w:sz w:val="22"/>
                <w:szCs w:val="22"/>
                <w:lang w:eastAsia="zh-CN"/>
              </w:rPr>
              <w:t>1006.48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二、政府性基金预算拨款收入</w:t>
            </w: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二、外交支出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三、国有资本经营预算拨款收入</w:t>
            </w: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三、国防支出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四、财政专户管理资金收入</w:t>
            </w: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四、公共安全支出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五、事业收入</w:t>
            </w: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五、教育支出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六、事业单位经营收入</w:t>
            </w: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六、科学技术支出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七、上级补助收入</w:t>
            </w: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七、文化旅游体育与传媒支出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八、附属单位上缴收入</w:t>
            </w: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八、社会保障和就业支出</w:t>
            </w:r>
          </w:p>
        </w:tc>
        <w:tc>
          <w:tcPr>
            <w:tcW w:w="212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163.29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九、其他收入</w:t>
            </w: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九、社会保险基金支出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十、卫生健康支出</w:t>
            </w:r>
          </w:p>
        </w:tc>
        <w:tc>
          <w:tcPr>
            <w:tcW w:w="212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十一、节能环保支出</w:t>
            </w:r>
          </w:p>
        </w:tc>
        <w:tc>
          <w:tcPr>
            <w:tcW w:w="212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十二、城乡社区支出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十三、农林水支出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十四、交通运输支出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十五、资源勘探工业信息等支出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十六、商业服务业等支出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十七、金融支出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十八、援助其他地区支出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十九、自然资源海洋气象等支出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二十、住房保障支出</w:t>
            </w:r>
          </w:p>
        </w:tc>
        <w:tc>
          <w:tcPr>
            <w:tcW w:w="212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二十一、粮油物资储备支出</w:t>
            </w:r>
          </w:p>
        </w:tc>
        <w:tc>
          <w:tcPr>
            <w:tcW w:w="212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906.50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二十二、国有资本经营预算支出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二十三、灾害防治及应急管理支出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二十四、预备费</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二十五、其他支出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二十六、转移性支出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二十七、灾害防治及应急管理共同财政事权转移支付支出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二十八、债务还本支出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二十九、债务付息支出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三十、债务发行费用支出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rPr>
                <w:b/>
                <w:bCs/>
              </w:rPr>
            </w:pP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三十一、抗疫特别国债安排的支出</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本年收入合计</w:t>
            </w:r>
          </w:p>
        </w:tc>
        <w:tc>
          <w:tcPr>
            <w:tcW w:w="212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本年支出合计</w:t>
            </w:r>
          </w:p>
        </w:tc>
        <w:tc>
          <w:tcPr>
            <w:tcW w:w="212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上年结转结余</w:t>
            </w:r>
          </w:p>
        </w:tc>
        <w:tc>
          <w:tcPr>
            <w:tcW w:w="2126" w:type="dxa"/>
            <w:vAlign w:val="center"/>
          </w:tcPr>
          <w:p>
            <w:pPr>
              <w:jc w:val="right"/>
              <w:rPr>
                <w:b/>
                <w:bCs/>
              </w:rPr>
            </w:pP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年终结转结余</w:t>
            </w:r>
          </w:p>
        </w:tc>
        <w:tc>
          <w:tcPr>
            <w:tcW w:w="2126"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收入总计</w:t>
            </w:r>
          </w:p>
        </w:tc>
        <w:tc>
          <w:tcPr>
            <w:tcW w:w="212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c>
          <w:tcPr>
            <w:tcW w:w="4535" w:type="dxa"/>
            <w:vAlign w:val="center"/>
          </w:tcPr>
          <w:p>
            <w:pPr>
              <w:textAlignment w:val="center"/>
              <w:rPr>
                <w:b/>
                <w:bCs/>
                <w:sz w:val="36"/>
                <w:szCs w:val="36"/>
              </w:rPr>
            </w:pPr>
            <w:r>
              <w:rPr>
                <w:rFonts w:hint="eastAsia" w:ascii="宋体" w:hAnsi="宋体" w:eastAsia="宋体" w:cs="宋体"/>
                <w:b/>
                <w:bCs/>
                <w:color w:val="000000"/>
                <w:sz w:val="22"/>
                <w:szCs w:val="22"/>
                <w:lang w:eastAsia="zh-CN"/>
              </w:rPr>
              <w:t>支出总计</w:t>
            </w:r>
          </w:p>
        </w:tc>
        <w:tc>
          <w:tcPr>
            <w:tcW w:w="212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74"/>
        <w:gridCol w:w="1232"/>
        <w:gridCol w:w="1463"/>
        <w:gridCol w:w="2133"/>
        <w:gridCol w:w="1066"/>
        <w:gridCol w:w="1379"/>
        <w:gridCol w:w="1174"/>
        <w:gridCol w:w="850"/>
        <w:gridCol w:w="850"/>
        <w:gridCol w:w="1129"/>
        <w:gridCol w:w="1430"/>
        <w:gridCol w:w="865"/>
        <w:gridCol w:w="8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3" w:type="pct"/>
            <w:gridSpan w:val="5"/>
            <w:tcBorders>
              <w:top w:val="single" w:color="FFFFFF" w:sz="6" w:space="0"/>
              <w:left w:val="single" w:color="FFFFFF" w:sz="6" w:space="0"/>
              <w:right w:val="single" w:color="FFFFFF" w:sz="6" w:space="0"/>
            </w:tcBorders>
            <w:vAlign w:val="center"/>
          </w:tcPr>
          <w:p>
            <w:pPr>
              <w:pStyle w:val="13"/>
            </w:pPr>
            <w:r>
              <w:t>303001宁晋县发展和改革局本级</w:t>
            </w:r>
          </w:p>
        </w:tc>
        <w:tc>
          <w:tcPr>
            <w:tcW w:w="1133" w:type="pct"/>
            <w:gridSpan w:val="3"/>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1713"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 w:type="pct"/>
            <w:vMerge w:val="restart"/>
            <w:vAlign w:val="center"/>
          </w:tcPr>
          <w:p>
            <w:pPr>
              <w:pStyle w:val="14"/>
            </w:pPr>
            <w:r>
              <w:t>序号</w:t>
            </w:r>
          </w:p>
        </w:tc>
        <w:tc>
          <w:tcPr>
            <w:tcW w:w="897" w:type="pct"/>
            <w:gridSpan w:val="2"/>
            <w:vAlign w:val="center"/>
          </w:tcPr>
          <w:p>
            <w:pPr>
              <w:pStyle w:val="14"/>
            </w:pPr>
            <w:r>
              <w:t>功能分类科目</w:t>
            </w:r>
          </w:p>
        </w:tc>
        <w:tc>
          <w:tcPr>
            <w:tcW w:w="710" w:type="pct"/>
            <w:vMerge w:val="restart"/>
            <w:vAlign w:val="center"/>
          </w:tcPr>
          <w:p>
            <w:pPr>
              <w:pStyle w:val="14"/>
            </w:pPr>
            <w:r>
              <w:t>合计</w:t>
            </w:r>
          </w:p>
        </w:tc>
        <w:tc>
          <w:tcPr>
            <w:tcW w:w="2910" w:type="pct"/>
            <w:gridSpan w:val="8"/>
            <w:vAlign w:val="center"/>
          </w:tcPr>
          <w:p>
            <w:pPr>
              <w:pStyle w:val="14"/>
            </w:pPr>
            <w:r>
              <w:t>本年收入</w:t>
            </w:r>
          </w:p>
        </w:tc>
        <w:tc>
          <w:tcPr>
            <w:tcW w:w="290"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 w:type="pct"/>
            <w:vMerge w:val="continue"/>
          </w:tcPr>
          <w:p/>
        </w:tc>
        <w:tc>
          <w:tcPr>
            <w:tcW w:w="410" w:type="pct"/>
            <w:vAlign w:val="center"/>
          </w:tcPr>
          <w:p>
            <w:pPr>
              <w:pStyle w:val="14"/>
            </w:pPr>
            <w:r>
              <w:t>科目    编码</w:t>
            </w:r>
          </w:p>
        </w:tc>
        <w:tc>
          <w:tcPr>
            <w:tcW w:w="487" w:type="pct"/>
            <w:vAlign w:val="center"/>
          </w:tcPr>
          <w:p>
            <w:pPr>
              <w:pStyle w:val="14"/>
            </w:pPr>
            <w:r>
              <w:t>科目名称</w:t>
            </w:r>
          </w:p>
        </w:tc>
        <w:tc>
          <w:tcPr>
            <w:tcW w:w="710" w:type="pct"/>
            <w:vMerge w:val="continue"/>
          </w:tcPr>
          <w:p/>
        </w:tc>
        <w:tc>
          <w:tcPr>
            <w:tcW w:w="353" w:type="pct"/>
            <w:vAlign w:val="center"/>
          </w:tcPr>
          <w:p>
            <w:pPr>
              <w:pStyle w:val="14"/>
            </w:pPr>
            <w:r>
              <w:t>小计</w:t>
            </w:r>
          </w:p>
        </w:tc>
        <w:tc>
          <w:tcPr>
            <w:tcW w:w="459" w:type="pct"/>
            <w:vAlign w:val="center"/>
          </w:tcPr>
          <w:p>
            <w:pPr>
              <w:pStyle w:val="14"/>
            </w:pPr>
            <w:r>
              <w:t>财政拨款 收入</w:t>
            </w:r>
          </w:p>
        </w:tc>
        <w:tc>
          <w:tcPr>
            <w:tcW w:w="391" w:type="pct"/>
            <w:vAlign w:val="center"/>
          </w:tcPr>
          <w:p>
            <w:pPr>
              <w:pStyle w:val="14"/>
            </w:pPr>
            <w:r>
              <w:t>财政专户 收入</w:t>
            </w:r>
          </w:p>
        </w:tc>
        <w:tc>
          <w:tcPr>
            <w:tcW w:w="283" w:type="pct"/>
            <w:vAlign w:val="center"/>
          </w:tcPr>
          <w:p>
            <w:pPr>
              <w:pStyle w:val="14"/>
            </w:pPr>
            <w:r>
              <w:t>事业收入</w:t>
            </w:r>
          </w:p>
        </w:tc>
        <w:tc>
          <w:tcPr>
            <w:tcW w:w="283" w:type="pct"/>
            <w:vAlign w:val="center"/>
          </w:tcPr>
          <w:p>
            <w:pPr>
              <w:pStyle w:val="14"/>
            </w:pPr>
            <w:r>
              <w:t>经营收入</w:t>
            </w:r>
          </w:p>
        </w:tc>
        <w:tc>
          <w:tcPr>
            <w:tcW w:w="376" w:type="pct"/>
            <w:vAlign w:val="center"/>
          </w:tcPr>
          <w:p>
            <w:pPr>
              <w:pStyle w:val="14"/>
            </w:pPr>
            <w:r>
              <w:t>上级补助收入</w:t>
            </w:r>
          </w:p>
        </w:tc>
        <w:tc>
          <w:tcPr>
            <w:tcW w:w="476" w:type="pct"/>
            <w:vAlign w:val="center"/>
          </w:tcPr>
          <w:p>
            <w:pPr>
              <w:pStyle w:val="14"/>
            </w:pPr>
            <w:r>
              <w:t>附属单位上缴收入</w:t>
            </w:r>
          </w:p>
        </w:tc>
        <w:tc>
          <w:tcPr>
            <w:tcW w:w="288" w:type="pct"/>
            <w:vAlign w:val="center"/>
          </w:tcPr>
          <w:p>
            <w:pPr>
              <w:pStyle w:val="14"/>
            </w:pPr>
            <w:r>
              <w:t>其他收入</w:t>
            </w:r>
          </w:p>
        </w:tc>
        <w:tc>
          <w:tcPr>
            <w:tcW w:w="290"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 w:type="pct"/>
            <w:vAlign w:val="center"/>
          </w:tcPr>
          <w:p>
            <w:pPr>
              <w:pStyle w:val="14"/>
            </w:pPr>
            <w:r>
              <w:t>栏次</w:t>
            </w:r>
          </w:p>
        </w:tc>
        <w:tc>
          <w:tcPr>
            <w:tcW w:w="410" w:type="pct"/>
            <w:vAlign w:val="center"/>
          </w:tcPr>
          <w:p>
            <w:pPr>
              <w:pStyle w:val="14"/>
            </w:pPr>
            <w:r>
              <w:t>1</w:t>
            </w:r>
          </w:p>
        </w:tc>
        <w:tc>
          <w:tcPr>
            <w:tcW w:w="487" w:type="pct"/>
            <w:vAlign w:val="center"/>
          </w:tcPr>
          <w:p>
            <w:pPr>
              <w:pStyle w:val="14"/>
            </w:pPr>
            <w:r>
              <w:t>2</w:t>
            </w:r>
          </w:p>
        </w:tc>
        <w:tc>
          <w:tcPr>
            <w:tcW w:w="710" w:type="pct"/>
            <w:vAlign w:val="center"/>
          </w:tcPr>
          <w:p>
            <w:pPr>
              <w:pStyle w:val="14"/>
            </w:pPr>
            <w:r>
              <w:t>3</w:t>
            </w:r>
          </w:p>
        </w:tc>
        <w:tc>
          <w:tcPr>
            <w:tcW w:w="353" w:type="pct"/>
            <w:vAlign w:val="center"/>
          </w:tcPr>
          <w:p>
            <w:pPr>
              <w:pStyle w:val="14"/>
            </w:pPr>
            <w:r>
              <w:t>4</w:t>
            </w:r>
          </w:p>
        </w:tc>
        <w:tc>
          <w:tcPr>
            <w:tcW w:w="459" w:type="pct"/>
            <w:vAlign w:val="center"/>
          </w:tcPr>
          <w:p>
            <w:pPr>
              <w:pStyle w:val="14"/>
            </w:pPr>
            <w:r>
              <w:t>5</w:t>
            </w:r>
          </w:p>
        </w:tc>
        <w:tc>
          <w:tcPr>
            <w:tcW w:w="391" w:type="pct"/>
            <w:vAlign w:val="center"/>
          </w:tcPr>
          <w:p>
            <w:pPr>
              <w:pStyle w:val="14"/>
            </w:pPr>
            <w:r>
              <w:t>6</w:t>
            </w:r>
          </w:p>
        </w:tc>
        <w:tc>
          <w:tcPr>
            <w:tcW w:w="283" w:type="pct"/>
            <w:vAlign w:val="center"/>
          </w:tcPr>
          <w:p>
            <w:pPr>
              <w:pStyle w:val="14"/>
            </w:pPr>
            <w:r>
              <w:t>7</w:t>
            </w:r>
          </w:p>
        </w:tc>
        <w:tc>
          <w:tcPr>
            <w:tcW w:w="283" w:type="pct"/>
            <w:vAlign w:val="center"/>
          </w:tcPr>
          <w:p>
            <w:pPr>
              <w:pStyle w:val="14"/>
            </w:pPr>
            <w:r>
              <w:t>8</w:t>
            </w:r>
          </w:p>
        </w:tc>
        <w:tc>
          <w:tcPr>
            <w:tcW w:w="376" w:type="pct"/>
            <w:vAlign w:val="center"/>
          </w:tcPr>
          <w:p>
            <w:pPr>
              <w:pStyle w:val="14"/>
            </w:pPr>
            <w:r>
              <w:t>9</w:t>
            </w:r>
          </w:p>
        </w:tc>
        <w:tc>
          <w:tcPr>
            <w:tcW w:w="476" w:type="pct"/>
            <w:vAlign w:val="center"/>
          </w:tcPr>
          <w:p>
            <w:pPr>
              <w:pStyle w:val="14"/>
            </w:pPr>
            <w:r>
              <w:t>10</w:t>
            </w:r>
          </w:p>
        </w:tc>
        <w:tc>
          <w:tcPr>
            <w:tcW w:w="288" w:type="pct"/>
            <w:vAlign w:val="center"/>
          </w:tcPr>
          <w:p>
            <w:pPr>
              <w:pStyle w:val="14"/>
            </w:pPr>
            <w:r>
              <w:t>11</w:t>
            </w:r>
          </w:p>
        </w:tc>
        <w:tc>
          <w:tcPr>
            <w:tcW w:w="290"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w:t>
            </w:r>
          </w:p>
        </w:tc>
        <w:tc>
          <w:tcPr>
            <w:tcW w:w="410" w:type="pct"/>
            <w:vAlign w:val="center"/>
          </w:tcPr>
          <w:p>
            <w:pPr>
              <w:pStyle w:val="20"/>
            </w:pPr>
          </w:p>
        </w:tc>
        <w:tc>
          <w:tcPr>
            <w:tcW w:w="487" w:type="pct"/>
            <w:vAlign w:val="center"/>
          </w:tcPr>
          <w:p>
            <w:pPr>
              <w:rPr>
                <w:b/>
                <w:bCs/>
                <w:sz w:val="22"/>
                <w:szCs w:val="22"/>
              </w:rPr>
            </w:pP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合计</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3251.60</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3251.60</w:t>
            </w:r>
          </w:p>
        </w:tc>
        <w:tc>
          <w:tcPr>
            <w:tcW w:w="391" w:type="pct"/>
            <w:vAlign w:val="center"/>
          </w:tcPr>
          <w:p>
            <w:pPr>
              <w:pStyle w:val="19"/>
            </w:pPr>
          </w:p>
        </w:tc>
        <w:tc>
          <w:tcPr>
            <w:tcW w:w="283" w:type="pct"/>
            <w:vAlign w:val="center"/>
          </w:tcPr>
          <w:p>
            <w:pPr>
              <w:pStyle w:val="19"/>
            </w:pPr>
          </w:p>
        </w:tc>
        <w:tc>
          <w:tcPr>
            <w:tcW w:w="283" w:type="pct"/>
            <w:vAlign w:val="center"/>
          </w:tcPr>
          <w:p>
            <w:pPr>
              <w:pStyle w:val="19"/>
            </w:pPr>
          </w:p>
        </w:tc>
        <w:tc>
          <w:tcPr>
            <w:tcW w:w="376" w:type="pct"/>
            <w:vAlign w:val="center"/>
          </w:tcPr>
          <w:p>
            <w:pPr>
              <w:pStyle w:val="19"/>
            </w:pPr>
          </w:p>
        </w:tc>
        <w:tc>
          <w:tcPr>
            <w:tcW w:w="476" w:type="pct"/>
            <w:vAlign w:val="center"/>
          </w:tcPr>
          <w:p>
            <w:pPr>
              <w:pStyle w:val="19"/>
            </w:pPr>
          </w:p>
        </w:tc>
        <w:tc>
          <w:tcPr>
            <w:tcW w:w="288" w:type="pct"/>
            <w:vAlign w:val="center"/>
          </w:tcPr>
          <w:p>
            <w:pPr>
              <w:pStyle w:val="19"/>
            </w:pPr>
          </w:p>
        </w:tc>
        <w:tc>
          <w:tcPr>
            <w:tcW w:w="290"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2</w:t>
            </w:r>
          </w:p>
        </w:tc>
        <w:tc>
          <w:tcPr>
            <w:tcW w:w="410" w:type="pct"/>
            <w:vAlign w:val="center"/>
          </w:tcPr>
          <w:p>
            <w:pPr>
              <w:pStyle w:val="16"/>
            </w:pPr>
            <w:r>
              <w:t>201</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201</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一般公共服务支出</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1006.48</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1006.48</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3</w:t>
            </w:r>
          </w:p>
        </w:tc>
        <w:tc>
          <w:tcPr>
            <w:tcW w:w="410" w:type="pct"/>
            <w:vAlign w:val="center"/>
          </w:tcPr>
          <w:p>
            <w:pPr>
              <w:pStyle w:val="16"/>
            </w:pPr>
            <w:r>
              <w:t>20104</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20104</w:t>
            </w:r>
          </w:p>
        </w:tc>
        <w:tc>
          <w:tcPr>
            <w:tcW w:w="710" w:type="pct"/>
            <w:vAlign w:val="center"/>
          </w:tcPr>
          <w:p>
            <w:pPr>
              <w:textAlignment w:val="center"/>
              <w:rPr>
                <w:rFonts w:eastAsia="方正书宋_GBK"/>
                <w:b/>
                <w:bCs/>
                <w:sz w:val="32"/>
                <w:szCs w:val="32"/>
                <w:lang w:eastAsia="zh-CN"/>
              </w:rPr>
            </w:pPr>
            <w:r>
              <w:rPr>
                <w:rFonts w:hint="eastAsia" w:ascii="宋体" w:hAnsi="宋体" w:eastAsia="宋体" w:cs="宋体"/>
                <w:b/>
                <w:bCs/>
                <w:color w:val="000000"/>
                <w:sz w:val="21"/>
                <w:szCs w:val="21"/>
                <w:lang w:eastAsia="zh-CN"/>
              </w:rPr>
              <w:t>发展与改革事务</w:t>
            </w:r>
          </w:p>
        </w:tc>
        <w:tc>
          <w:tcPr>
            <w:tcW w:w="353" w:type="pct"/>
            <w:vAlign w:val="center"/>
          </w:tcPr>
          <w:p>
            <w:pPr>
              <w:jc w:val="right"/>
              <w:textAlignment w:val="center"/>
              <w:rPr>
                <w:rFonts w:eastAsia="方正书宋_GBK"/>
                <w:b/>
                <w:bCs/>
                <w:sz w:val="32"/>
                <w:szCs w:val="32"/>
                <w:lang w:eastAsia="zh-CN"/>
              </w:rPr>
            </w:pPr>
            <w:r>
              <w:rPr>
                <w:rFonts w:hint="eastAsia" w:ascii="宋体" w:hAnsi="宋体" w:eastAsia="宋体" w:cs="宋体"/>
                <w:b/>
                <w:bCs/>
                <w:color w:val="000000"/>
                <w:sz w:val="21"/>
                <w:szCs w:val="21"/>
                <w:lang w:eastAsia="zh-CN"/>
              </w:rPr>
              <w:t>1006.48</w:t>
            </w:r>
          </w:p>
        </w:tc>
        <w:tc>
          <w:tcPr>
            <w:tcW w:w="459" w:type="pct"/>
            <w:vAlign w:val="center"/>
          </w:tcPr>
          <w:p>
            <w:pPr>
              <w:jc w:val="right"/>
              <w:textAlignment w:val="center"/>
              <w:rPr>
                <w:rFonts w:eastAsia="方正书宋_GBK"/>
                <w:b/>
                <w:bCs/>
                <w:sz w:val="32"/>
                <w:szCs w:val="32"/>
                <w:lang w:eastAsia="zh-CN"/>
              </w:rPr>
            </w:pPr>
            <w:r>
              <w:rPr>
                <w:rFonts w:hint="eastAsia" w:ascii="宋体" w:hAnsi="宋体" w:eastAsia="宋体" w:cs="宋体"/>
                <w:b/>
                <w:bCs/>
                <w:color w:val="000000"/>
                <w:sz w:val="21"/>
                <w:szCs w:val="21"/>
                <w:lang w:eastAsia="zh-CN"/>
              </w:rPr>
              <w:t>1006.48</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4</w:t>
            </w:r>
          </w:p>
        </w:tc>
        <w:tc>
          <w:tcPr>
            <w:tcW w:w="410" w:type="pct"/>
            <w:vAlign w:val="center"/>
          </w:tcPr>
          <w:p>
            <w:pPr>
              <w:pStyle w:val="16"/>
            </w:pPr>
            <w:r>
              <w:t>2010401</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2010401</w:t>
            </w:r>
          </w:p>
        </w:tc>
        <w:tc>
          <w:tcPr>
            <w:tcW w:w="710" w:type="pct"/>
            <w:vAlign w:val="center"/>
          </w:tcPr>
          <w:p>
            <w:pPr>
              <w:textAlignment w:val="center"/>
              <w:rPr>
                <w:rFonts w:eastAsia="方正书宋_GBK"/>
                <w:b/>
                <w:bCs/>
                <w:sz w:val="32"/>
                <w:szCs w:val="32"/>
                <w:lang w:eastAsia="zh-CN"/>
              </w:rPr>
            </w:pPr>
            <w:r>
              <w:rPr>
                <w:rFonts w:hint="eastAsia" w:ascii="宋体" w:hAnsi="宋体" w:eastAsia="宋体" w:cs="宋体"/>
                <w:b/>
                <w:bCs/>
                <w:color w:val="000000"/>
                <w:sz w:val="21"/>
                <w:szCs w:val="21"/>
                <w:lang w:eastAsia="zh-CN"/>
              </w:rPr>
              <w:t>行政运行</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83.27</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83.27</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5</w:t>
            </w:r>
          </w:p>
        </w:tc>
        <w:tc>
          <w:tcPr>
            <w:tcW w:w="410" w:type="pct"/>
            <w:vAlign w:val="center"/>
          </w:tcPr>
          <w:p>
            <w:pPr>
              <w:pStyle w:val="16"/>
            </w:pPr>
            <w:r>
              <w:t>2010402</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2010402</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一般行政管理事务</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267.26</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267.26</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6</w:t>
            </w:r>
          </w:p>
        </w:tc>
        <w:tc>
          <w:tcPr>
            <w:tcW w:w="410" w:type="pct"/>
            <w:vAlign w:val="center"/>
          </w:tcPr>
          <w:p>
            <w:pPr>
              <w:pStyle w:val="16"/>
            </w:pPr>
            <w:r>
              <w:t>2010406</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2010403</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机关服务</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22.00</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22.00</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7</w:t>
            </w:r>
          </w:p>
        </w:tc>
        <w:tc>
          <w:tcPr>
            <w:tcW w:w="410" w:type="pct"/>
            <w:vAlign w:val="center"/>
          </w:tcPr>
          <w:p>
            <w:pPr>
              <w:pStyle w:val="16"/>
            </w:pPr>
            <w:r>
              <w:t>2010499</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2010406</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社会事业发展规划</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136.00</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136.00</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8</w:t>
            </w:r>
          </w:p>
        </w:tc>
        <w:tc>
          <w:tcPr>
            <w:tcW w:w="410" w:type="pct"/>
            <w:vAlign w:val="center"/>
          </w:tcPr>
          <w:p>
            <w:pPr>
              <w:pStyle w:val="16"/>
            </w:pPr>
            <w:r>
              <w:t>208</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2010408</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物价管理</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4.00</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4.00</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9</w:t>
            </w:r>
          </w:p>
        </w:tc>
        <w:tc>
          <w:tcPr>
            <w:tcW w:w="410" w:type="pct"/>
            <w:vAlign w:val="center"/>
          </w:tcPr>
          <w:p>
            <w:pPr>
              <w:pStyle w:val="16"/>
            </w:pPr>
            <w:r>
              <w:t>20805</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2010450</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事业运行</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493.95</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493.95</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9" w:hRule="atLeast"/>
          <w:jc w:val="center"/>
        </w:trPr>
        <w:tc>
          <w:tcPr>
            <w:tcW w:w="191" w:type="pct"/>
            <w:vAlign w:val="center"/>
          </w:tcPr>
          <w:p>
            <w:pPr>
              <w:pStyle w:val="17"/>
            </w:pPr>
            <w:r>
              <w:t>10</w:t>
            </w:r>
          </w:p>
        </w:tc>
        <w:tc>
          <w:tcPr>
            <w:tcW w:w="410" w:type="pct"/>
            <w:vAlign w:val="center"/>
          </w:tcPr>
          <w:p>
            <w:pPr>
              <w:pStyle w:val="16"/>
            </w:pPr>
            <w:r>
              <w:t>2080501</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208</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社会保障和就业支出</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163.29</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163.29</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11</w:t>
            </w:r>
          </w:p>
        </w:tc>
        <w:tc>
          <w:tcPr>
            <w:tcW w:w="410" w:type="pct"/>
            <w:vAlign w:val="center"/>
          </w:tcPr>
          <w:p>
            <w:pPr>
              <w:pStyle w:val="16"/>
            </w:pPr>
            <w:r>
              <w:t>2080505</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20805</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行政事业单位养老支出</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150.33</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150.33</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12</w:t>
            </w:r>
          </w:p>
        </w:tc>
        <w:tc>
          <w:tcPr>
            <w:tcW w:w="410" w:type="pct"/>
            <w:vAlign w:val="center"/>
          </w:tcPr>
          <w:p>
            <w:pPr>
              <w:pStyle w:val="16"/>
            </w:pPr>
            <w:r>
              <w:t>20808</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2080501</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行政单位离退休</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87.56</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87.56</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13</w:t>
            </w:r>
          </w:p>
        </w:tc>
        <w:tc>
          <w:tcPr>
            <w:tcW w:w="410" w:type="pct"/>
            <w:vAlign w:val="center"/>
          </w:tcPr>
          <w:p>
            <w:pPr>
              <w:pStyle w:val="16"/>
            </w:pPr>
            <w:r>
              <w:t>2080801</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2080505</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机关事业单位基本养老保险缴费支出</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62.77</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62.77</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14</w:t>
            </w:r>
          </w:p>
        </w:tc>
        <w:tc>
          <w:tcPr>
            <w:tcW w:w="410" w:type="pct"/>
            <w:vAlign w:val="center"/>
          </w:tcPr>
          <w:p>
            <w:pPr>
              <w:pStyle w:val="16"/>
            </w:pPr>
            <w:r>
              <w:t>20827</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20808</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抚恤</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15</w:t>
            </w:r>
          </w:p>
        </w:tc>
        <w:tc>
          <w:tcPr>
            <w:tcW w:w="410" w:type="pct"/>
            <w:vAlign w:val="center"/>
          </w:tcPr>
          <w:p>
            <w:pPr>
              <w:pStyle w:val="16"/>
            </w:pPr>
            <w:r>
              <w:t>2082702</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2080801</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死亡抚恤</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16</w:t>
            </w:r>
          </w:p>
        </w:tc>
        <w:tc>
          <w:tcPr>
            <w:tcW w:w="410" w:type="pct"/>
            <w:vAlign w:val="center"/>
          </w:tcPr>
          <w:p>
            <w:pPr>
              <w:pStyle w:val="16"/>
            </w:pPr>
            <w:r>
              <w:t>210</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20827</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财政对其他社会保险基金的补助</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17</w:t>
            </w:r>
          </w:p>
        </w:tc>
        <w:tc>
          <w:tcPr>
            <w:tcW w:w="410" w:type="pct"/>
            <w:vAlign w:val="center"/>
          </w:tcPr>
          <w:p>
            <w:pPr>
              <w:pStyle w:val="16"/>
            </w:pPr>
            <w:r>
              <w:t>21011</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2082702</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财政对工伤保险基金的补助</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1.96</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18</w:t>
            </w:r>
          </w:p>
        </w:tc>
        <w:tc>
          <w:tcPr>
            <w:tcW w:w="410" w:type="pct"/>
            <w:vAlign w:val="center"/>
          </w:tcPr>
          <w:p>
            <w:pPr>
              <w:pStyle w:val="16"/>
            </w:pPr>
            <w:r>
              <w:t>2101101</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210</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卫生健康支出</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19</w:t>
            </w:r>
          </w:p>
        </w:tc>
        <w:tc>
          <w:tcPr>
            <w:tcW w:w="410" w:type="pct"/>
            <w:vAlign w:val="center"/>
          </w:tcPr>
          <w:p>
            <w:pPr>
              <w:pStyle w:val="16"/>
            </w:pPr>
            <w:r>
              <w:t>216</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21012</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财政对基本医疗保险基金的补助</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20</w:t>
            </w:r>
          </w:p>
        </w:tc>
        <w:tc>
          <w:tcPr>
            <w:tcW w:w="410" w:type="pct"/>
            <w:vAlign w:val="center"/>
          </w:tcPr>
          <w:p>
            <w:pPr>
              <w:pStyle w:val="16"/>
            </w:pPr>
            <w:r>
              <w:t>21699</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2101201</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财政对职工基本医疗保险基金的补助</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28.25</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21</w:t>
            </w:r>
          </w:p>
        </w:tc>
        <w:tc>
          <w:tcPr>
            <w:tcW w:w="410" w:type="pct"/>
            <w:vAlign w:val="center"/>
          </w:tcPr>
          <w:p>
            <w:pPr>
              <w:pStyle w:val="16"/>
            </w:pPr>
            <w:r>
              <w:t>2169901</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211</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节能环保支出</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22</w:t>
            </w:r>
          </w:p>
        </w:tc>
        <w:tc>
          <w:tcPr>
            <w:tcW w:w="410" w:type="pct"/>
            <w:vAlign w:val="center"/>
          </w:tcPr>
          <w:p>
            <w:pPr>
              <w:pStyle w:val="16"/>
            </w:pPr>
            <w:r>
              <w:t>221</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21110</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能源节约利用</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23</w:t>
            </w:r>
          </w:p>
        </w:tc>
        <w:tc>
          <w:tcPr>
            <w:tcW w:w="410" w:type="pct"/>
            <w:vAlign w:val="center"/>
          </w:tcPr>
          <w:p>
            <w:pPr>
              <w:pStyle w:val="16"/>
            </w:pPr>
            <w:r>
              <w:t>22102</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2111001</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能源节约利用</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1100.00</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 w:type="pct"/>
            <w:vAlign w:val="center"/>
          </w:tcPr>
          <w:p>
            <w:pPr>
              <w:pStyle w:val="17"/>
            </w:pPr>
            <w:r>
              <w:t>24</w:t>
            </w:r>
          </w:p>
        </w:tc>
        <w:tc>
          <w:tcPr>
            <w:tcW w:w="410" w:type="pct"/>
            <w:vAlign w:val="center"/>
          </w:tcPr>
          <w:p>
            <w:pPr>
              <w:pStyle w:val="16"/>
            </w:pPr>
            <w:r>
              <w:t>2210201</w:t>
            </w:r>
          </w:p>
        </w:tc>
        <w:tc>
          <w:tcPr>
            <w:tcW w:w="487" w:type="pct"/>
            <w:vAlign w:val="center"/>
          </w:tcPr>
          <w:p>
            <w:pPr>
              <w:textAlignment w:val="center"/>
              <w:rPr>
                <w:b/>
                <w:bCs/>
                <w:sz w:val="32"/>
                <w:szCs w:val="32"/>
              </w:rPr>
            </w:pPr>
            <w:r>
              <w:rPr>
                <w:rFonts w:hint="eastAsia" w:ascii="宋体" w:hAnsi="宋体" w:eastAsia="宋体" w:cs="宋体"/>
                <w:b/>
                <w:bCs/>
                <w:color w:val="000000"/>
                <w:sz w:val="21"/>
                <w:szCs w:val="21"/>
                <w:lang w:eastAsia="zh-CN"/>
              </w:rPr>
              <w:t>221</w:t>
            </w:r>
          </w:p>
        </w:tc>
        <w:tc>
          <w:tcPr>
            <w:tcW w:w="710" w:type="pct"/>
            <w:vAlign w:val="center"/>
          </w:tcPr>
          <w:p>
            <w:pPr>
              <w:textAlignment w:val="center"/>
              <w:rPr>
                <w:b/>
                <w:bCs/>
                <w:sz w:val="32"/>
                <w:szCs w:val="32"/>
              </w:rPr>
            </w:pPr>
            <w:r>
              <w:rPr>
                <w:rFonts w:hint="eastAsia" w:ascii="宋体" w:hAnsi="宋体" w:eastAsia="宋体" w:cs="宋体"/>
                <w:b/>
                <w:bCs/>
                <w:color w:val="000000"/>
                <w:sz w:val="21"/>
                <w:szCs w:val="21"/>
                <w:lang w:eastAsia="zh-CN"/>
              </w:rPr>
              <w:t>住房保障支出</w:t>
            </w:r>
          </w:p>
        </w:tc>
        <w:tc>
          <w:tcPr>
            <w:tcW w:w="353"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47.08</w:t>
            </w:r>
          </w:p>
        </w:tc>
        <w:tc>
          <w:tcPr>
            <w:tcW w:w="459" w:type="pct"/>
            <w:vAlign w:val="center"/>
          </w:tcPr>
          <w:p>
            <w:pPr>
              <w:jc w:val="right"/>
              <w:textAlignment w:val="center"/>
              <w:rPr>
                <w:b/>
                <w:bCs/>
                <w:sz w:val="32"/>
                <w:szCs w:val="32"/>
              </w:rPr>
            </w:pPr>
            <w:r>
              <w:rPr>
                <w:rFonts w:hint="eastAsia" w:ascii="宋体" w:hAnsi="宋体" w:eastAsia="宋体" w:cs="宋体"/>
                <w:b/>
                <w:bCs/>
                <w:color w:val="000000"/>
                <w:sz w:val="21"/>
                <w:szCs w:val="21"/>
                <w:lang w:eastAsia="zh-CN"/>
              </w:rPr>
              <w:t>47.08</w:t>
            </w:r>
          </w:p>
        </w:tc>
        <w:tc>
          <w:tcPr>
            <w:tcW w:w="391" w:type="pct"/>
            <w:vAlign w:val="center"/>
          </w:tcPr>
          <w:p>
            <w:pPr>
              <w:pStyle w:val="15"/>
            </w:pPr>
          </w:p>
        </w:tc>
        <w:tc>
          <w:tcPr>
            <w:tcW w:w="283" w:type="pct"/>
            <w:vAlign w:val="center"/>
          </w:tcPr>
          <w:p>
            <w:pPr>
              <w:pStyle w:val="15"/>
            </w:pPr>
          </w:p>
        </w:tc>
        <w:tc>
          <w:tcPr>
            <w:tcW w:w="283" w:type="pct"/>
            <w:vAlign w:val="center"/>
          </w:tcPr>
          <w:p>
            <w:pPr>
              <w:pStyle w:val="15"/>
            </w:pPr>
          </w:p>
        </w:tc>
        <w:tc>
          <w:tcPr>
            <w:tcW w:w="376" w:type="pct"/>
            <w:vAlign w:val="center"/>
          </w:tcPr>
          <w:p>
            <w:pPr>
              <w:pStyle w:val="15"/>
            </w:pPr>
          </w:p>
        </w:tc>
        <w:tc>
          <w:tcPr>
            <w:tcW w:w="476" w:type="pct"/>
            <w:vAlign w:val="center"/>
          </w:tcPr>
          <w:p>
            <w:pPr>
              <w:pStyle w:val="15"/>
            </w:pPr>
          </w:p>
        </w:tc>
        <w:tc>
          <w:tcPr>
            <w:tcW w:w="288" w:type="pct"/>
            <w:vAlign w:val="center"/>
          </w:tcPr>
          <w:p>
            <w:pPr>
              <w:pStyle w:val="15"/>
            </w:pPr>
          </w:p>
        </w:tc>
        <w:tc>
          <w:tcPr>
            <w:tcW w:w="290" w:type="pct"/>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0"/>
        <w:gridCol w:w="1439"/>
        <w:gridCol w:w="3938"/>
        <w:gridCol w:w="1156"/>
        <w:gridCol w:w="1162"/>
        <w:gridCol w:w="1156"/>
        <w:gridCol w:w="1156"/>
        <w:gridCol w:w="1971"/>
        <w:gridCol w:w="23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3" w:type="pct"/>
            <w:gridSpan w:val="3"/>
            <w:tcBorders>
              <w:top w:val="single" w:color="FFFFFF" w:sz="6" w:space="0"/>
              <w:left w:val="single" w:color="FFFFFF" w:sz="6" w:space="0"/>
              <w:right w:val="single" w:color="FFFFFF" w:sz="6" w:space="0"/>
            </w:tcBorders>
            <w:vAlign w:val="center"/>
          </w:tcPr>
          <w:p>
            <w:pPr>
              <w:pStyle w:val="13"/>
            </w:pPr>
            <w:r>
              <w:t>303001宁晋县发展和改革局本级</w:t>
            </w:r>
          </w:p>
        </w:tc>
        <w:tc>
          <w:tcPr>
            <w:tcW w:w="772" w:type="pct"/>
            <w:gridSpan w:val="2"/>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2203"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Merge w:val="restart"/>
            <w:vAlign w:val="center"/>
          </w:tcPr>
          <w:p>
            <w:pPr>
              <w:pStyle w:val="14"/>
            </w:pPr>
            <w:r>
              <w:t>序号</w:t>
            </w:r>
          </w:p>
        </w:tc>
        <w:tc>
          <w:tcPr>
            <w:tcW w:w="1790" w:type="pct"/>
            <w:gridSpan w:val="2"/>
            <w:vAlign w:val="center"/>
          </w:tcPr>
          <w:p>
            <w:pPr>
              <w:pStyle w:val="14"/>
            </w:pPr>
            <w:r>
              <w:t>功能分类科目</w:t>
            </w:r>
          </w:p>
        </w:tc>
        <w:tc>
          <w:tcPr>
            <w:tcW w:w="385" w:type="pct"/>
            <w:vMerge w:val="restart"/>
            <w:vAlign w:val="center"/>
          </w:tcPr>
          <w:p>
            <w:pPr>
              <w:pStyle w:val="14"/>
            </w:pPr>
            <w:r>
              <w:t>合计</w:t>
            </w:r>
          </w:p>
        </w:tc>
        <w:tc>
          <w:tcPr>
            <w:tcW w:w="386" w:type="pct"/>
            <w:vMerge w:val="restart"/>
            <w:vAlign w:val="center"/>
          </w:tcPr>
          <w:p>
            <w:pPr>
              <w:pStyle w:val="14"/>
            </w:pPr>
            <w:r>
              <w:t>基本支出</w:t>
            </w:r>
          </w:p>
        </w:tc>
        <w:tc>
          <w:tcPr>
            <w:tcW w:w="385" w:type="pct"/>
            <w:vMerge w:val="restart"/>
            <w:vAlign w:val="center"/>
          </w:tcPr>
          <w:p>
            <w:pPr>
              <w:pStyle w:val="14"/>
            </w:pPr>
            <w:r>
              <w:t>项目支出</w:t>
            </w:r>
          </w:p>
        </w:tc>
        <w:tc>
          <w:tcPr>
            <w:tcW w:w="385" w:type="pct"/>
            <w:vMerge w:val="restart"/>
            <w:vAlign w:val="center"/>
          </w:tcPr>
          <w:p>
            <w:pPr>
              <w:pStyle w:val="14"/>
            </w:pPr>
            <w:r>
              <w:t>经营支出</w:t>
            </w:r>
          </w:p>
        </w:tc>
        <w:tc>
          <w:tcPr>
            <w:tcW w:w="656" w:type="pct"/>
            <w:vMerge w:val="restart"/>
            <w:vAlign w:val="center"/>
          </w:tcPr>
          <w:p>
            <w:pPr>
              <w:pStyle w:val="14"/>
            </w:pPr>
            <w:r>
              <w:t>上解上级     支出</w:t>
            </w:r>
          </w:p>
        </w:tc>
        <w:tc>
          <w:tcPr>
            <w:tcW w:w="774"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Merge w:val="continue"/>
          </w:tcPr>
          <w:p/>
        </w:tc>
        <w:tc>
          <w:tcPr>
            <w:tcW w:w="479" w:type="pct"/>
            <w:vAlign w:val="center"/>
          </w:tcPr>
          <w:p>
            <w:pPr>
              <w:pStyle w:val="14"/>
            </w:pPr>
            <w:r>
              <w:t>科目    编码</w:t>
            </w:r>
          </w:p>
        </w:tc>
        <w:tc>
          <w:tcPr>
            <w:tcW w:w="1311" w:type="pct"/>
            <w:vAlign w:val="center"/>
          </w:tcPr>
          <w:p>
            <w:pPr>
              <w:pStyle w:val="14"/>
            </w:pPr>
            <w:r>
              <w:t>科目名称</w:t>
            </w:r>
          </w:p>
        </w:tc>
        <w:tc>
          <w:tcPr>
            <w:tcW w:w="385" w:type="pct"/>
            <w:vMerge w:val="continue"/>
          </w:tcPr>
          <w:p/>
        </w:tc>
        <w:tc>
          <w:tcPr>
            <w:tcW w:w="386" w:type="pct"/>
            <w:vMerge w:val="continue"/>
          </w:tcPr>
          <w:p/>
        </w:tc>
        <w:tc>
          <w:tcPr>
            <w:tcW w:w="385" w:type="pct"/>
            <w:vMerge w:val="continue"/>
          </w:tcPr>
          <w:p/>
        </w:tc>
        <w:tc>
          <w:tcPr>
            <w:tcW w:w="385" w:type="pct"/>
            <w:vMerge w:val="continue"/>
          </w:tcPr>
          <w:p/>
        </w:tc>
        <w:tc>
          <w:tcPr>
            <w:tcW w:w="656" w:type="pct"/>
            <w:vMerge w:val="continue"/>
          </w:tcPr>
          <w:p/>
        </w:tc>
        <w:tc>
          <w:tcPr>
            <w:tcW w:w="77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Align w:val="center"/>
          </w:tcPr>
          <w:p>
            <w:pPr>
              <w:pStyle w:val="14"/>
            </w:pPr>
            <w:r>
              <w:t>栏次</w:t>
            </w:r>
          </w:p>
        </w:tc>
        <w:tc>
          <w:tcPr>
            <w:tcW w:w="479" w:type="pct"/>
            <w:vAlign w:val="center"/>
          </w:tcPr>
          <w:p>
            <w:pPr>
              <w:pStyle w:val="14"/>
            </w:pPr>
            <w:r>
              <w:t>1</w:t>
            </w:r>
          </w:p>
        </w:tc>
        <w:tc>
          <w:tcPr>
            <w:tcW w:w="1311" w:type="pct"/>
            <w:vAlign w:val="center"/>
          </w:tcPr>
          <w:p>
            <w:pPr>
              <w:pStyle w:val="14"/>
            </w:pPr>
            <w:r>
              <w:t>2</w:t>
            </w:r>
          </w:p>
        </w:tc>
        <w:tc>
          <w:tcPr>
            <w:tcW w:w="385" w:type="pct"/>
            <w:vAlign w:val="center"/>
          </w:tcPr>
          <w:p>
            <w:pPr>
              <w:pStyle w:val="14"/>
            </w:pPr>
            <w:r>
              <w:t>3</w:t>
            </w:r>
          </w:p>
        </w:tc>
        <w:tc>
          <w:tcPr>
            <w:tcW w:w="386" w:type="pct"/>
            <w:vAlign w:val="center"/>
          </w:tcPr>
          <w:p>
            <w:pPr>
              <w:pStyle w:val="14"/>
            </w:pPr>
            <w:r>
              <w:t>4</w:t>
            </w:r>
          </w:p>
        </w:tc>
        <w:tc>
          <w:tcPr>
            <w:tcW w:w="385" w:type="pct"/>
            <w:vAlign w:val="center"/>
          </w:tcPr>
          <w:p>
            <w:pPr>
              <w:pStyle w:val="14"/>
            </w:pPr>
            <w:r>
              <w:t>5</w:t>
            </w:r>
          </w:p>
        </w:tc>
        <w:tc>
          <w:tcPr>
            <w:tcW w:w="385" w:type="pct"/>
            <w:vAlign w:val="center"/>
          </w:tcPr>
          <w:p>
            <w:pPr>
              <w:pStyle w:val="14"/>
            </w:pPr>
            <w:r>
              <w:t>6</w:t>
            </w:r>
          </w:p>
        </w:tc>
        <w:tc>
          <w:tcPr>
            <w:tcW w:w="656" w:type="pct"/>
            <w:vAlign w:val="center"/>
          </w:tcPr>
          <w:p>
            <w:pPr>
              <w:pStyle w:val="14"/>
            </w:pPr>
            <w:r>
              <w:t>7</w:t>
            </w:r>
          </w:p>
        </w:tc>
        <w:tc>
          <w:tcPr>
            <w:tcW w:w="774"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w:t>
            </w:r>
          </w:p>
        </w:tc>
        <w:tc>
          <w:tcPr>
            <w:tcW w:w="1439" w:type="dxa"/>
            <w:vAlign w:val="center"/>
          </w:tcPr>
          <w:p>
            <w:pPr>
              <w:rPr>
                <w:b/>
                <w:bCs/>
              </w:rPr>
            </w:pP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合计</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732.57</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2519.03</w:t>
            </w:r>
          </w:p>
        </w:tc>
        <w:tc>
          <w:tcPr>
            <w:tcW w:w="385" w:type="pct"/>
            <w:vAlign w:val="center"/>
          </w:tcPr>
          <w:p>
            <w:pPr>
              <w:pStyle w:val="19"/>
            </w:pPr>
          </w:p>
        </w:tc>
        <w:tc>
          <w:tcPr>
            <w:tcW w:w="656" w:type="pct"/>
            <w:vAlign w:val="center"/>
          </w:tcPr>
          <w:p>
            <w:pPr>
              <w:pStyle w:val="19"/>
            </w:pPr>
          </w:p>
        </w:tc>
        <w:tc>
          <w:tcPr>
            <w:tcW w:w="774"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2</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201</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一般公共服务支出</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1006.48</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493.95</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512.53</w:t>
            </w: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3</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发展与改革事务</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1006.48</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493.95</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512.53</w:t>
            </w: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4</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2010401</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行政运行</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83.27</w:t>
            </w:r>
          </w:p>
        </w:tc>
        <w:tc>
          <w:tcPr>
            <w:tcW w:w="1162" w:type="dxa"/>
            <w:vAlign w:val="center"/>
          </w:tcPr>
          <w:p>
            <w:pPr>
              <w:jc w:val="right"/>
              <w:rPr>
                <w:b/>
                <w:bCs/>
              </w:rPr>
            </w:pP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83.27</w:t>
            </w: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5</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2010402</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一般行政管理事务</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267.26</w:t>
            </w:r>
          </w:p>
        </w:tc>
        <w:tc>
          <w:tcPr>
            <w:tcW w:w="1162" w:type="dxa"/>
            <w:vAlign w:val="center"/>
          </w:tcPr>
          <w:p>
            <w:pPr>
              <w:jc w:val="right"/>
              <w:rPr>
                <w:b/>
                <w:bCs/>
              </w:rPr>
            </w:pP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267.26</w:t>
            </w: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6</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2010403</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机关服务</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22.00</w:t>
            </w:r>
          </w:p>
        </w:tc>
        <w:tc>
          <w:tcPr>
            <w:tcW w:w="1162" w:type="dxa"/>
            <w:vAlign w:val="center"/>
          </w:tcPr>
          <w:p>
            <w:pPr>
              <w:jc w:val="right"/>
              <w:rPr>
                <w:b/>
                <w:bCs/>
              </w:rPr>
            </w:pP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22.00</w:t>
            </w: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7</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2010406</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社会事业发展规划</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136.00</w:t>
            </w:r>
          </w:p>
        </w:tc>
        <w:tc>
          <w:tcPr>
            <w:tcW w:w="1162" w:type="dxa"/>
            <w:vAlign w:val="center"/>
          </w:tcPr>
          <w:p>
            <w:pPr>
              <w:jc w:val="right"/>
              <w:rPr>
                <w:b/>
                <w:bCs/>
              </w:rPr>
            </w:pP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136.00</w:t>
            </w: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8</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2010408</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物价管理</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4.00</w:t>
            </w:r>
          </w:p>
        </w:tc>
        <w:tc>
          <w:tcPr>
            <w:tcW w:w="1162" w:type="dxa"/>
            <w:vAlign w:val="center"/>
          </w:tcPr>
          <w:p>
            <w:pPr>
              <w:jc w:val="right"/>
              <w:rPr>
                <w:b/>
                <w:bCs/>
              </w:rPr>
            </w:pP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4.00</w:t>
            </w: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9</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2010450</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事业运行</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493.95</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493.95</w:t>
            </w:r>
          </w:p>
        </w:tc>
        <w:tc>
          <w:tcPr>
            <w:tcW w:w="1156" w:type="dxa"/>
            <w:vAlign w:val="center"/>
          </w:tcPr>
          <w:p>
            <w:pPr>
              <w:jc w:val="right"/>
              <w:rPr>
                <w:b/>
                <w:bCs/>
              </w:rPr>
            </w:pP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10</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208</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社会保障和就业支出</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163.29</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163.29</w:t>
            </w:r>
          </w:p>
        </w:tc>
        <w:tc>
          <w:tcPr>
            <w:tcW w:w="1156" w:type="dxa"/>
            <w:vAlign w:val="center"/>
          </w:tcPr>
          <w:p>
            <w:pPr>
              <w:jc w:val="right"/>
              <w:rPr>
                <w:b/>
                <w:bCs/>
              </w:rPr>
            </w:pP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11</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20805</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行政事业单位养老支出</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150.33</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150.33</w:t>
            </w:r>
          </w:p>
        </w:tc>
        <w:tc>
          <w:tcPr>
            <w:tcW w:w="1156" w:type="dxa"/>
            <w:vAlign w:val="center"/>
          </w:tcPr>
          <w:p>
            <w:pPr>
              <w:jc w:val="right"/>
              <w:rPr>
                <w:b/>
                <w:bCs/>
              </w:rPr>
            </w:pP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12</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2080501</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行政单位离退休</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87.56</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87.56</w:t>
            </w:r>
          </w:p>
        </w:tc>
        <w:tc>
          <w:tcPr>
            <w:tcW w:w="1156" w:type="dxa"/>
            <w:vAlign w:val="center"/>
          </w:tcPr>
          <w:p>
            <w:pPr>
              <w:jc w:val="right"/>
              <w:rPr>
                <w:b/>
                <w:bCs/>
              </w:rPr>
            </w:pP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13</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2080505</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机关事业单位基本养老保险缴费支出</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62.77</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62.77</w:t>
            </w:r>
          </w:p>
        </w:tc>
        <w:tc>
          <w:tcPr>
            <w:tcW w:w="1156" w:type="dxa"/>
            <w:vAlign w:val="center"/>
          </w:tcPr>
          <w:p>
            <w:pPr>
              <w:jc w:val="right"/>
              <w:rPr>
                <w:b/>
                <w:bCs/>
              </w:rPr>
            </w:pP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14</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20808</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抚恤</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c>
          <w:tcPr>
            <w:tcW w:w="1156" w:type="dxa"/>
            <w:vAlign w:val="center"/>
          </w:tcPr>
          <w:p>
            <w:pPr>
              <w:jc w:val="right"/>
              <w:rPr>
                <w:b/>
                <w:bCs/>
              </w:rPr>
            </w:pP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15</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2080801</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死亡抚恤</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c>
          <w:tcPr>
            <w:tcW w:w="1156" w:type="dxa"/>
            <w:vAlign w:val="center"/>
          </w:tcPr>
          <w:p>
            <w:pPr>
              <w:jc w:val="right"/>
              <w:rPr>
                <w:b/>
                <w:bCs/>
              </w:rPr>
            </w:pP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16</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20827</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财政对其他社会保险基金的补助</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c>
          <w:tcPr>
            <w:tcW w:w="1156" w:type="dxa"/>
            <w:vAlign w:val="center"/>
          </w:tcPr>
          <w:p>
            <w:pPr>
              <w:jc w:val="right"/>
              <w:rPr>
                <w:b/>
                <w:bCs/>
              </w:rPr>
            </w:pP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17</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2082702</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财政对工伤保险基金的补助</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c>
          <w:tcPr>
            <w:tcW w:w="1156" w:type="dxa"/>
            <w:vAlign w:val="center"/>
          </w:tcPr>
          <w:p>
            <w:pPr>
              <w:jc w:val="right"/>
              <w:rPr>
                <w:b/>
                <w:bCs/>
              </w:rPr>
            </w:pP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18</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210</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卫生健康支出</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156" w:type="dxa"/>
            <w:vAlign w:val="center"/>
          </w:tcPr>
          <w:p>
            <w:pPr>
              <w:jc w:val="right"/>
              <w:rPr>
                <w:b/>
                <w:bCs/>
              </w:rPr>
            </w:pP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19</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21012</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财政对基本医疗保险基金的补助</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156" w:type="dxa"/>
            <w:vAlign w:val="center"/>
          </w:tcPr>
          <w:p>
            <w:pPr>
              <w:jc w:val="right"/>
              <w:rPr>
                <w:b/>
                <w:bCs/>
              </w:rPr>
            </w:pP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20</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2101201</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财政对职工基本医疗保险基金的补助</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156" w:type="dxa"/>
            <w:vAlign w:val="center"/>
          </w:tcPr>
          <w:p>
            <w:pPr>
              <w:jc w:val="right"/>
              <w:rPr>
                <w:b/>
                <w:bCs/>
              </w:rPr>
            </w:pP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21</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211</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节能环保支出</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1100.00</w:t>
            </w:r>
          </w:p>
        </w:tc>
        <w:tc>
          <w:tcPr>
            <w:tcW w:w="1162" w:type="dxa"/>
            <w:vAlign w:val="center"/>
          </w:tcPr>
          <w:p>
            <w:pPr>
              <w:jc w:val="right"/>
              <w:rPr>
                <w:b/>
                <w:bCs/>
              </w:rPr>
            </w:pP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1100.00</w:t>
            </w: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22</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21110</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能源节约利用</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1100.00</w:t>
            </w:r>
          </w:p>
        </w:tc>
        <w:tc>
          <w:tcPr>
            <w:tcW w:w="1162" w:type="dxa"/>
            <w:vAlign w:val="center"/>
          </w:tcPr>
          <w:p>
            <w:pPr>
              <w:jc w:val="right"/>
              <w:rPr>
                <w:b/>
                <w:bCs/>
              </w:rPr>
            </w:pP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1100.00</w:t>
            </w: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23</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2111001</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能源节约利用</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1100.00</w:t>
            </w:r>
          </w:p>
        </w:tc>
        <w:tc>
          <w:tcPr>
            <w:tcW w:w="1162" w:type="dxa"/>
            <w:vAlign w:val="center"/>
          </w:tcPr>
          <w:p>
            <w:pPr>
              <w:jc w:val="right"/>
              <w:rPr>
                <w:b/>
                <w:bCs/>
              </w:rPr>
            </w:pP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1100.00</w:t>
            </w: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pPr>
              <w:pStyle w:val="17"/>
            </w:pPr>
            <w:r>
              <w:t>24</w:t>
            </w:r>
          </w:p>
        </w:tc>
        <w:tc>
          <w:tcPr>
            <w:tcW w:w="1439" w:type="dxa"/>
            <w:vAlign w:val="center"/>
          </w:tcPr>
          <w:p>
            <w:pPr>
              <w:textAlignment w:val="center"/>
              <w:rPr>
                <w:b/>
                <w:bCs/>
                <w:sz w:val="36"/>
                <w:szCs w:val="36"/>
              </w:rPr>
            </w:pPr>
            <w:r>
              <w:rPr>
                <w:rFonts w:hint="eastAsia" w:ascii="宋体" w:hAnsi="宋体" w:eastAsia="宋体" w:cs="宋体"/>
                <w:b/>
                <w:bCs/>
                <w:color w:val="000000"/>
                <w:sz w:val="22"/>
                <w:szCs w:val="22"/>
                <w:lang w:eastAsia="zh-CN"/>
              </w:rPr>
              <w:t>221</w:t>
            </w:r>
          </w:p>
        </w:tc>
        <w:tc>
          <w:tcPr>
            <w:tcW w:w="3938" w:type="dxa"/>
            <w:vAlign w:val="center"/>
          </w:tcPr>
          <w:p>
            <w:pPr>
              <w:textAlignment w:val="center"/>
              <w:rPr>
                <w:b/>
                <w:bCs/>
                <w:sz w:val="36"/>
                <w:szCs w:val="36"/>
              </w:rPr>
            </w:pPr>
            <w:r>
              <w:rPr>
                <w:rFonts w:hint="eastAsia" w:ascii="宋体" w:hAnsi="宋体" w:eastAsia="宋体" w:cs="宋体"/>
                <w:b/>
                <w:bCs/>
                <w:color w:val="000000"/>
                <w:sz w:val="22"/>
                <w:szCs w:val="22"/>
                <w:lang w:eastAsia="zh-CN"/>
              </w:rPr>
              <w:t>住房保障支出</w:t>
            </w:r>
          </w:p>
        </w:tc>
        <w:tc>
          <w:tcPr>
            <w:tcW w:w="115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47.08</w:t>
            </w:r>
          </w:p>
        </w:tc>
        <w:tc>
          <w:tcPr>
            <w:tcW w:w="116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47.08</w:t>
            </w:r>
          </w:p>
        </w:tc>
        <w:tc>
          <w:tcPr>
            <w:tcW w:w="1156" w:type="dxa"/>
            <w:vAlign w:val="center"/>
          </w:tcPr>
          <w:p>
            <w:pPr>
              <w:jc w:val="right"/>
              <w:rPr>
                <w:b/>
                <w:bCs/>
              </w:rPr>
            </w:pPr>
          </w:p>
        </w:tc>
        <w:tc>
          <w:tcPr>
            <w:tcW w:w="385" w:type="pct"/>
            <w:vAlign w:val="center"/>
          </w:tcPr>
          <w:p>
            <w:pPr>
              <w:pStyle w:val="15"/>
            </w:pPr>
          </w:p>
        </w:tc>
        <w:tc>
          <w:tcPr>
            <w:tcW w:w="656" w:type="pct"/>
            <w:vAlign w:val="center"/>
          </w:tcPr>
          <w:p>
            <w:pPr>
              <w:pStyle w:val="15"/>
            </w:pPr>
          </w:p>
        </w:tc>
        <w:tc>
          <w:tcPr>
            <w:tcW w:w="774" w:type="pct"/>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6"/>
        <w:gridCol w:w="2121"/>
        <w:gridCol w:w="1054"/>
        <w:gridCol w:w="4097"/>
        <w:gridCol w:w="1051"/>
        <w:gridCol w:w="1946"/>
        <w:gridCol w:w="2091"/>
        <w:gridCol w:w="20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2" w:type="pct"/>
            <w:gridSpan w:val="3"/>
            <w:tcBorders>
              <w:top w:val="single" w:color="FFFFFF" w:sz="6" w:space="0"/>
              <w:left w:val="single" w:color="FFFFFF" w:sz="6" w:space="0"/>
              <w:right w:val="single" w:color="FFFFFF" w:sz="6" w:space="0"/>
            </w:tcBorders>
            <w:vAlign w:val="center"/>
          </w:tcPr>
          <w:p>
            <w:pPr>
              <w:pStyle w:val="13"/>
            </w:pPr>
            <w:r>
              <w:t>303001宁晋县发展和改革局本级</w:t>
            </w:r>
          </w:p>
        </w:tc>
        <w:tc>
          <w:tcPr>
            <w:tcW w:w="1364" w:type="pct"/>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2382"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 w:type="pct"/>
            <w:vMerge w:val="restart"/>
            <w:vAlign w:val="center"/>
          </w:tcPr>
          <w:p>
            <w:pPr>
              <w:pStyle w:val="14"/>
            </w:pPr>
            <w:r>
              <w:t>序号</w:t>
            </w:r>
          </w:p>
        </w:tc>
        <w:tc>
          <w:tcPr>
            <w:tcW w:w="1057" w:type="pct"/>
            <w:gridSpan w:val="2"/>
            <w:vAlign w:val="center"/>
          </w:tcPr>
          <w:p>
            <w:pPr>
              <w:pStyle w:val="14"/>
            </w:pPr>
            <w:r>
              <w:t>收入</w:t>
            </w:r>
          </w:p>
        </w:tc>
        <w:tc>
          <w:tcPr>
            <w:tcW w:w="3747"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 w:type="pct"/>
            <w:vMerge w:val="continue"/>
          </w:tcPr>
          <w:p/>
        </w:tc>
        <w:tc>
          <w:tcPr>
            <w:tcW w:w="706" w:type="pct"/>
            <w:vAlign w:val="center"/>
          </w:tcPr>
          <w:p>
            <w:pPr>
              <w:pStyle w:val="14"/>
            </w:pPr>
            <w:r>
              <w:t>项  目</w:t>
            </w:r>
          </w:p>
        </w:tc>
        <w:tc>
          <w:tcPr>
            <w:tcW w:w="350" w:type="pct"/>
            <w:vAlign w:val="center"/>
          </w:tcPr>
          <w:p>
            <w:pPr>
              <w:pStyle w:val="14"/>
            </w:pPr>
            <w:r>
              <w:t>金额</w:t>
            </w:r>
          </w:p>
        </w:tc>
        <w:tc>
          <w:tcPr>
            <w:tcW w:w="1364" w:type="pct"/>
            <w:vAlign w:val="center"/>
          </w:tcPr>
          <w:p>
            <w:pPr>
              <w:pStyle w:val="14"/>
            </w:pPr>
            <w:r>
              <w:t>项  目</w:t>
            </w:r>
          </w:p>
        </w:tc>
        <w:tc>
          <w:tcPr>
            <w:tcW w:w="350" w:type="pct"/>
            <w:vAlign w:val="center"/>
          </w:tcPr>
          <w:p>
            <w:pPr>
              <w:pStyle w:val="14"/>
            </w:pPr>
            <w:r>
              <w:t>合计</w:t>
            </w:r>
          </w:p>
        </w:tc>
        <w:tc>
          <w:tcPr>
            <w:tcW w:w="648" w:type="pct"/>
            <w:vAlign w:val="center"/>
          </w:tcPr>
          <w:p>
            <w:pPr>
              <w:pStyle w:val="14"/>
            </w:pPr>
            <w:r>
              <w:t>一般公共预算财政拨款</w:t>
            </w:r>
          </w:p>
        </w:tc>
        <w:tc>
          <w:tcPr>
            <w:tcW w:w="696" w:type="pct"/>
            <w:vAlign w:val="center"/>
          </w:tcPr>
          <w:p>
            <w:pPr>
              <w:pStyle w:val="14"/>
            </w:pPr>
            <w:r>
              <w:t>政府性基金预算财政    拨款</w:t>
            </w:r>
          </w:p>
        </w:tc>
        <w:tc>
          <w:tcPr>
            <w:tcW w:w="686"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 w:type="pct"/>
            <w:vAlign w:val="center"/>
          </w:tcPr>
          <w:p>
            <w:pPr>
              <w:pStyle w:val="14"/>
            </w:pPr>
            <w:r>
              <w:t>栏次</w:t>
            </w:r>
          </w:p>
        </w:tc>
        <w:tc>
          <w:tcPr>
            <w:tcW w:w="706" w:type="pct"/>
            <w:vAlign w:val="center"/>
          </w:tcPr>
          <w:p>
            <w:pPr>
              <w:pStyle w:val="14"/>
            </w:pPr>
            <w:r>
              <w:t>1</w:t>
            </w:r>
          </w:p>
        </w:tc>
        <w:tc>
          <w:tcPr>
            <w:tcW w:w="350" w:type="pct"/>
            <w:vAlign w:val="center"/>
          </w:tcPr>
          <w:p>
            <w:pPr>
              <w:pStyle w:val="14"/>
            </w:pPr>
            <w:r>
              <w:t>2</w:t>
            </w:r>
          </w:p>
        </w:tc>
        <w:tc>
          <w:tcPr>
            <w:tcW w:w="1364" w:type="pct"/>
            <w:vAlign w:val="center"/>
          </w:tcPr>
          <w:p>
            <w:pPr>
              <w:pStyle w:val="14"/>
            </w:pPr>
            <w:r>
              <w:t>3</w:t>
            </w:r>
          </w:p>
        </w:tc>
        <w:tc>
          <w:tcPr>
            <w:tcW w:w="350" w:type="pct"/>
            <w:vAlign w:val="center"/>
          </w:tcPr>
          <w:p>
            <w:pPr>
              <w:pStyle w:val="14"/>
            </w:pPr>
            <w:r>
              <w:t>4</w:t>
            </w:r>
          </w:p>
        </w:tc>
        <w:tc>
          <w:tcPr>
            <w:tcW w:w="648" w:type="pct"/>
            <w:vAlign w:val="center"/>
          </w:tcPr>
          <w:p>
            <w:pPr>
              <w:pStyle w:val="14"/>
            </w:pPr>
            <w:r>
              <w:t>5</w:t>
            </w:r>
          </w:p>
        </w:tc>
        <w:tc>
          <w:tcPr>
            <w:tcW w:w="696" w:type="pct"/>
            <w:vAlign w:val="center"/>
          </w:tcPr>
          <w:p>
            <w:pPr>
              <w:pStyle w:val="14"/>
            </w:pPr>
            <w:r>
              <w:t>6</w:t>
            </w:r>
          </w:p>
        </w:tc>
        <w:tc>
          <w:tcPr>
            <w:tcW w:w="686"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1</w:t>
            </w:r>
          </w:p>
        </w:tc>
        <w:tc>
          <w:tcPr>
            <w:tcW w:w="2120" w:type="dxa"/>
            <w:vAlign w:val="center"/>
          </w:tcPr>
          <w:p>
            <w:pPr>
              <w:textAlignment w:val="center"/>
              <w:rPr>
                <w:b/>
                <w:bCs/>
                <w:sz w:val="36"/>
                <w:szCs w:val="36"/>
              </w:rPr>
            </w:pPr>
            <w:r>
              <w:rPr>
                <w:rFonts w:hint="eastAsia" w:ascii="宋体" w:hAnsi="宋体" w:eastAsia="宋体" w:cs="宋体"/>
                <w:b/>
                <w:bCs/>
                <w:color w:val="000000"/>
                <w:sz w:val="22"/>
                <w:szCs w:val="22"/>
                <w:lang w:eastAsia="zh-CN"/>
              </w:rPr>
              <w:t>一、一般公共预算拨款</w:t>
            </w:r>
          </w:p>
        </w:tc>
        <w:tc>
          <w:tcPr>
            <w:tcW w:w="1054"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一、一般公共服务支出</w:t>
            </w:r>
          </w:p>
        </w:tc>
        <w:tc>
          <w:tcPr>
            <w:tcW w:w="1054"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1006.48</w:t>
            </w:r>
          </w:p>
        </w:tc>
        <w:tc>
          <w:tcPr>
            <w:tcW w:w="194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1006.48</w:t>
            </w: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2</w:t>
            </w:r>
          </w:p>
        </w:tc>
        <w:tc>
          <w:tcPr>
            <w:tcW w:w="2120" w:type="dxa"/>
            <w:vAlign w:val="center"/>
          </w:tcPr>
          <w:p>
            <w:pPr>
              <w:textAlignment w:val="center"/>
              <w:rPr>
                <w:b/>
                <w:bCs/>
                <w:sz w:val="36"/>
                <w:szCs w:val="36"/>
              </w:rPr>
            </w:pPr>
            <w:r>
              <w:rPr>
                <w:rFonts w:hint="eastAsia" w:ascii="宋体" w:hAnsi="宋体" w:eastAsia="宋体" w:cs="宋体"/>
                <w:b/>
                <w:bCs/>
                <w:color w:val="000000"/>
                <w:sz w:val="22"/>
                <w:szCs w:val="22"/>
                <w:lang w:eastAsia="zh-CN"/>
              </w:rPr>
              <w:t>二、政府性基金预算拨款</w:t>
            </w: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二、外交支出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3</w:t>
            </w:r>
          </w:p>
        </w:tc>
        <w:tc>
          <w:tcPr>
            <w:tcW w:w="2120" w:type="dxa"/>
            <w:vAlign w:val="center"/>
          </w:tcPr>
          <w:p>
            <w:pPr>
              <w:textAlignment w:val="center"/>
              <w:rPr>
                <w:b/>
                <w:bCs/>
                <w:sz w:val="36"/>
                <w:szCs w:val="36"/>
              </w:rPr>
            </w:pPr>
            <w:r>
              <w:rPr>
                <w:rFonts w:hint="eastAsia" w:ascii="宋体" w:hAnsi="宋体" w:eastAsia="宋体" w:cs="宋体"/>
                <w:b/>
                <w:bCs/>
                <w:color w:val="000000"/>
                <w:sz w:val="22"/>
                <w:szCs w:val="22"/>
                <w:lang w:eastAsia="zh-CN"/>
              </w:rPr>
              <w:t>三、国有资本经营预算拨款</w:t>
            </w: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三、国防支出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4</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四、公共安全支出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5</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五、教育支出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6</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六、科学技术支出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7</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七、文化旅游体育与传媒支出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8</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八、社会保障和就业支出</w:t>
            </w:r>
          </w:p>
        </w:tc>
        <w:tc>
          <w:tcPr>
            <w:tcW w:w="1054"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163.29</w:t>
            </w:r>
          </w:p>
        </w:tc>
        <w:tc>
          <w:tcPr>
            <w:tcW w:w="194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163.29</w:t>
            </w: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9</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九、社会保险基金支出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10</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十、卫生健康支出</w:t>
            </w:r>
          </w:p>
        </w:tc>
        <w:tc>
          <w:tcPr>
            <w:tcW w:w="1054"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94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11</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十一、节能环保支出</w:t>
            </w:r>
          </w:p>
        </w:tc>
        <w:tc>
          <w:tcPr>
            <w:tcW w:w="1054"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1100.00</w:t>
            </w:r>
          </w:p>
        </w:tc>
        <w:tc>
          <w:tcPr>
            <w:tcW w:w="194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1100.00</w:t>
            </w: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12</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十二、城乡社区支出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13</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十三、农林水支出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14</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十四、交通运输支出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15</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十五、资源勘探工业信息等支出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16</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十六、商业服务业等支出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17</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十七、金融支出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18</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十八、援助其他地区支出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95" w:type="pct"/>
            <w:vAlign w:val="center"/>
          </w:tcPr>
          <w:p>
            <w:pPr>
              <w:pStyle w:val="17"/>
            </w:pPr>
            <w:r>
              <w:t>19</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十九、自然资源海洋气象等支出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20</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二十、住房保障支出</w:t>
            </w:r>
          </w:p>
        </w:tc>
        <w:tc>
          <w:tcPr>
            <w:tcW w:w="1054"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47.08</w:t>
            </w:r>
          </w:p>
        </w:tc>
        <w:tc>
          <w:tcPr>
            <w:tcW w:w="194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47.08</w:t>
            </w: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21</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二十一、粮油物资储备支出</w:t>
            </w:r>
          </w:p>
        </w:tc>
        <w:tc>
          <w:tcPr>
            <w:tcW w:w="1054"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906.50</w:t>
            </w:r>
          </w:p>
        </w:tc>
        <w:tc>
          <w:tcPr>
            <w:tcW w:w="194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906.50</w:t>
            </w: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22</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二十二、国有资本经营预算支出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23</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二十三、灾害防治及应急管理支出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24</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二十四、预备费</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25</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二十五、其他支出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26</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二十六、转移性支出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27</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二十七、灾害防治及应急管理共同财政事权转移支付支出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28</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二十八、债务还本支出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29</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二十九、债务付息支出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30</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三十、债务发行费用支出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31</w:t>
            </w:r>
          </w:p>
        </w:tc>
        <w:tc>
          <w:tcPr>
            <w:tcW w:w="2120" w:type="dxa"/>
            <w:vAlign w:val="center"/>
          </w:tcPr>
          <w:p>
            <w:pPr>
              <w:rPr>
                <w:b/>
                <w:bCs/>
              </w:rPr>
            </w:pP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三十一、抗疫特别国债安排的支出</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32</w:t>
            </w:r>
          </w:p>
        </w:tc>
        <w:tc>
          <w:tcPr>
            <w:tcW w:w="2120" w:type="dxa"/>
            <w:vAlign w:val="center"/>
          </w:tcPr>
          <w:p>
            <w:pPr>
              <w:textAlignment w:val="center"/>
              <w:rPr>
                <w:b/>
                <w:bCs/>
                <w:sz w:val="36"/>
                <w:szCs w:val="36"/>
              </w:rPr>
            </w:pPr>
            <w:r>
              <w:rPr>
                <w:rFonts w:hint="eastAsia" w:ascii="宋体" w:hAnsi="宋体" w:eastAsia="宋体" w:cs="宋体"/>
                <w:b/>
                <w:bCs/>
                <w:color w:val="000000"/>
                <w:sz w:val="22"/>
                <w:szCs w:val="22"/>
                <w:lang w:eastAsia="zh-CN"/>
              </w:rPr>
              <w:t>本年收入合计</w:t>
            </w:r>
          </w:p>
        </w:tc>
        <w:tc>
          <w:tcPr>
            <w:tcW w:w="1054"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本年支出合计</w:t>
            </w:r>
          </w:p>
        </w:tc>
        <w:tc>
          <w:tcPr>
            <w:tcW w:w="1054"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c>
          <w:tcPr>
            <w:tcW w:w="194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c>
          <w:tcPr>
            <w:tcW w:w="696" w:type="pct"/>
            <w:vAlign w:val="center"/>
          </w:tcPr>
          <w:p>
            <w:pPr>
              <w:pStyle w:val="19"/>
            </w:pPr>
          </w:p>
        </w:tc>
        <w:tc>
          <w:tcPr>
            <w:tcW w:w="686"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33</w:t>
            </w:r>
          </w:p>
        </w:tc>
        <w:tc>
          <w:tcPr>
            <w:tcW w:w="2120" w:type="dxa"/>
            <w:vAlign w:val="center"/>
          </w:tcPr>
          <w:p>
            <w:pPr>
              <w:textAlignment w:val="center"/>
              <w:rPr>
                <w:b/>
                <w:bCs/>
                <w:sz w:val="36"/>
                <w:szCs w:val="36"/>
              </w:rPr>
            </w:pPr>
            <w:r>
              <w:rPr>
                <w:rFonts w:hint="eastAsia" w:ascii="宋体" w:hAnsi="宋体" w:eastAsia="宋体" w:cs="宋体"/>
                <w:b/>
                <w:bCs/>
                <w:color w:val="000000"/>
                <w:sz w:val="22"/>
                <w:szCs w:val="22"/>
                <w:lang w:eastAsia="zh-CN"/>
              </w:rPr>
              <w:t>年初财政拨款结转和结余</w:t>
            </w:r>
          </w:p>
        </w:tc>
        <w:tc>
          <w:tcPr>
            <w:tcW w:w="1054" w:type="dxa"/>
            <w:vAlign w:val="center"/>
          </w:tcPr>
          <w:p>
            <w:pPr>
              <w:jc w:val="right"/>
              <w:rPr>
                <w:b/>
                <w:bCs/>
              </w:rPr>
            </w:pP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年末财政拨款结转和结余</w:t>
            </w: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34</w:t>
            </w:r>
          </w:p>
        </w:tc>
        <w:tc>
          <w:tcPr>
            <w:tcW w:w="2120" w:type="dxa"/>
            <w:vAlign w:val="center"/>
          </w:tcPr>
          <w:p>
            <w:pPr>
              <w:textAlignment w:val="center"/>
              <w:rPr>
                <w:b/>
                <w:bCs/>
                <w:sz w:val="36"/>
                <w:szCs w:val="36"/>
              </w:rPr>
            </w:pPr>
            <w:r>
              <w:rPr>
                <w:rFonts w:hint="eastAsia" w:ascii="宋体" w:hAnsi="宋体" w:eastAsia="宋体" w:cs="宋体"/>
                <w:b/>
                <w:bCs/>
                <w:color w:val="000000"/>
                <w:sz w:val="22"/>
                <w:szCs w:val="22"/>
                <w:lang w:eastAsia="zh-CN"/>
              </w:rPr>
              <w:t>一、一般公共预算拨款</w:t>
            </w:r>
          </w:p>
        </w:tc>
        <w:tc>
          <w:tcPr>
            <w:tcW w:w="1054" w:type="dxa"/>
            <w:vAlign w:val="center"/>
          </w:tcPr>
          <w:p>
            <w:pPr>
              <w:jc w:val="right"/>
              <w:rPr>
                <w:b/>
                <w:bCs/>
              </w:rPr>
            </w:pPr>
          </w:p>
        </w:tc>
        <w:tc>
          <w:tcPr>
            <w:tcW w:w="4096" w:type="dxa"/>
            <w:vAlign w:val="center"/>
          </w:tcPr>
          <w:p>
            <w:pPr>
              <w:rPr>
                <w:b/>
                <w:bCs/>
              </w:rPr>
            </w:pP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35</w:t>
            </w:r>
          </w:p>
        </w:tc>
        <w:tc>
          <w:tcPr>
            <w:tcW w:w="2120" w:type="dxa"/>
            <w:vAlign w:val="center"/>
          </w:tcPr>
          <w:p>
            <w:pPr>
              <w:textAlignment w:val="center"/>
              <w:rPr>
                <w:b/>
                <w:bCs/>
                <w:sz w:val="36"/>
                <w:szCs w:val="36"/>
              </w:rPr>
            </w:pPr>
            <w:r>
              <w:rPr>
                <w:rFonts w:hint="eastAsia" w:ascii="宋体" w:hAnsi="宋体" w:eastAsia="宋体" w:cs="宋体"/>
                <w:b/>
                <w:bCs/>
                <w:color w:val="000000"/>
                <w:sz w:val="22"/>
                <w:szCs w:val="22"/>
                <w:lang w:eastAsia="zh-CN"/>
              </w:rPr>
              <w:t>二、政府性基金预算拨款</w:t>
            </w:r>
          </w:p>
        </w:tc>
        <w:tc>
          <w:tcPr>
            <w:tcW w:w="1054" w:type="dxa"/>
            <w:vAlign w:val="center"/>
          </w:tcPr>
          <w:p>
            <w:pPr>
              <w:jc w:val="right"/>
              <w:rPr>
                <w:b/>
                <w:bCs/>
              </w:rPr>
            </w:pPr>
          </w:p>
        </w:tc>
        <w:tc>
          <w:tcPr>
            <w:tcW w:w="4096" w:type="dxa"/>
            <w:vAlign w:val="center"/>
          </w:tcPr>
          <w:p>
            <w:pPr>
              <w:rPr>
                <w:b/>
                <w:bCs/>
              </w:rPr>
            </w:pP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36</w:t>
            </w:r>
          </w:p>
        </w:tc>
        <w:tc>
          <w:tcPr>
            <w:tcW w:w="2120" w:type="dxa"/>
            <w:vAlign w:val="center"/>
          </w:tcPr>
          <w:p>
            <w:pPr>
              <w:textAlignment w:val="center"/>
              <w:rPr>
                <w:b/>
                <w:bCs/>
                <w:sz w:val="36"/>
                <w:szCs w:val="36"/>
              </w:rPr>
            </w:pPr>
            <w:r>
              <w:rPr>
                <w:rFonts w:hint="eastAsia" w:ascii="宋体" w:hAnsi="宋体" w:eastAsia="宋体" w:cs="宋体"/>
                <w:b/>
                <w:bCs/>
                <w:color w:val="000000"/>
                <w:sz w:val="22"/>
                <w:szCs w:val="22"/>
                <w:lang w:eastAsia="zh-CN"/>
              </w:rPr>
              <w:t>三、国有资本经营预算拨款</w:t>
            </w:r>
          </w:p>
        </w:tc>
        <w:tc>
          <w:tcPr>
            <w:tcW w:w="1054" w:type="dxa"/>
            <w:vAlign w:val="center"/>
          </w:tcPr>
          <w:p>
            <w:pPr>
              <w:jc w:val="right"/>
              <w:rPr>
                <w:b/>
                <w:bCs/>
              </w:rPr>
            </w:pPr>
          </w:p>
        </w:tc>
        <w:tc>
          <w:tcPr>
            <w:tcW w:w="4096" w:type="dxa"/>
            <w:vAlign w:val="center"/>
          </w:tcPr>
          <w:p>
            <w:pPr>
              <w:rPr>
                <w:b/>
                <w:bCs/>
              </w:rPr>
            </w:pPr>
          </w:p>
        </w:tc>
        <w:tc>
          <w:tcPr>
            <w:tcW w:w="1054" w:type="dxa"/>
            <w:vAlign w:val="center"/>
          </w:tcPr>
          <w:p>
            <w:pPr>
              <w:jc w:val="right"/>
              <w:rPr>
                <w:b/>
                <w:bCs/>
              </w:rPr>
            </w:pPr>
          </w:p>
        </w:tc>
        <w:tc>
          <w:tcPr>
            <w:tcW w:w="1946" w:type="dxa"/>
            <w:vAlign w:val="center"/>
          </w:tcPr>
          <w:p>
            <w:pPr>
              <w:jc w:val="right"/>
              <w:rPr>
                <w:b/>
                <w:bCs/>
              </w:rPr>
            </w:pPr>
          </w:p>
        </w:tc>
        <w:tc>
          <w:tcPr>
            <w:tcW w:w="696" w:type="pct"/>
            <w:vAlign w:val="center"/>
          </w:tcPr>
          <w:p>
            <w:pPr>
              <w:pStyle w:val="15"/>
            </w:pPr>
          </w:p>
        </w:tc>
        <w:tc>
          <w:tcPr>
            <w:tcW w:w="68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pPr>
              <w:pStyle w:val="17"/>
            </w:pPr>
            <w:r>
              <w:t>37</w:t>
            </w:r>
          </w:p>
        </w:tc>
        <w:tc>
          <w:tcPr>
            <w:tcW w:w="2120" w:type="dxa"/>
            <w:vAlign w:val="center"/>
          </w:tcPr>
          <w:p>
            <w:pPr>
              <w:textAlignment w:val="center"/>
              <w:rPr>
                <w:b/>
                <w:bCs/>
                <w:sz w:val="36"/>
                <w:szCs w:val="36"/>
              </w:rPr>
            </w:pPr>
            <w:r>
              <w:rPr>
                <w:rFonts w:hint="eastAsia" w:ascii="宋体" w:hAnsi="宋体" w:eastAsia="宋体" w:cs="宋体"/>
                <w:b/>
                <w:bCs/>
                <w:color w:val="000000"/>
                <w:sz w:val="22"/>
                <w:szCs w:val="22"/>
                <w:lang w:eastAsia="zh-CN"/>
              </w:rPr>
              <w:t>收入总计</w:t>
            </w:r>
          </w:p>
        </w:tc>
        <w:tc>
          <w:tcPr>
            <w:tcW w:w="1054"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c>
          <w:tcPr>
            <w:tcW w:w="4096" w:type="dxa"/>
            <w:vAlign w:val="center"/>
          </w:tcPr>
          <w:p>
            <w:pPr>
              <w:textAlignment w:val="center"/>
              <w:rPr>
                <w:b/>
                <w:bCs/>
                <w:sz w:val="36"/>
                <w:szCs w:val="36"/>
              </w:rPr>
            </w:pPr>
            <w:r>
              <w:rPr>
                <w:rFonts w:hint="eastAsia" w:ascii="宋体" w:hAnsi="宋体" w:eastAsia="宋体" w:cs="宋体"/>
                <w:b/>
                <w:bCs/>
                <w:color w:val="000000"/>
                <w:sz w:val="22"/>
                <w:szCs w:val="22"/>
                <w:lang w:eastAsia="zh-CN"/>
              </w:rPr>
              <w:t>支出总计</w:t>
            </w:r>
          </w:p>
        </w:tc>
        <w:tc>
          <w:tcPr>
            <w:tcW w:w="1054"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c>
          <w:tcPr>
            <w:tcW w:w="194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c>
          <w:tcPr>
            <w:tcW w:w="696" w:type="pct"/>
            <w:vAlign w:val="center"/>
          </w:tcPr>
          <w:p>
            <w:pPr>
              <w:pStyle w:val="19"/>
            </w:pPr>
          </w:p>
        </w:tc>
        <w:tc>
          <w:tcPr>
            <w:tcW w:w="686" w:type="pct"/>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13"/>
            </w:pPr>
            <w:r>
              <w:t>303001宁晋县发展和改革局本级</w:t>
            </w:r>
          </w:p>
        </w:tc>
        <w:tc>
          <w:tcPr>
            <w:tcW w:w="1054" w:type="pct"/>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1125"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4"/>
            </w:pPr>
            <w:r>
              <w:t>序号</w:t>
            </w:r>
          </w:p>
        </w:tc>
        <w:tc>
          <w:tcPr>
            <w:tcW w:w="2481" w:type="pct"/>
            <w:gridSpan w:val="2"/>
            <w:vAlign w:val="center"/>
          </w:tcPr>
          <w:p>
            <w:pPr>
              <w:pStyle w:val="14"/>
            </w:pPr>
            <w:r>
              <w:t>功能分类科目</w:t>
            </w:r>
          </w:p>
        </w:tc>
        <w:tc>
          <w:tcPr>
            <w:tcW w:w="1054" w:type="pct"/>
            <w:vMerge w:val="restart"/>
            <w:vAlign w:val="center"/>
          </w:tcPr>
          <w:p>
            <w:pPr>
              <w:pStyle w:val="14"/>
            </w:pPr>
            <w:r>
              <w:t>合计</w:t>
            </w:r>
          </w:p>
        </w:tc>
        <w:tc>
          <w:tcPr>
            <w:tcW w:w="562" w:type="pct"/>
            <w:vMerge w:val="restart"/>
            <w:vAlign w:val="center"/>
          </w:tcPr>
          <w:p>
            <w:pPr>
              <w:pStyle w:val="14"/>
            </w:pPr>
            <w:r>
              <w:t>基本支出</w:t>
            </w:r>
          </w:p>
        </w:tc>
        <w:tc>
          <w:tcPr>
            <w:tcW w:w="562"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4"/>
            </w:pPr>
            <w:r>
              <w:t>科目编码</w:t>
            </w:r>
          </w:p>
        </w:tc>
        <w:tc>
          <w:tcPr>
            <w:tcW w:w="1906" w:type="pct"/>
            <w:vAlign w:val="center"/>
          </w:tcPr>
          <w:p>
            <w:pPr>
              <w:pStyle w:val="14"/>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4"/>
            </w:pPr>
            <w:r>
              <w:t>栏次</w:t>
            </w:r>
          </w:p>
        </w:tc>
        <w:tc>
          <w:tcPr>
            <w:tcW w:w="574" w:type="pct"/>
            <w:vAlign w:val="center"/>
          </w:tcPr>
          <w:p>
            <w:pPr>
              <w:pStyle w:val="14"/>
            </w:pPr>
            <w:r>
              <w:t>1</w:t>
            </w:r>
          </w:p>
        </w:tc>
        <w:tc>
          <w:tcPr>
            <w:tcW w:w="1906" w:type="pct"/>
            <w:vAlign w:val="center"/>
          </w:tcPr>
          <w:p>
            <w:pPr>
              <w:pStyle w:val="14"/>
            </w:pPr>
            <w:r>
              <w:t>2</w:t>
            </w:r>
          </w:p>
        </w:tc>
        <w:tc>
          <w:tcPr>
            <w:tcW w:w="1054" w:type="pct"/>
            <w:vAlign w:val="center"/>
          </w:tcPr>
          <w:p>
            <w:pPr>
              <w:pStyle w:val="14"/>
            </w:pPr>
            <w:r>
              <w:t>3</w:t>
            </w:r>
          </w:p>
        </w:tc>
        <w:tc>
          <w:tcPr>
            <w:tcW w:w="562" w:type="pct"/>
            <w:vAlign w:val="center"/>
          </w:tcPr>
          <w:p>
            <w:pPr>
              <w:pStyle w:val="14"/>
            </w:pPr>
            <w:r>
              <w:t>4</w:t>
            </w:r>
          </w:p>
        </w:tc>
        <w:tc>
          <w:tcPr>
            <w:tcW w:w="562"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w:t>
            </w:r>
          </w:p>
        </w:tc>
        <w:tc>
          <w:tcPr>
            <w:tcW w:w="1724" w:type="dxa"/>
            <w:vAlign w:val="center"/>
          </w:tcPr>
          <w:p>
            <w:pPr>
              <w:rPr>
                <w:b/>
                <w:bCs/>
              </w:rPr>
            </w:pP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合计</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3251.60</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732.57</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657.43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201</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一般公共服务支出</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1006.48</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493.95</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424.87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3</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发展与改革事务</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1006.48</w:t>
            </w:r>
          </w:p>
        </w:tc>
        <w:tc>
          <w:tcPr>
            <w:tcW w:w="1688" w:type="dxa"/>
            <w:vAlign w:val="center"/>
          </w:tcPr>
          <w:p>
            <w:pPr>
              <w:jc w:val="right"/>
              <w:textAlignment w:val="center"/>
              <w:rPr>
                <w:rFonts w:eastAsia="方正书宋_GBK"/>
                <w:b/>
                <w:bCs/>
                <w:sz w:val="36"/>
                <w:szCs w:val="36"/>
                <w:lang w:eastAsia="zh-CN"/>
              </w:rPr>
            </w:pPr>
            <w:r>
              <w:rPr>
                <w:rFonts w:hint="eastAsia" w:ascii="宋体" w:hAnsi="宋体" w:eastAsia="宋体" w:cs="宋体"/>
                <w:b/>
                <w:bCs/>
                <w:color w:val="000000"/>
                <w:sz w:val="22"/>
                <w:szCs w:val="22"/>
                <w:lang w:eastAsia="zh-CN"/>
              </w:rPr>
              <w:t>493.95</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424.87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4</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2010401</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行政运行</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83.27</w:t>
            </w:r>
          </w:p>
        </w:tc>
        <w:tc>
          <w:tcPr>
            <w:tcW w:w="1688" w:type="dxa"/>
            <w:vAlign w:val="center"/>
          </w:tcPr>
          <w:p>
            <w:pPr>
              <w:jc w:val="right"/>
              <w:rPr>
                <w:b/>
                <w:bCs/>
              </w:rPr>
            </w:pPr>
          </w:p>
        </w:tc>
        <w:tc>
          <w:tcPr>
            <w:tcW w:w="1692"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5</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2010402</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一般行政管理事务</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267.26</w:t>
            </w:r>
          </w:p>
        </w:tc>
        <w:tc>
          <w:tcPr>
            <w:tcW w:w="1688" w:type="dxa"/>
            <w:vAlign w:val="center"/>
          </w:tcPr>
          <w:p>
            <w:pPr>
              <w:jc w:val="right"/>
              <w:rPr>
                <w:b/>
                <w:bCs/>
              </w:rPr>
            </w:pPr>
          </w:p>
        </w:tc>
        <w:tc>
          <w:tcPr>
            <w:tcW w:w="1692"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6</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2010403</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机关服务</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22.00</w:t>
            </w:r>
          </w:p>
        </w:tc>
        <w:tc>
          <w:tcPr>
            <w:tcW w:w="1688" w:type="dxa"/>
            <w:vAlign w:val="center"/>
          </w:tcPr>
          <w:p>
            <w:pPr>
              <w:jc w:val="right"/>
              <w:rPr>
                <w:b/>
                <w:bCs/>
              </w:rPr>
            </w:pPr>
          </w:p>
        </w:tc>
        <w:tc>
          <w:tcPr>
            <w:tcW w:w="1692"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7</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2010406</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社会事业发展规划</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136.00</w:t>
            </w:r>
          </w:p>
        </w:tc>
        <w:tc>
          <w:tcPr>
            <w:tcW w:w="1688" w:type="dxa"/>
            <w:vAlign w:val="center"/>
          </w:tcPr>
          <w:p>
            <w:pPr>
              <w:jc w:val="right"/>
              <w:rPr>
                <w:b/>
                <w:bCs/>
              </w:rPr>
            </w:pPr>
          </w:p>
        </w:tc>
        <w:tc>
          <w:tcPr>
            <w:tcW w:w="1692"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8</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2010408</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物价管理</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4.00</w:t>
            </w:r>
          </w:p>
        </w:tc>
        <w:tc>
          <w:tcPr>
            <w:tcW w:w="1688" w:type="dxa"/>
            <w:vAlign w:val="center"/>
          </w:tcPr>
          <w:p>
            <w:pPr>
              <w:jc w:val="right"/>
              <w:rPr>
                <w:b/>
                <w:bCs/>
              </w:rPr>
            </w:pPr>
          </w:p>
        </w:tc>
        <w:tc>
          <w:tcPr>
            <w:tcW w:w="1692"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9</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2010450</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事业运行</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493.95</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493.95</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424.87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10</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208</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社会保障和就业支出</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163.29</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163.29</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157.23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11</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20805</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行政事业单位养老支出</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150.33</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150.33</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144.27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12</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2080501</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行政单位离退休</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87.56</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87.56</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13</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2080505</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机关事业单位基本养老保险缴费支出</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62.77</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62.77</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14</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20808</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抚恤</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15</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2080801</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死亡抚恤</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16</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20827</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财政对其他社会保险基金的补助</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17</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2082702</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财政对工伤保险基金的补助</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18</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210</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卫生健康支出</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19</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21012</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财政对基本医疗保险基金的补助</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20</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2101201</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财政对职工基本医疗保险基金的补助</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21</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211</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节能环保支出</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1100.00</w:t>
            </w:r>
          </w:p>
        </w:tc>
        <w:tc>
          <w:tcPr>
            <w:tcW w:w="1688" w:type="dxa"/>
            <w:vAlign w:val="center"/>
          </w:tcPr>
          <w:p>
            <w:pPr>
              <w:jc w:val="right"/>
              <w:rPr>
                <w:b/>
                <w:bCs/>
              </w:rPr>
            </w:pPr>
          </w:p>
        </w:tc>
        <w:tc>
          <w:tcPr>
            <w:tcW w:w="1692"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22</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21110</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能源节约利用</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1100.00</w:t>
            </w:r>
          </w:p>
        </w:tc>
        <w:tc>
          <w:tcPr>
            <w:tcW w:w="1688" w:type="dxa"/>
            <w:vAlign w:val="center"/>
          </w:tcPr>
          <w:p>
            <w:pPr>
              <w:jc w:val="right"/>
              <w:rPr>
                <w:b/>
                <w:bCs/>
              </w:rPr>
            </w:pPr>
          </w:p>
        </w:tc>
        <w:tc>
          <w:tcPr>
            <w:tcW w:w="1692"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23</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2111001</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能源节约利用</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1100.00</w:t>
            </w:r>
          </w:p>
        </w:tc>
        <w:tc>
          <w:tcPr>
            <w:tcW w:w="1688" w:type="dxa"/>
            <w:vAlign w:val="center"/>
          </w:tcPr>
          <w:p>
            <w:pPr>
              <w:jc w:val="right"/>
              <w:rPr>
                <w:b/>
                <w:bCs/>
              </w:rPr>
            </w:pPr>
          </w:p>
        </w:tc>
        <w:tc>
          <w:tcPr>
            <w:tcW w:w="1692"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24</w:t>
            </w:r>
          </w:p>
        </w:tc>
        <w:tc>
          <w:tcPr>
            <w:tcW w:w="1724" w:type="dxa"/>
            <w:vAlign w:val="center"/>
          </w:tcPr>
          <w:p>
            <w:pPr>
              <w:textAlignment w:val="center"/>
              <w:rPr>
                <w:b/>
                <w:bCs/>
                <w:sz w:val="36"/>
                <w:szCs w:val="36"/>
              </w:rPr>
            </w:pPr>
            <w:r>
              <w:rPr>
                <w:rFonts w:hint="eastAsia" w:ascii="宋体" w:hAnsi="宋体" w:eastAsia="宋体" w:cs="宋体"/>
                <w:b/>
                <w:bCs/>
                <w:color w:val="000000"/>
                <w:sz w:val="22"/>
                <w:szCs w:val="22"/>
                <w:lang w:eastAsia="zh-CN"/>
              </w:rPr>
              <w:t>221</w:t>
            </w:r>
          </w:p>
        </w:tc>
        <w:tc>
          <w:tcPr>
            <w:tcW w:w="5728" w:type="dxa"/>
            <w:vAlign w:val="center"/>
          </w:tcPr>
          <w:p>
            <w:pPr>
              <w:textAlignment w:val="center"/>
              <w:rPr>
                <w:b/>
                <w:bCs/>
                <w:sz w:val="36"/>
                <w:szCs w:val="36"/>
              </w:rPr>
            </w:pPr>
            <w:r>
              <w:rPr>
                <w:rFonts w:hint="eastAsia" w:ascii="宋体" w:hAnsi="宋体" w:eastAsia="宋体" w:cs="宋体"/>
                <w:b/>
                <w:bCs/>
                <w:color w:val="000000"/>
                <w:sz w:val="22"/>
                <w:szCs w:val="22"/>
                <w:lang w:eastAsia="zh-CN"/>
              </w:rPr>
              <w:t>住房保障支出</w:t>
            </w:r>
          </w:p>
        </w:tc>
        <w:tc>
          <w:tcPr>
            <w:tcW w:w="3166"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47.08</w:t>
            </w:r>
          </w:p>
        </w:tc>
        <w:tc>
          <w:tcPr>
            <w:tcW w:w="168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47.08</w:t>
            </w:r>
          </w:p>
        </w:tc>
        <w:tc>
          <w:tcPr>
            <w:tcW w:w="169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47.08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13"/>
            </w:pPr>
            <w:r>
              <w:t>303001宁晋县发展和改革局本级</w:t>
            </w:r>
          </w:p>
        </w:tc>
        <w:tc>
          <w:tcPr>
            <w:tcW w:w="1106" w:type="pct"/>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1181"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4"/>
            </w:pPr>
            <w:r>
              <w:t>序号</w:t>
            </w:r>
          </w:p>
        </w:tc>
        <w:tc>
          <w:tcPr>
            <w:tcW w:w="2356" w:type="pct"/>
            <w:gridSpan w:val="2"/>
            <w:vAlign w:val="center"/>
          </w:tcPr>
          <w:p>
            <w:pPr>
              <w:pStyle w:val="14"/>
            </w:pPr>
            <w:r>
              <w:t>支出部门经济分类科目</w:t>
            </w:r>
          </w:p>
        </w:tc>
        <w:tc>
          <w:tcPr>
            <w:tcW w:w="2288"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4"/>
            </w:pPr>
            <w:r>
              <w:t>科目编码</w:t>
            </w:r>
          </w:p>
        </w:tc>
        <w:tc>
          <w:tcPr>
            <w:tcW w:w="1765" w:type="pct"/>
            <w:vAlign w:val="center"/>
          </w:tcPr>
          <w:p>
            <w:pPr>
              <w:pStyle w:val="14"/>
            </w:pPr>
            <w:r>
              <w:t>科目名称</w:t>
            </w:r>
          </w:p>
        </w:tc>
        <w:tc>
          <w:tcPr>
            <w:tcW w:w="1106" w:type="pct"/>
            <w:vAlign w:val="center"/>
          </w:tcPr>
          <w:p>
            <w:pPr>
              <w:pStyle w:val="14"/>
            </w:pPr>
            <w:r>
              <w:t>合计</w:t>
            </w:r>
          </w:p>
        </w:tc>
        <w:tc>
          <w:tcPr>
            <w:tcW w:w="590" w:type="pct"/>
            <w:vAlign w:val="center"/>
          </w:tcPr>
          <w:p>
            <w:pPr>
              <w:pStyle w:val="14"/>
            </w:pPr>
            <w:r>
              <w:t>人员经费</w:t>
            </w:r>
          </w:p>
        </w:tc>
        <w:tc>
          <w:tcPr>
            <w:tcW w:w="590"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4"/>
            </w:pPr>
            <w:r>
              <w:t>栏次</w:t>
            </w:r>
          </w:p>
        </w:tc>
        <w:tc>
          <w:tcPr>
            <w:tcW w:w="590" w:type="pct"/>
            <w:vAlign w:val="center"/>
          </w:tcPr>
          <w:p>
            <w:pPr>
              <w:pStyle w:val="14"/>
            </w:pPr>
            <w:r>
              <w:t>1</w:t>
            </w:r>
          </w:p>
        </w:tc>
        <w:tc>
          <w:tcPr>
            <w:tcW w:w="1765" w:type="pct"/>
            <w:vAlign w:val="center"/>
          </w:tcPr>
          <w:p>
            <w:pPr>
              <w:pStyle w:val="14"/>
            </w:pPr>
            <w:r>
              <w:t>2</w:t>
            </w:r>
          </w:p>
        </w:tc>
        <w:tc>
          <w:tcPr>
            <w:tcW w:w="1106" w:type="pct"/>
            <w:vAlign w:val="center"/>
          </w:tcPr>
          <w:p>
            <w:pPr>
              <w:pStyle w:val="14"/>
            </w:pPr>
            <w:r>
              <w:t>3</w:t>
            </w:r>
          </w:p>
        </w:tc>
        <w:tc>
          <w:tcPr>
            <w:tcW w:w="590" w:type="pct"/>
            <w:vAlign w:val="center"/>
          </w:tcPr>
          <w:p>
            <w:pPr>
              <w:pStyle w:val="14"/>
            </w:pPr>
            <w:r>
              <w:t>4</w:t>
            </w:r>
          </w:p>
        </w:tc>
        <w:tc>
          <w:tcPr>
            <w:tcW w:w="590"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w:t>
            </w:r>
          </w:p>
        </w:tc>
        <w:tc>
          <w:tcPr>
            <w:tcW w:w="1772" w:type="dxa"/>
            <w:vAlign w:val="center"/>
          </w:tcPr>
          <w:p>
            <w:pPr>
              <w:rPr>
                <w:b/>
                <w:bCs/>
              </w:rPr>
            </w:pP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合计</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732.57</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657.43</w:t>
            </w: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75.14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工资福利支出</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564.93</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564.93</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3</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30101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基本工资</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424.87</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424.87</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4</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30108</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机关事业单位基本养老保险缴费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62.77</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62.77</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5</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30110</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城镇职工基本医疗保险缴费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28.25</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6</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30112</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其他社会保障缴费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1.96</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7</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30113</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住房公积金</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47.08</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47.08</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8</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商品和服务支出</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75.14</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75.14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9</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30201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办公费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2.85</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10</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30205</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水费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0.29</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11</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30206</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电费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0.51</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12</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30207</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邮电费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15.25</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13</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30208</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取暖费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1.25</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14</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30211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差旅费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2.44</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15</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30213</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维修(护)费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0.34</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16</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30215</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会议费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1.60</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17</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30217</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公务接待费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0.28</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18</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30228</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工会经费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4.47</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19</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30229</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福利费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6.00</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20</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30231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公务用车运行维护费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3.50</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21</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30239</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其他交通费用</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30.30</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30.30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22</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30299</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其他商品和服务支出</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6.06</w:t>
            </w:r>
          </w:p>
        </w:tc>
        <w:tc>
          <w:tcPr>
            <w:tcW w:w="1772" w:type="dxa"/>
            <w:vAlign w:val="center"/>
          </w:tcPr>
          <w:p>
            <w:pPr>
              <w:jc w:val="right"/>
              <w:rPr>
                <w:b/>
                <w:bCs/>
              </w:rPr>
            </w:pP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23</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303</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对个人和家庭的补助</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92.50</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92.50</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24</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30302</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退休费</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81.50</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81.50</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25</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30304</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抚恤金</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11.00</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26</w:t>
            </w:r>
          </w:p>
        </w:tc>
        <w:tc>
          <w:tcPr>
            <w:tcW w:w="1772" w:type="dxa"/>
            <w:vAlign w:val="center"/>
          </w:tcPr>
          <w:p>
            <w:pPr>
              <w:rPr>
                <w:b/>
                <w:bCs/>
              </w:rPr>
            </w:pP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合计</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732.57</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657.43</w:t>
            </w:r>
          </w:p>
        </w:tc>
        <w:tc>
          <w:tcPr>
            <w:tcW w:w="1778"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75.14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27</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工资福利支出</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564.93</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564.93</w:t>
            </w:r>
          </w:p>
        </w:tc>
        <w:tc>
          <w:tcPr>
            <w:tcW w:w="1778" w:type="dxa"/>
            <w:vAlign w:val="center"/>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28</w:t>
            </w:r>
          </w:p>
        </w:tc>
        <w:tc>
          <w:tcPr>
            <w:tcW w:w="1772" w:type="dxa"/>
            <w:vAlign w:val="center"/>
          </w:tcPr>
          <w:p>
            <w:pPr>
              <w:textAlignment w:val="center"/>
              <w:rPr>
                <w:b/>
                <w:bCs/>
                <w:sz w:val="36"/>
                <w:szCs w:val="36"/>
              </w:rPr>
            </w:pPr>
            <w:r>
              <w:rPr>
                <w:rFonts w:hint="eastAsia" w:ascii="宋体" w:hAnsi="宋体" w:eastAsia="宋体" w:cs="宋体"/>
                <w:b/>
                <w:bCs/>
                <w:color w:val="000000"/>
                <w:sz w:val="22"/>
                <w:szCs w:val="22"/>
                <w:lang w:eastAsia="zh-CN"/>
              </w:rPr>
              <w:t>30101</w:t>
            </w:r>
          </w:p>
        </w:tc>
        <w:tc>
          <w:tcPr>
            <w:tcW w:w="5304" w:type="dxa"/>
            <w:vAlign w:val="center"/>
          </w:tcPr>
          <w:p>
            <w:pPr>
              <w:textAlignment w:val="center"/>
              <w:rPr>
                <w:b/>
                <w:bCs/>
                <w:sz w:val="36"/>
                <w:szCs w:val="36"/>
              </w:rPr>
            </w:pPr>
            <w:r>
              <w:rPr>
                <w:rFonts w:hint="eastAsia" w:ascii="宋体" w:hAnsi="宋体" w:eastAsia="宋体" w:cs="宋体"/>
                <w:b/>
                <w:bCs/>
                <w:color w:val="000000"/>
                <w:sz w:val="22"/>
                <w:szCs w:val="22"/>
                <w:lang w:eastAsia="zh-CN"/>
              </w:rPr>
              <w:t>基本工资</w:t>
            </w:r>
          </w:p>
        </w:tc>
        <w:tc>
          <w:tcPr>
            <w:tcW w:w="332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424.87</w:t>
            </w:r>
          </w:p>
        </w:tc>
        <w:tc>
          <w:tcPr>
            <w:tcW w:w="1772" w:type="dxa"/>
            <w:vAlign w:val="center"/>
          </w:tcPr>
          <w:p>
            <w:pPr>
              <w:jc w:val="right"/>
              <w:textAlignment w:val="center"/>
              <w:rPr>
                <w:b/>
                <w:bCs/>
                <w:sz w:val="36"/>
                <w:szCs w:val="36"/>
              </w:rPr>
            </w:pPr>
            <w:r>
              <w:rPr>
                <w:rFonts w:hint="eastAsia" w:ascii="宋体" w:hAnsi="宋体" w:eastAsia="宋体" w:cs="宋体"/>
                <w:b/>
                <w:bCs/>
                <w:color w:val="000000"/>
                <w:sz w:val="22"/>
                <w:szCs w:val="22"/>
                <w:lang w:eastAsia="zh-CN"/>
              </w:rPr>
              <w:t>424.87</w:t>
            </w:r>
          </w:p>
        </w:tc>
        <w:tc>
          <w:tcPr>
            <w:tcW w:w="1778" w:type="dxa"/>
            <w:vAlign w:val="center"/>
          </w:tcPr>
          <w:p>
            <w:pPr>
              <w:jc w:val="right"/>
              <w:rPr>
                <w:b/>
                <w:bCs/>
              </w:rPr>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303001宁晋县发展和改革局本级</w:t>
            </w:r>
          </w:p>
        </w:tc>
        <w:tc>
          <w:tcPr>
            <w:tcW w:w="833" w:type="pct"/>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303001宁晋县发展和改革局本级</w:t>
            </w:r>
          </w:p>
        </w:tc>
        <w:tc>
          <w:tcPr>
            <w:tcW w:w="833" w:type="pct"/>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27"/>
        <w:gridCol w:w="3939"/>
        <w:gridCol w:w="667"/>
        <w:gridCol w:w="3119"/>
        <w:gridCol w:w="3146"/>
        <w:gridCol w:w="35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2" w:type="pct"/>
            <w:gridSpan w:val="3"/>
            <w:tcBorders>
              <w:top w:val="single" w:color="FFFFFF" w:sz="6" w:space="0"/>
              <w:left w:val="single" w:color="FFFFFF" w:sz="6" w:space="0"/>
              <w:right w:val="single" w:color="FFFFFF" w:sz="6" w:space="0"/>
            </w:tcBorders>
            <w:vAlign w:val="center"/>
          </w:tcPr>
          <w:p>
            <w:pPr>
              <w:pStyle w:val="13"/>
            </w:pPr>
            <w:r>
              <w:t>303001宁晋县发展和改革局本级</w:t>
            </w:r>
          </w:p>
        </w:tc>
        <w:tc>
          <w:tcPr>
            <w:tcW w:w="1038" w:type="pct"/>
            <w:tcBorders>
              <w:top w:val="single" w:color="FFFFFF" w:sz="6" w:space="0"/>
              <w:left w:val="single" w:color="FFFFFF" w:sz="6" w:space="0"/>
              <w:right w:val="single" w:color="FFFFFF" w:sz="6" w:space="0"/>
            </w:tcBorders>
            <w:vAlign w:val="center"/>
          </w:tcPr>
          <w:p>
            <w:pPr>
              <w:pStyle w:val="12"/>
              <w:rPr>
                <w:lang w:eastAsia="zh-CN"/>
              </w:rPr>
            </w:pPr>
            <w:r>
              <w:t>预算年度：202</w:t>
            </w:r>
            <w:r>
              <w:rPr>
                <w:rFonts w:hint="eastAsia"/>
                <w:lang w:eastAsia="zh-CN"/>
              </w:rPr>
              <w:t>1</w:t>
            </w:r>
          </w:p>
        </w:tc>
        <w:tc>
          <w:tcPr>
            <w:tcW w:w="2218"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9" w:type="pct"/>
            <w:vMerge w:val="restart"/>
            <w:vAlign w:val="center"/>
          </w:tcPr>
          <w:p>
            <w:pPr>
              <w:pStyle w:val="14"/>
            </w:pPr>
            <w:r>
              <w:t>序号</w:t>
            </w:r>
          </w:p>
        </w:tc>
        <w:tc>
          <w:tcPr>
            <w:tcW w:w="1311" w:type="pct"/>
            <w:vMerge w:val="restart"/>
            <w:vAlign w:val="center"/>
          </w:tcPr>
          <w:p>
            <w:pPr>
              <w:pStyle w:val="14"/>
            </w:pPr>
            <w:r>
              <w:t>项  目</w:t>
            </w:r>
          </w:p>
        </w:tc>
        <w:tc>
          <w:tcPr>
            <w:tcW w:w="3478"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9" w:type="pct"/>
            <w:vMerge w:val="continue"/>
          </w:tcPr>
          <w:p/>
        </w:tc>
        <w:tc>
          <w:tcPr>
            <w:tcW w:w="1311" w:type="pct"/>
            <w:vMerge w:val="continue"/>
          </w:tcPr>
          <w:p/>
        </w:tc>
        <w:tc>
          <w:tcPr>
            <w:tcW w:w="221" w:type="pct"/>
            <w:vAlign w:val="center"/>
          </w:tcPr>
          <w:p>
            <w:pPr>
              <w:pStyle w:val="14"/>
            </w:pPr>
            <w:r>
              <w:t>合计</w:t>
            </w:r>
          </w:p>
        </w:tc>
        <w:tc>
          <w:tcPr>
            <w:tcW w:w="1038" w:type="pct"/>
            <w:vAlign w:val="center"/>
          </w:tcPr>
          <w:p>
            <w:pPr>
              <w:pStyle w:val="14"/>
            </w:pPr>
            <w:r>
              <w:t>一般公共预算              财政拨款</w:t>
            </w:r>
          </w:p>
        </w:tc>
        <w:tc>
          <w:tcPr>
            <w:tcW w:w="1047" w:type="pct"/>
            <w:vAlign w:val="center"/>
          </w:tcPr>
          <w:p>
            <w:pPr>
              <w:pStyle w:val="14"/>
            </w:pPr>
            <w:r>
              <w:t>政府性基金                  预算拨款</w:t>
            </w:r>
          </w:p>
        </w:tc>
        <w:tc>
          <w:tcPr>
            <w:tcW w:w="1170"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9" w:type="pct"/>
            <w:vAlign w:val="center"/>
          </w:tcPr>
          <w:p>
            <w:pPr>
              <w:pStyle w:val="14"/>
            </w:pPr>
            <w:r>
              <w:t>栏次</w:t>
            </w:r>
          </w:p>
        </w:tc>
        <w:tc>
          <w:tcPr>
            <w:tcW w:w="1311" w:type="pct"/>
            <w:vAlign w:val="center"/>
          </w:tcPr>
          <w:p>
            <w:pPr>
              <w:pStyle w:val="14"/>
            </w:pPr>
            <w:r>
              <w:t>1</w:t>
            </w:r>
          </w:p>
        </w:tc>
        <w:tc>
          <w:tcPr>
            <w:tcW w:w="221" w:type="pct"/>
            <w:vAlign w:val="center"/>
          </w:tcPr>
          <w:p>
            <w:pPr>
              <w:pStyle w:val="14"/>
            </w:pPr>
            <w:r>
              <w:t>2</w:t>
            </w:r>
          </w:p>
        </w:tc>
        <w:tc>
          <w:tcPr>
            <w:tcW w:w="1038" w:type="pct"/>
            <w:vAlign w:val="center"/>
          </w:tcPr>
          <w:p>
            <w:pPr>
              <w:pStyle w:val="14"/>
            </w:pPr>
            <w:r>
              <w:t>3</w:t>
            </w:r>
          </w:p>
        </w:tc>
        <w:tc>
          <w:tcPr>
            <w:tcW w:w="1047" w:type="pct"/>
            <w:vAlign w:val="center"/>
          </w:tcPr>
          <w:p>
            <w:pPr>
              <w:pStyle w:val="14"/>
            </w:pPr>
            <w:r>
              <w:t>4</w:t>
            </w:r>
          </w:p>
        </w:tc>
        <w:tc>
          <w:tcPr>
            <w:tcW w:w="1170"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1</w:t>
            </w:r>
          </w:p>
        </w:tc>
        <w:tc>
          <w:tcPr>
            <w:tcW w:w="1311" w:type="pct"/>
            <w:vAlign w:val="center"/>
          </w:tcPr>
          <w:p>
            <w:pPr>
              <w:pStyle w:val="18"/>
            </w:pPr>
            <w:r>
              <w:t>合计</w:t>
            </w:r>
          </w:p>
        </w:tc>
        <w:tc>
          <w:tcPr>
            <w:tcW w:w="221" w:type="pct"/>
            <w:vAlign w:val="center"/>
          </w:tcPr>
          <w:p>
            <w:pPr>
              <w:pStyle w:val="19"/>
              <w:rPr>
                <w:lang w:eastAsia="zh-CN"/>
              </w:rPr>
            </w:pPr>
            <w:r>
              <w:rPr>
                <w:rFonts w:hint="eastAsia"/>
                <w:lang w:eastAsia="zh-CN"/>
              </w:rPr>
              <w:t>5.38</w:t>
            </w:r>
          </w:p>
        </w:tc>
        <w:tc>
          <w:tcPr>
            <w:tcW w:w="1038" w:type="pct"/>
            <w:vAlign w:val="center"/>
          </w:tcPr>
          <w:p>
            <w:pPr>
              <w:pStyle w:val="19"/>
              <w:rPr>
                <w:lang w:eastAsia="zh-CN"/>
              </w:rPr>
            </w:pPr>
            <w:r>
              <w:rPr>
                <w:rFonts w:hint="eastAsia"/>
                <w:lang w:eastAsia="zh-CN"/>
              </w:rPr>
              <w:t>5.38</w:t>
            </w:r>
          </w:p>
        </w:tc>
        <w:tc>
          <w:tcPr>
            <w:tcW w:w="1047" w:type="pct"/>
            <w:vAlign w:val="center"/>
          </w:tcPr>
          <w:p>
            <w:pPr>
              <w:pStyle w:val="19"/>
            </w:pPr>
          </w:p>
        </w:tc>
        <w:tc>
          <w:tcPr>
            <w:tcW w:w="1170"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2</w:t>
            </w:r>
          </w:p>
        </w:tc>
        <w:tc>
          <w:tcPr>
            <w:tcW w:w="1311" w:type="pct"/>
            <w:vAlign w:val="center"/>
          </w:tcPr>
          <w:p>
            <w:pPr>
              <w:pStyle w:val="16"/>
            </w:pPr>
            <w:r>
              <w:t>“三公”经费小计</w:t>
            </w:r>
          </w:p>
        </w:tc>
        <w:tc>
          <w:tcPr>
            <w:tcW w:w="221" w:type="pct"/>
            <w:vAlign w:val="center"/>
          </w:tcPr>
          <w:p>
            <w:pPr>
              <w:pStyle w:val="15"/>
              <w:rPr>
                <w:lang w:eastAsia="zh-CN"/>
              </w:rPr>
            </w:pPr>
            <w:r>
              <w:rPr>
                <w:rFonts w:hint="eastAsia"/>
                <w:lang w:eastAsia="zh-CN"/>
              </w:rPr>
              <w:t>5.38</w:t>
            </w:r>
          </w:p>
        </w:tc>
        <w:tc>
          <w:tcPr>
            <w:tcW w:w="1038" w:type="pct"/>
            <w:vAlign w:val="center"/>
          </w:tcPr>
          <w:p>
            <w:pPr>
              <w:pStyle w:val="15"/>
              <w:rPr>
                <w:lang w:eastAsia="zh-CN"/>
              </w:rPr>
            </w:pPr>
            <w:r>
              <w:rPr>
                <w:rFonts w:hint="eastAsia"/>
                <w:lang w:eastAsia="zh-CN"/>
              </w:rPr>
              <w:t>5.38</w:t>
            </w: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3</w:t>
            </w:r>
          </w:p>
        </w:tc>
        <w:tc>
          <w:tcPr>
            <w:tcW w:w="1311" w:type="pct"/>
            <w:vAlign w:val="center"/>
          </w:tcPr>
          <w:p>
            <w:pPr>
              <w:pStyle w:val="16"/>
            </w:pPr>
            <w:r>
              <w:t>一、因公出国（境）费</w:t>
            </w:r>
          </w:p>
        </w:tc>
        <w:tc>
          <w:tcPr>
            <w:tcW w:w="221" w:type="pct"/>
            <w:vAlign w:val="center"/>
          </w:tcPr>
          <w:p>
            <w:pPr>
              <w:pStyle w:val="15"/>
            </w:pPr>
          </w:p>
        </w:tc>
        <w:tc>
          <w:tcPr>
            <w:tcW w:w="1038" w:type="pct"/>
            <w:vAlign w:val="center"/>
          </w:tcPr>
          <w:p>
            <w:pPr>
              <w:pStyle w:val="15"/>
            </w:pP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4</w:t>
            </w:r>
          </w:p>
        </w:tc>
        <w:tc>
          <w:tcPr>
            <w:tcW w:w="1311" w:type="pct"/>
            <w:vAlign w:val="center"/>
          </w:tcPr>
          <w:p>
            <w:pPr>
              <w:pStyle w:val="16"/>
            </w:pPr>
            <w:r>
              <w:t xml:space="preserve">    其中：教学科研人员因公出国（境）费</w:t>
            </w:r>
          </w:p>
        </w:tc>
        <w:tc>
          <w:tcPr>
            <w:tcW w:w="221" w:type="pct"/>
            <w:vAlign w:val="center"/>
          </w:tcPr>
          <w:p>
            <w:pPr>
              <w:pStyle w:val="15"/>
            </w:pPr>
          </w:p>
        </w:tc>
        <w:tc>
          <w:tcPr>
            <w:tcW w:w="1038" w:type="pct"/>
            <w:vAlign w:val="center"/>
          </w:tcPr>
          <w:p>
            <w:pPr>
              <w:pStyle w:val="15"/>
            </w:pP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5</w:t>
            </w:r>
          </w:p>
        </w:tc>
        <w:tc>
          <w:tcPr>
            <w:tcW w:w="1311" w:type="pct"/>
            <w:vAlign w:val="center"/>
          </w:tcPr>
          <w:p>
            <w:pPr>
              <w:pStyle w:val="16"/>
            </w:pPr>
            <w:r>
              <w:t xml:space="preserve">          其他因公出国（境）费</w:t>
            </w:r>
          </w:p>
        </w:tc>
        <w:tc>
          <w:tcPr>
            <w:tcW w:w="221" w:type="pct"/>
            <w:vAlign w:val="center"/>
          </w:tcPr>
          <w:p>
            <w:pPr>
              <w:pStyle w:val="15"/>
            </w:pPr>
          </w:p>
        </w:tc>
        <w:tc>
          <w:tcPr>
            <w:tcW w:w="1038" w:type="pct"/>
            <w:vAlign w:val="center"/>
          </w:tcPr>
          <w:p>
            <w:pPr>
              <w:pStyle w:val="15"/>
            </w:pP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6</w:t>
            </w:r>
          </w:p>
        </w:tc>
        <w:tc>
          <w:tcPr>
            <w:tcW w:w="1311" w:type="pct"/>
            <w:vAlign w:val="center"/>
          </w:tcPr>
          <w:p>
            <w:pPr>
              <w:pStyle w:val="16"/>
            </w:pPr>
            <w:r>
              <w:t>二、公务用车购置及运维费</w:t>
            </w:r>
          </w:p>
        </w:tc>
        <w:tc>
          <w:tcPr>
            <w:tcW w:w="221" w:type="pct"/>
            <w:vAlign w:val="center"/>
          </w:tcPr>
          <w:p>
            <w:pPr>
              <w:pStyle w:val="15"/>
              <w:rPr>
                <w:lang w:eastAsia="zh-CN"/>
              </w:rPr>
            </w:pPr>
            <w:r>
              <w:rPr>
                <w:rFonts w:hint="eastAsia"/>
                <w:lang w:eastAsia="zh-CN"/>
              </w:rPr>
              <w:t>3.50</w:t>
            </w:r>
          </w:p>
        </w:tc>
        <w:tc>
          <w:tcPr>
            <w:tcW w:w="1038" w:type="pct"/>
            <w:vAlign w:val="center"/>
          </w:tcPr>
          <w:p>
            <w:pPr>
              <w:pStyle w:val="15"/>
              <w:rPr>
                <w:lang w:eastAsia="zh-CN"/>
              </w:rPr>
            </w:pPr>
            <w:r>
              <w:rPr>
                <w:rFonts w:hint="eastAsia"/>
                <w:lang w:eastAsia="zh-CN"/>
              </w:rPr>
              <w:t>3.50</w:t>
            </w: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7</w:t>
            </w:r>
          </w:p>
        </w:tc>
        <w:tc>
          <w:tcPr>
            <w:tcW w:w="1311" w:type="pct"/>
            <w:vAlign w:val="center"/>
          </w:tcPr>
          <w:p>
            <w:pPr>
              <w:pStyle w:val="16"/>
            </w:pPr>
            <w:r>
              <w:t xml:space="preserve">    其中：公务用车购置费</w:t>
            </w:r>
          </w:p>
        </w:tc>
        <w:tc>
          <w:tcPr>
            <w:tcW w:w="221" w:type="pct"/>
            <w:vAlign w:val="center"/>
          </w:tcPr>
          <w:p>
            <w:pPr>
              <w:pStyle w:val="15"/>
            </w:pPr>
          </w:p>
        </w:tc>
        <w:tc>
          <w:tcPr>
            <w:tcW w:w="1038" w:type="pct"/>
            <w:vAlign w:val="center"/>
          </w:tcPr>
          <w:p>
            <w:pPr>
              <w:pStyle w:val="15"/>
            </w:pP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8</w:t>
            </w:r>
          </w:p>
        </w:tc>
        <w:tc>
          <w:tcPr>
            <w:tcW w:w="1311" w:type="pct"/>
            <w:vAlign w:val="center"/>
          </w:tcPr>
          <w:p>
            <w:pPr>
              <w:pStyle w:val="16"/>
            </w:pPr>
            <w:r>
              <w:t xml:space="preserve">          公务用车运行维护费</w:t>
            </w:r>
          </w:p>
        </w:tc>
        <w:tc>
          <w:tcPr>
            <w:tcW w:w="221" w:type="pct"/>
            <w:vAlign w:val="center"/>
          </w:tcPr>
          <w:p>
            <w:pPr>
              <w:pStyle w:val="15"/>
              <w:rPr>
                <w:lang w:eastAsia="zh-CN"/>
              </w:rPr>
            </w:pPr>
            <w:r>
              <w:rPr>
                <w:rFonts w:hint="eastAsia"/>
                <w:lang w:eastAsia="zh-CN"/>
              </w:rPr>
              <w:t>3.50</w:t>
            </w:r>
          </w:p>
        </w:tc>
        <w:tc>
          <w:tcPr>
            <w:tcW w:w="1038" w:type="pct"/>
            <w:vAlign w:val="center"/>
          </w:tcPr>
          <w:p>
            <w:pPr>
              <w:pStyle w:val="15"/>
              <w:rPr>
                <w:lang w:eastAsia="zh-CN"/>
              </w:rPr>
            </w:pPr>
            <w:r>
              <w:rPr>
                <w:rFonts w:hint="eastAsia"/>
                <w:lang w:eastAsia="zh-CN"/>
              </w:rPr>
              <w:t>3.50</w:t>
            </w: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9</w:t>
            </w:r>
          </w:p>
        </w:tc>
        <w:tc>
          <w:tcPr>
            <w:tcW w:w="1311" w:type="pct"/>
            <w:vAlign w:val="center"/>
          </w:tcPr>
          <w:p>
            <w:pPr>
              <w:pStyle w:val="16"/>
            </w:pPr>
            <w:r>
              <w:t>三、公务接待费</w:t>
            </w:r>
          </w:p>
        </w:tc>
        <w:tc>
          <w:tcPr>
            <w:tcW w:w="221" w:type="pct"/>
            <w:vAlign w:val="center"/>
          </w:tcPr>
          <w:p>
            <w:pPr>
              <w:pStyle w:val="15"/>
              <w:rPr>
                <w:lang w:eastAsia="zh-CN"/>
              </w:rPr>
            </w:pPr>
            <w:r>
              <w:t>0.</w:t>
            </w:r>
            <w:r>
              <w:rPr>
                <w:rFonts w:hint="eastAsia"/>
                <w:lang w:eastAsia="zh-CN"/>
              </w:rPr>
              <w:t>28</w:t>
            </w:r>
          </w:p>
        </w:tc>
        <w:tc>
          <w:tcPr>
            <w:tcW w:w="1038" w:type="pct"/>
            <w:vAlign w:val="center"/>
          </w:tcPr>
          <w:p>
            <w:pPr>
              <w:pStyle w:val="15"/>
              <w:rPr>
                <w:lang w:eastAsia="zh-CN"/>
              </w:rPr>
            </w:pPr>
            <w:r>
              <w:t>0.</w:t>
            </w:r>
            <w:r>
              <w:rPr>
                <w:rFonts w:hint="eastAsia"/>
                <w:lang w:eastAsia="zh-CN"/>
              </w:rPr>
              <w:t>28</w:t>
            </w: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10</w:t>
            </w:r>
          </w:p>
        </w:tc>
        <w:tc>
          <w:tcPr>
            <w:tcW w:w="1311" w:type="pct"/>
            <w:vAlign w:val="center"/>
          </w:tcPr>
          <w:p>
            <w:pPr>
              <w:pStyle w:val="16"/>
            </w:pPr>
            <w:r>
              <w:t>四、会议费</w:t>
            </w:r>
          </w:p>
        </w:tc>
        <w:tc>
          <w:tcPr>
            <w:tcW w:w="221" w:type="pct"/>
            <w:vAlign w:val="center"/>
          </w:tcPr>
          <w:p>
            <w:pPr>
              <w:pStyle w:val="15"/>
              <w:rPr>
                <w:lang w:eastAsia="zh-CN"/>
              </w:rPr>
            </w:pPr>
            <w:r>
              <w:t>1.</w:t>
            </w:r>
            <w:r>
              <w:rPr>
                <w:rFonts w:hint="eastAsia"/>
                <w:lang w:eastAsia="zh-CN"/>
              </w:rPr>
              <w:t>60</w:t>
            </w:r>
          </w:p>
        </w:tc>
        <w:tc>
          <w:tcPr>
            <w:tcW w:w="1038" w:type="pct"/>
            <w:vAlign w:val="center"/>
          </w:tcPr>
          <w:p>
            <w:pPr>
              <w:pStyle w:val="15"/>
              <w:rPr>
                <w:lang w:eastAsia="zh-CN"/>
              </w:rPr>
            </w:pPr>
            <w:r>
              <w:t>1</w:t>
            </w:r>
            <w:r>
              <w:rPr>
                <w:rFonts w:hint="eastAsia"/>
                <w:lang w:eastAsia="zh-CN"/>
              </w:rPr>
              <w:t>.60</w:t>
            </w:r>
          </w:p>
        </w:tc>
        <w:tc>
          <w:tcPr>
            <w:tcW w:w="1047" w:type="pct"/>
            <w:vAlign w:val="center"/>
          </w:tcPr>
          <w:p>
            <w:pPr>
              <w:pStyle w:val="15"/>
            </w:pPr>
          </w:p>
        </w:tc>
        <w:tc>
          <w:tcPr>
            <w:tcW w:w="117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pPr>
              <w:pStyle w:val="17"/>
            </w:pPr>
            <w:r>
              <w:t>11</w:t>
            </w:r>
          </w:p>
        </w:tc>
        <w:tc>
          <w:tcPr>
            <w:tcW w:w="1311" w:type="pct"/>
            <w:vAlign w:val="center"/>
          </w:tcPr>
          <w:p>
            <w:pPr>
              <w:pStyle w:val="16"/>
            </w:pPr>
            <w:r>
              <w:t>五、培训费</w:t>
            </w:r>
          </w:p>
        </w:tc>
        <w:tc>
          <w:tcPr>
            <w:tcW w:w="221" w:type="pct"/>
            <w:vAlign w:val="center"/>
          </w:tcPr>
          <w:p>
            <w:pPr>
              <w:pStyle w:val="15"/>
            </w:pPr>
          </w:p>
        </w:tc>
        <w:tc>
          <w:tcPr>
            <w:tcW w:w="1038" w:type="pct"/>
            <w:vAlign w:val="center"/>
          </w:tcPr>
          <w:p>
            <w:pPr>
              <w:pStyle w:val="15"/>
            </w:pPr>
          </w:p>
        </w:tc>
        <w:tc>
          <w:tcPr>
            <w:tcW w:w="1047" w:type="pct"/>
            <w:vAlign w:val="center"/>
          </w:tcPr>
          <w:p>
            <w:pPr>
              <w:pStyle w:val="15"/>
            </w:pPr>
          </w:p>
        </w:tc>
        <w:tc>
          <w:tcPr>
            <w:tcW w:w="1170" w:type="pct"/>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宁晋县发展和改革局本级202</w:t>
      </w:r>
      <w:r>
        <w:rPr>
          <w:rFonts w:hint="eastAsia" w:ascii="方正小标宋_GBK" w:hAnsi="方正小标宋_GBK" w:eastAsia="方正小标宋_GBK" w:cs="方正小标宋_GBK"/>
          <w:color w:val="000000"/>
          <w:sz w:val="44"/>
          <w:lang w:eastAsia="zh-CN"/>
        </w:rPr>
        <w:t>1</w:t>
      </w:r>
      <w:r>
        <w:rPr>
          <w:rFonts w:ascii="方正小标宋_GBK" w:hAnsi="方正小标宋_GBK" w:eastAsia="方正小标宋_GBK" w:cs="方正小标宋_GBK"/>
          <w:color w:val="000000"/>
          <w:sz w:val="44"/>
        </w:rPr>
        <w:t>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按照《预算法》、《地方预决算公开操作规程》和《关于进一步推进预算公开工作的实施意见》规定，现将宁晋县发展和改革局本级202</w:t>
      </w:r>
      <w:r>
        <w:rPr>
          <w:rFonts w:hint="eastAsia" w:eastAsia="方正仿宋_GBK" w:cs="Times New Roman"/>
          <w:color w:val="000000"/>
          <w:sz w:val="28"/>
          <w:lang w:eastAsia="zh-CN"/>
        </w:rPr>
        <w:t>1</w:t>
      </w:r>
      <w:r>
        <w:rPr>
          <w:rFonts w:eastAsia="方正仿宋_GBK" w:cs="Times New Roman"/>
          <w:color w:val="000000"/>
          <w:sz w:val="28"/>
        </w:rPr>
        <w:t>年单位预算公开如下：</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第一条  根据《中共邢台市委办公室邢台市人民政府办公室关于印发〈宁晋县机构改革方案〉的通知》（邢办字〔2018〕83号），制定本规定。</w:t>
      </w:r>
    </w:p>
    <w:p>
      <w:pPr>
        <w:pStyle w:val="29"/>
      </w:pPr>
      <w:r>
        <w:t>第二条  宁晋县发展和改革局（简称县发展改革局）为县政府工作部门，机构规格正科级，加挂宁晋县粮食和物资储备局牌子。</w:t>
      </w:r>
    </w:p>
    <w:p>
      <w:pPr>
        <w:pStyle w:val="29"/>
      </w:pPr>
      <w:r>
        <w:t>第三条  中共宁晋县委财经委员会办公室(简称县委财经办)设在县发展改革局，接受中共宁晋县委财经委员会的直接领导，承担县委财经委员会的具体工作，组织开展全县财经重大问题的政策研究，协调督促有关方面落实县委财经委员会决定事项、工作部署和要求等。设置县委财经办秘书股，负责处理县委财经办日常事务。县发展改革局的内设机构根据工作需要承担县委财经办相关工作，接受县委财经办的统筹协调。</w:t>
      </w:r>
    </w:p>
    <w:p>
      <w:pPr>
        <w:pStyle w:val="29"/>
      </w:pPr>
      <w:r>
        <w:t>第四条  贯彻落实党中央和省委、市委、县委关于发展改革工作的方针政策和决策部署，坚持和加强党对发展改革工作的集中统一领导。</w:t>
      </w:r>
    </w:p>
    <w:p>
      <w:pPr>
        <w:pStyle w:val="29"/>
      </w:pPr>
      <w:r>
        <w:t>第五条  转变职能：贯彻新发展理念，把主要精力转到管宏观、谋全局、抓大事上来，加强跨部门、跨地区、跨行业、跨领域的重大战略规划、重大改革、重大工程的综合协调，统筹全面创新改革，提高经济发展质量和效益。进一步减少微观管理事务和具体审批事项，最大限度减少政府对市场资源的直接配置，最大限度减少政府对市场活动的直接干预，提高资源配置效率和公平性，激发各类市场主体活力。</w:t>
      </w: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28"/>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28"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pPr>
              <w:pStyle w:val="16"/>
            </w:pPr>
            <w:r>
              <w:t>宁晋县发展和改革局本级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按照预算管理有关规定，目前我省</w:t>
      </w:r>
      <w:r>
        <w:rPr>
          <w:rFonts w:hint="eastAsia"/>
          <w:lang w:eastAsia="zh-CN"/>
        </w:rPr>
        <w:t>单位</w:t>
      </w:r>
      <w:r>
        <w:t>预算的编制实行综合预算制度，即全部收入和支出都反映的预算中。</w:t>
      </w:r>
    </w:p>
    <w:p>
      <w:pPr>
        <w:pStyle w:val="22"/>
      </w:pPr>
      <w:r>
        <w:t xml:space="preserve">1、收入说明 </w:t>
      </w:r>
    </w:p>
    <w:p>
      <w:pPr>
        <w:pStyle w:val="22"/>
      </w:pPr>
      <w:r>
        <w:rPr>
          <w:rFonts w:hint="eastAsia" w:ascii="宋体" w:hAnsi="宋体" w:cs="宋体"/>
          <w:sz w:val="32"/>
          <w:szCs w:val="32"/>
          <w:lang w:eastAsia="zh-CN"/>
        </w:rPr>
        <w:t>反映本单位当年全部收入</w:t>
      </w:r>
      <w:r>
        <w:rPr>
          <w:rFonts w:hint="eastAsia" w:ascii="宋体" w:hAnsi="宋体" w:cs="宋体"/>
          <w:sz w:val="32"/>
          <w:szCs w:val="32"/>
        </w:rPr>
        <w:t>，</w:t>
      </w:r>
      <w:r>
        <w:rPr>
          <w:rFonts w:ascii="宋体" w:hAnsi="宋体" w:cs="宋体"/>
          <w:sz w:val="32"/>
          <w:szCs w:val="32"/>
        </w:rPr>
        <w:t>20</w:t>
      </w:r>
      <w:r>
        <w:rPr>
          <w:rFonts w:hint="eastAsia" w:ascii="宋体" w:hAnsi="宋体" w:cs="宋体"/>
          <w:sz w:val="32"/>
          <w:szCs w:val="32"/>
        </w:rPr>
        <w:t>21</w:t>
      </w:r>
      <w:r>
        <w:rPr>
          <w:rFonts w:ascii="宋体" w:hAnsi="宋体" w:cs="宋体"/>
          <w:sz w:val="32"/>
          <w:szCs w:val="32"/>
        </w:rPr>
        <w:t>年</w:t>
      </w:r>
      <w:r>
        <w:rPr>
          <w:rFonts w:hint="eastAsia" w:ascii="宋体" w:hAnsi="宋体" w:cs="宋体"/>
          <w:sz w:val="32"/>
          <w:szCs w:val="32"/>
          <w:lang w:eastAsia="zh-CN"/>
        </w:rPr>
        <w:t>单位</w:t>
      </w:r>
      <w:r>
        <w:rPr>
          <w:rFonts w:ascii="宋体" w:hAnsi="宋体" w:cs="宋体"/>
          <w:sz w:val="32"/>
          <w:szCs w:val="32"/>
        </w:rPr>
        <w:t>预算总收入</w:t>
      </w:r>
      <w:r>
        <w:rPr>
          <w:rFonts w:hint="eastAsia" w:ascii="宋体" w:hAnsi="宋体" w:cs="宋体"/>
          <w:sz w:val="32"/>
          <w:szCs w:val="32"/>
        </w:rPr>
        <w:t>3251.6</w:t>
      </w:r>
      <w:r>
        <w:rPr>
          <w:rFonts w:hint="eastAsia" w:ascii="宋体" w:hAnsi="宋体" w:cs="宋体"/>
          <w:sz w:val="32"/>
          <w:szCs w:val="32"/>
          <w:lang w:eastAsia="zh-CN"/>
        </w:rPr>
        <w:t>0</w:t>
      </w:r>
      <w:r>
        <w:rPr>
          <w:rFonts w:ascii="宋体" w:hAnsi="宋体" w:cs="宋体"/>
          <w:sz w:val="32"/>
          <w:szCs w:val="32"/>
        </w:rPr>
        <w:t>万元，</w:t>
      </w:r>
      <w:r>
        <w:rPr>
          <w:rFonts w:hint="eastAsia"/>
          <w:lang w:eastAsia="zh-CN"/>
        </w:rPr>
        <w:t>其中：一般公共预算收入3251.60万元，政府性基金预算收入0万元，财政专户核拨收入0万元，其他来源收入0万元。</w:t>
      </w:r>
    </w:p>
    <w:p>
      <w:pPr>
        <w:pStyle w:val="22"/>
      </w:pPr>
      <w:r>
        <w:t xml:space="preserve">2、支出说明 </w:t>
      </w:r>
    </w:p>
    <w:p>
      <w:pPr>
        <w:pStyle w:val="22"/>
        <w:rPr>
          <w:lang w:eastAsia="zh-CN"/>
        </w:rPr>
      </w:pPr>
      <w:r>
        <w:t>收支预算总表支出栏、基本支出表、项目支出表按经济分类和支出功能分类科目编制，反映</w:t>
      </w:r>
      <w:r>
        <w:rPr>
          <w:rFonts w:hint="eastAsia"/>
          <w:lang w:eastAsia="zh-CN"/>
        </w:rPr>
        <w:t>宁晋县发展和改革局</w:t>
      </w:r>
      <w:r>
        <w:t>年度部门预算中支出预算的总体情况。202</w:t>
      </w:r>
      <w:r>
        <w:rPr>
          <w:rFonts w:hint="eastAsia"/>
          <w:lang w:eastAsia="zh-CN"/>
        </w:rPr>
        <w:t>1</w:t>
      </w:r>
      <w:r>
        <w:t>年</w:t>
      </w:r>
      <w:r>
        <w:rPr>
          <w:rFonts w:hint="eastAsia"/>
          <w:lang w:eastAsia="zh-CN"/>
        </w:rPr>
        <w:t>单位</w:t>
      </w:r>
      <w:r>
        <w:t>预算总支出</w:t>
      </w:r>
      <w:r>
        <w:rPr>
          <w:rFonts w:hint="eastAsia" w:ascii="宋体" w:hAnsi="宋体" w:cs="宋体"/>
          <w:sz w:val="32"/>
          <w:szCs w:val="32"/>
        </w:rPr>
        <w:t>3251.6</w:t>
      </w:r>
      <w:r>
        <w:rPr>
          <w:rFonts w:hint="eastAsia" w:ascii="宋体" w:hAnsi="宋体" w:cs="宋体"/>
          <w:sz w:val="32"/>
          <w:szCs w:val="32"/>
          <w:lang w:eastAsia="zh-CN"/>
        </w:rPr>
        <w:t>0</w:t>
      </w:r>
      <w:r>
        <w:t>万元，其中基本支出</w:t>
      </w:r>
      <w:r>
        <w:rPr>
          <w:rFonts w:hint="eastAsia"/>
          <w:lang w:eastAsia="zh-CN"/>
        </w:rPr>
        <w:t>732.57</w:t>
      </w:r>
      <w:r>
        <w:t>万元，包括人员经费</w:t>
      </w:r>
      <w:r>
        <w:rPr>
          <w:rFonts w:hint="eastAsia"/>
          <w:lang w:eastAsia="zh-CN"/>
        </w:rPr>
        <w:t>657.43</w:t>
      </w:r>
      <w:r>
        <w:t>万元和日常公用经费</w:t>
      </w:r>
      <w:r>
        <w:rPr>
          <w:rFonts w:hint="eastAsia"/>
          <w:lang w:eastAsia="zh-CN"/>
        </w:rPr>
        <w:t>75.14</w:t>
      </w:r>
      <w:r>
        <w:t>万元；项目支出</w:t>
      </w:r>
      <w:r>
        <w:rPr>
          <w:rFonts w:hint="eastAsia"/>
          <w:lang w:eastAsia="zh-CN"/>
        </w:rPr>
        <w:t>2519.03</w:t>
      </w:r>
      <w:r>
        <w:t>万元，主要为：</w:t>
      </w:r>
      <w:r>
        <w:rPr>
          <w:rFonts w:hint="eastAsia"/>
          <w:lang w:eastAsia="zh-CN"/>
        </w:rPr>
        <w:t>2021年大气污染防治（节能与循环经济）-康伟科技环保（河北）有限公司（冀财建【2020】317号），优质粮食工程补助资金（喜和圣、玉锋），河北凤来仪酒业有限公司“工业设计平台项目”。</w:t>
      </w:r>
    </w:p>
    <w:p>
      <w:pPr>
        <w:pStyle w:val="22"/>
        <w:numPr>
          <w:ilvl w:val="0"/>
          <w:numId w:val="1"/>
        </w:numPr>
      </w:pPr>
      <w:r>
        <w:t>比上年增减情况</w:t>
      </w:r>
    </w:p>
    <w:p>
      <w:pPr>
        <w:pStyle w:val="22"/>
        <w:ind w:firstLineChars="200"/>
      </w:pPr>
      <w:r>
        <w:t>202</w:t>
      </w:r>
      <w:r>
        <w:rPr>
          <w:rFonts w:hint="eastAsia"/>
          <w:lang w:eastAsia="zh-CN"/>
        </w:rPr>
        <w:t>1</w:t>
      </w:r>
      <w:r>
        <w:t>年，</w:t>
      </w:r>
      <w:r>
        <w:rPr>
          <w:rFonts w:hint="eastAsia"/>
          <w:lang w:eastAsia="zh-CN"/>
        </w:rPr>
        <w:t>单位</w:t>
      </w:r>
      <w:r>
        <w:t>预算收支安排</w:t>
      </w:r>
      <w:r>
        <w:rPr>
          <w:rFonts w:hint="eastAsia"/>
          <w:lang w:eastAsia="zh-CN"/>
        </w:rPr>
        <w:t>3251.60</w:t>
      </w:r>
      <w:r>
        <w:t>万元，较202</w:t>
      </w:r>
      <w:r>
        <w:rPr>
          <w:rFonts w:hint="eastAsia"/>
          <w:lang w:eastAsia="zh-CN"/>
        </w:rPr>
        <w:t>0</w:t>
      </w:r>
      <w:r>
        <w:t>年</w:t>
      </w:r>
      <w:r>
        <w:rPr>
          <w:rFonts w:hint="eastAsia"/>
          <w:lang w:eastAsia="zh-CN"/>
        </w:rPr>
        <w:t>减少681.31</w:t>
      </w:r>
      <w:r>
        <w:t>万元，其中：基本支出</w:t>
      </w:r>
      <w:r>
        <w:rPr>
          <w:rFonts w:hint="eastAsia"/>
          <w:lang w:eastAsia="zh-CN"/>
        </w:rPr>
        <w:t>增加18.06</w:t>
      </w:r>
      <w:r>
        <w:t>万元；项目支出</w:t>
      </w:r>
      <w:r>
        <w:rPr>
          <w:rFonts w:hint="eastAsia"/>
          <w:lang w:eastAsia="zh-CN"/>
        </w:rPr>
        <w:t>减少699.37</w:t>
      </w:r>
      <w:r>
        <w:t>万元，主要是</w:t>
      </w:r>
      <w:r>
        <w:rPr>
          <w:rFonts w:hint="eastAsia"/>
          <w:lang w:eastAsia="zh-CN"/>
        </w:rPr>
        <w:t>项目资金减少</w:t>
      </w:r>
      <w:r>
        <w:t>。</w:t>
      </w:r>
    </w:p>
    <w:p>
      <w:pPr>
        <w:pStyle w:val="22"/>
        <w:ind w:firstLine="0"/>
        <w:rPr>
          <w:lang w:eastAsia="zh-CN"/>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r>
        <w:rPr>
          <w:rFonts w:ascii="黑体" w:hAnsi="黑体" w:eastAsia="黑体" w:cs="黑体"/>
          <w:color w:val="000000"/>
          <w:sz w:val="32"/>
        </w:rPr>
        <w:t>三、机关运行经费安排情况</w:t>
      </w:r>
    </w:p>
    <w:p>
      <w:pPr>
        <w:pStyle w:val="23"/>
      </w:pPr>
      <w:r>
        <w:t>202</w:t>
      </w:r>
      <w:r>
        <w:rPr>
          <w:rFonts w:hint="eastAsia"/>
          <w:lang w:eastAsia="zh-CN"/>
        </w:rPr>
        <w:t>1</w:t>
      </w:r>
      <w:r>
        <w:t>年</w:t>
      </w:r>
      <w:r>
        <w:rPr>
          <w:rFonts w:hint="eastAsia"/>
          <w:lang w:eastAsia="zh-CN"/>
        </w:rPr>
        <w:t>单位</w:t>
      </w:r>
      <w:r>
        <w:t>日常公用经费共计安排</w:t>
      </w:r>
      <w:r>
        <w:rPr>
          <w:rFonts w:hint="eastAsia"/>
          <w:lang w:eastAsia="zh-CN"/>
        </w:rPr>
        <w:t>75.14</w:t>
      </w:r>
      <w:r>
        <w:t>万元，其中，主要用于保证机关正常运转的办公费</w:t>
      </w:r>
      <w:r>
        <w:rPr>
          <w:rFonts w:hint="eastAsia"/>
          <w:lang w:eastAsia="zh-CN"/>
        </w:rPr>
        <w:t>2.85</w:t>
      </w:r>
      <w:r>
        <w:t>万元、水费0.</w:t>
      </w:r>
      <w:r>
        <w:rPr>
          <w:rFonts w:hint="eastAsia"/>
          <w:lang w:eastAsia="zh-CN"/>
        </w:rPr>
        <w:t>29</w:t>
      </w:r>
      <w:r>
        <w:t>万元、电费</w:t>
      </w:r>
      <w:r>
        <w:rPr>
          <w:rFonts w:hint="eastAsia"/>
          <w:lang w:eastAsia="zh-CN"/>
        </w:rPr>
        <w:t>0.51</w:t>
      </w:r>
      <w:r>
        <w:t>、公务通讯补贴</w:t>
      </w:r>
      <w:r>
        <w:rPr>
          <w:rFonts w:hint="eastAsia"/>
          <w:lang w:eastAsia="zh-CN"/>
        </w:rPr>
        <w:t>14.70</w:t>
      </w:r>
      <w:r>
        <w:t>万元</w:t>
      </w:r>
      <w:r>
        <w:rPr>
          <w:rFonts w:hint="eastAsia"/>
          <w:lang w:eastAsia="zh-CN"/>
        </w:rPr>
        <w:t>、其他邮电费0.55万元、办公取暖费1.25万元、差旅费2.44万元、维修费0.34万元、会议费1.6万元、公务接待费0.28万元、工会经费4.47万元、福利费12.06万元、</w:t>
      </w:r>
      <w:r>
        <w:t>公务车运行维护费</w:t>
      </w:r>
      <w:r>
        <w:rPr>
          <w:rFonts w:hint="eastAsia"/>
          <w:lang w:eastAsia="zh-CN"/>
        </w:rPr>
        <w:t>3.5</w:t>
      </w:r>
      <w:r>
        <w:t>万元、车补</w:t>
      </w:r>
      <w:r>
        <w:rPr>
          <w:rFonts w:hint="eastAsia"/>
          <w:lang w:eastAsia="zh-CN"/>
        </w:rPr>
        <w:t>30.30</w:t>
      </w:r>
      <w:r>
        <w:t>万元。</w:t>
      </w:r>
    </w:p>
    <w:p>
      <w:pPr>
        <w:pStyle w:val="23"/>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pStyle w:val="24"/>
      </w:pPr>
      <w:r>
        <w:t>财政拨款“三公”经费预算情况：</w:t>
      </w:r>
    </w:p>
    <w:p>
      <w:pPr>
        <w:pStyle w:val="24"/>
      </w:pPr>
    </w:p>
    <w:p>
      <w:pPr>
        <w:pStyle w:val="24"/>
        <w:rPr>
          <w:lang w:eastAsia="zh-CN"/>
        </w:rPr>
      </w:pPr>
      <w:r>
        <w:t>202</w:t>
      </w:r>
      <w:r>
        <w:rPr>
          <w:rFonts w:hint="eastAsia"/>
          <w:lang w:eastAsia="zh-CN"/>
        </w:rPr>
        <w:t>1</w:t>
      </w:r>
      <w:r>
        <w:t>年财政拨款“三公”经费预算</w:t>
      </w:r>
      <w:r>
        <w:rPr>
          <w:rFonts w:hint="eastAsia"/>
          <w:lang w:eastAsia="zh-CN"/>
        </w:rPr>
        <w:t>5.38</w:t>
      </w:r>
      <w:r>
        <w:t>万元，其中:因公出国（境）费0万元、公务用车购置及运行费</w:t>
      </w:r>
      <w:r>
        <w:rPr>
          <w:rFonts w:hint="eastAsia"/>
          <w:lang w:eastAsia="zh-CN"/>
        </w:rPr>
        <w:t>3.5</w:t>
      </w:r>
      <w:r>
        <w:t>万元、公务接待费0.</w:t>
      </w:r>
      <w:r>
        <w:rPr>
          <w:rFonts w:hint="eastAsia"/>
          <w:lang w:eastAsia="zh-CN"/>
        </w:rPr>
        <w:t>28</w:t>
      </w:r>
      <w:r>
        <w:t>万元、会议费1.</w:t>
      </w:r>
      <w:r>
        <w:rPr>
          <w:rFonts w:hint="eastAsia"/>
          <w:lang w:eastAsia="zh-CN"/>
        </w:rPr>
        <w:t>6</w:t>
      </w:r>
      <w:r>
        <w:t>万元，与20</w:t>
      </w:r>
      <w:r>
        <w:rPr>
          <w:rFonts w:hint="eastAsia"/>
          <w:lang w:eastAsia="zh-CN"/>
        </w:rPr>
        <w:t>20</w:t>
      </w:r>
      <w:r>
        <w:t>年预算数增加</w:t>
      </w:r>
      <w:r>
        <w:rPr>
          <w:rFonts w:hint="eastAsia"/>
          <w:lang w:eastAsia="zh-CN"/>
        </w:rPr>
        <w:t>1.07</w:t>
      </w:r>
      <w:r>
        <w:t>万元</w:t>
      </w:r>
      <w:r>
        <w:rPr>
          <w:rFonts w:hint="eastAsia"/>
          <w:lang w:eastAsia="zh-CN"/>
        </w:rPr>
        <w:t>，主要原因燃油费增加。</w:t>
      </w:r>
    </w:p>
    <w:p>
      <w:pPr>
        <w:spacing w:before="10" w:after="10" w:line="360" w:lineRule="auto"/>
        <w:ind w:firstLine="640"/>
        <w:outlineLvl w:val="2"/>
        <w:rPr>
          <w:rFonts w:ascii="黑体" w:hAnsi="黑体" w:eastAsia="黑体" w:cs="黑体"/>
          <w:color w:val="000000"/>
          <w:sz w:val="32"/>
        </w:rPr>
      </w:pPr>
    </w:p>
    <w:p>
      <w:pPr>
        <w:pStyle w:val="32"/>
      </w:pPr>
    </w:p>
    <w:p>
      <w:pPr>
        <w:spacing w:before="10" w:after="10"/>
        <w:outlineLvl w:val="5"/>
        <w:rPr>
          <w:rFonts w:ascii="黑体" w:hAnsi="黑体" w:eastAsia="黑体" w:cs="黑体"/>
          <w:color w:val="000000"/>
          <w:sz w:val="32"/>
        </w:rPr>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《宁晋县生物经济发展“十四五”规划》编制</w:t>
      </w:r>
      <w:r>
        <w:rPr>
          <w:rFonts w:ascii="方正仿宋_GBK" w:hAnsi="方正仿宋_GBK" w:eastAsia="方正仿宋_GBK" w:cs="方正仿宋_GBK"/>
          <w:b/>
          <w:color w:val="000000"/>
          <w:sz w:val="28"/>
        </w:rPr>
        <w:t>绩效目标表</w:t>
      </w:r>
    </w:p>
    <w:tbl>
      <w:tblPr>
        <w:tblStyle w:val="8"/>
        <w:tblW w:w="13895" w:type="dxa"/>
        <w:tblInd w:w="392" w:type="dxa"/>
        <w:tblLayout w:type="autofit"/>
        <w:tblCellMar>
          <w:top w:w="0" w:type="dxa"/>
          <w:left w:w="108" w:type="dxa"/>
          <w:bottom w:w="0" w:type="dxa"/>
          <w:right w:w="108" w:type="dxa"/>
        </w:tblCellMar>
      </w:tblPr>
      <w:tblGrid>
        <w:gridCol w:w="1134"/>
        <w:gridCol w:w="1287"/>
        <w:gridCol w:w="1945"/>
        <w:gridCol w:w="2721"/>
        <w:gridCol w:w="709"/>
        <w:gridCol w:w="567"/>
        <w:gridCol w:w="3254"/>
        <w:gridCol w:w="2278"/>
      </w:tblGrid>
      <w:tr>
        <w:tblPrEx>
          <w:tblCellMar>
            <w:top w:w="0" w:type="dxa"/>
            <w:left w:w="108" w:type="dxa"/>
            <w:bottom w:w="0" w:type="dxa"/>
            <w:right w:w="108" w:type="dxa"/>
          </w:tblCellMar>
        </w:tblPrEx>
        <w:trPr>
          <w:trHeight w:val="330" w:hRule="atLeast"/>
        </w:trPr>
        <w:tc>
          <w:tcPr>
            <w:tcW w:w="1134" w:type="dxa"/>
            <w:tcBorders>
              <w:top w:val="single" w:color="auto" w:sz="4" w:space="0"/>
              <w:left w:val="single" w:color="auto" w:sz="4" w:space="0"/>
              <w:bottom w:val="single" w:color="auto" w:sz="4" w:space="0"/>
              <w:right w:val="single" w:color="auto" w:sz="4" w:space="0"/>
            </w:tcBorders>
            <w:shd w:val="clear" w:color="auto" w:fill="auto"/>
            <w:noWrap/>
          </w:tcPr>
          <w:p>
            <w:pPr>
              <w:rPr>
                <w:rFonts w:ascii="宋体" w:hAnsi="宋体" w:eastAsia="宋体" w:cs="宋体"/>
                <w:color w:val="000000"/>
                <w:sz w:val="20"/>
                <w:szCs w:val="18"/>
                <w:lang w:eastAsia="zh-CN"/>
              </w:rPr>
            </w:pPr>
            <w:r>
              <w:rPr>
                <w:rFonts w:hint="eastAsia" w:ascii="宋体" w:hAnsi="宋体" w:eastAsia="宋体" w:cs="宋体"/>
                <w:color w:val="000000"/>
                <w:sz w:val="20"/>
                <w:szCs w:val="18"/>
                <w:lang w:eastAsia="zh-CN"/>
              </w:rPr>
              <w:t>绩效目标</w:t>
            </w:r>
          </w:p>
        </w:tc>
        <w:tc>
          <w:tcPr>
            <w:tcW w:w="1287" w:type="dxa"/>
            <w:tcBorders>
              <w:top w:val="single" w:color="auto" w:sz="4" w:space="0"/>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目标1</w:t>
            </w:r>
          </w:p>
        </w:tc>
        <w:tc>
          <w:tcPr>
            <w:tcW w:w="11474" w:type="dxa"/>
            <w:gridSpan w:val="6"/>
            <w:tcBorders>
              <w:top w:val="single" w:color="auto" w:sz="4" w:space="0"/>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目标内容1</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一级指标</w:t>
            </w:r>
          </w:p>
        </w:tc>
        <w:tc>
          <w:tcPr>
            <w:tcW w:w="1287"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二级指标</w:t>
            </w:r>
          </w:p>
        </w:tc>
        <w:tc>
          <w:tcPr>
            <w:tcW w:w="1945"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三级指标</w:t>
            </w:r>
          </w:p>
        </w:tc>
        <w:tc>
          <w:tcPr>
            <w:tcW w:w="2721"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指标说明</w:t>
            </w:r>
          </w:p>
        </w:tc>
        <w:tc>
          <w:tcPr>
            <w:tcW w:w="4530" w:type="dxa"/>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指标值</w:t>
            </w:r>
          </w:p>
        </w:tc>
        <w:tc>
          <w:tcPr>
            <w:tcW w:w="2278" w:type="dxa"/>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指标确定依据</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945"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2721"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709"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符号</w:t>
            </w:r>
          </w:p>
        </w:tc>
        <w:tc>
          <w:tcPr>
            <w:tcW w:w="567"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值</w:t>
            </w:r>
          </w:p>
        </w:tc>
        <w:tc>
          <w:tcPr>
            <w:tcW w:w="3254"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单位（文字描述）</w:t>
            </w:r>
          </w:p>
        </w:tc>
        <w:tc>
          <w:tcPr>
            <w:tcW w:w="2278" w:type="dxa"/>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产出指标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数量指标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质量指标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时效指标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效益指标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经济效益指标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社会效益指标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生态效益指标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90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满意度指标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sz w:val="28"/>
        </w:rPr>
        <w:t>2、</w:t>
      </w:r>
      <w:r>
        <w:rPr>
          <w:rFonts w:hint="eastAsia" w:ascii="方正仿宋_GBK" w:hAnsi="方正仿宋_GBK" w:eastAsia="方正仿宋_GBK" w:cs="方正仿宋_GBK"/>
          <w:b/>
          <w:sz w:val="28"/>
        </w:rPr>
        <w:t>财经委员会办公室办公经费</w:t>
      </w:r>
      <w:r>
        <w:rPr>
          <w:rFonts w:ascii="方正仿宋_GBK" w:hAnsi="方正仿宋_GBK" w:eastAsia="方正仿宋_GBK" w:cs="方正仿宋_GBK"/>
          <w:b/>
          <w:sz w:val="28"/>
        </w:rPr>
        <w:t>绩效目标表</w:t>
      </w:r>
    </w:p>
    <w:tbl>
      <w:tblPr>
        <w:tblStyle w:val="8"/>
        <w:tblW w:w="13895" w:type="dxa"/>
        <w:tblInd w:w="392" w:type="dxa"/>
        <w:tblLayout w:type="autofit"/>
        <w:tblCellMar>
          <w:top w:w="0" w:type="dxa"/>
          <w:left w:w="108" w:type="dxa"/>
          <w:bottom w:w="0" w:type="dxa"/>
          <w:right w:w="108" w:type="dxa"/>
        </w:tblCellMar>
      </w:tblPr>
      <w:tblGrid>
        <w:gridCol w:w="1134"/>
        <w:gridCol w:w="1287"/>
        <w:gridCol w:w="1945"/>
        <w:gridCol w:w="2721"/>
        <w:gridCol w:w="709"/>
        <w:gridCol w:w="567"/>
        <w:gridCol w:w="3254"/>
        <w:gridCol w:w="2278"/>
      </w:tblGrid>
      <w:tr>
        <w:tblPrEx>
          <w:tblCellMar>
            <w:top w:w="0" w:type="dxa"/>
            <w:left w:w="108" w:type="dxa"/>
            <w:bottom w:w="0" w:type="dxa"/>
            <w:right w:w="108" w:type="dxa"/>
          </w:tblCellMar>
        </w:tblPrEx>
        <w:trPr>
          <w:trHeight w:val="330" w:hRule="atLeast"/>
        </w:trPr>
        <w:tc>
          <w:tcPr>
            <w:tcW w:w="1134" w:type="dxa"/>
            <w:tcBorders>
              <w:top w:val="single" w:color="auto" w:sz="4" w:space="0"/>
              <w:left w:val="single" w:color="auto" w:sz="4" w:space="0"/>
              <w:bottom w:val="single" w:color="auto" w:sz="4" w:space="0"/>
              <w:right w:val="single" w:color="auto" w:sz="4" w:space="0"/>
            </w:tcBorders>
            <w:shd w:val="clear" w:color="auto" w:fill="auto"/>
            <w:noWrap/>
          </w:tcPr>
          <w:p>
            <w:pPr>
              <w:rPr>
                <w:rFonts w:ascii="宋体" w:hAnsi="宋体" w:eastAsia="宋体" w:cs="宋体"/>
                <w:color w:val="000000"/>
                <w:sz w:val="20"/>
                <w:szCs w:val="18"/>
                <w:lang w:eastAsia="zh-CN"/>
              </w:rPr>
            </w:pPr>
            <w:r>
              <w:rPr>
                <w:rFonts w:hint="eastAsia" w:ascii="宋体" w:hAnsi="宋体" w:eastAsia="宋体" w:cs="宋体"/>
                <w:color w:val="000000"/>
                <w:sz w:val="20"/>
                <w:szCs w:val="18"/>
                <w:lang w:eastAsia="zh-CN"/>
              </w:rPr>
              <w:t>绩效目标</w:t>
            </w:r>
          </w:p>
        </w:tc>
        <w:tc>
          <w:tcPr>
            <w:tcW w:w="1287" w:type="dxa"/>
            <w:tcBorders>
              <w:top w:val="single" w:color="auto" w:sz="4" w:space="0"/>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目标1</w:t>
            </w:r>
          </w:p>
        </w:tc>
        <w:tc>
          <w:tcPr>
            <w:tcW w:w="11474" w:type="dxa"/>
            <w:gridSpan w:val="6"/>
            <w:tcBorders>
              <w:top w:val="single" w:color="auto" w:sz="4" w:space="0"/>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目标内容1</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一级指标</w:t>
            </w:r>
          </w:p>
        </w:tc>
        <w:tc>
          <w:tcPr>
            <w:tcW w:w="1287"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二级指标</w:t>
            </w:r>
          </w:p>
        </w:tc>
        <w:tc>
          <w:tcPr>
            <w:tcW w:w="1945"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三级指标</w:t>
            </w:r>
          </w:p>
        </w:tc>
        <w:tc>
          <w:tcPr>
            <w:tcW w:w="2721"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指标说明</w:t>
            </w:r>
          </w:p>
        </w:tc>
        <w:tc>
          <w:tcPr>
            <w:tcW w:w="4530" w:type="dxa"/>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指标值</w:t>
            </w:r>
          </w:p>
        </w:tc>
        <w:tc>
          <w:tcPr>
            <w:tcW w:w="2278" w:type="dxa"/>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指标确定依据</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945"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2721"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709"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符号</w:t>
            </w:r>
          </w:p>
        </w:tc>
        <w:tc>
          <w:tcPr>
            <w:tcW w:w="567"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值</w:t>
            </w:r>
          </w:p>
        </w:tc>
        <w:tc>
          <w:tcPr>
            <w:tcW w:w="3254"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单位（文字描述）</w:t>
            </w:r>
          </w:p>
        </w:tc>
        <w:tc>
          <w:tcPr>
            <w:tcW w:w="2278" w:type="dxa"/>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产出指标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数量指标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质量指标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时效指标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效益指标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经济效益指标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社会效益指标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生态效益指标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90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满意度指标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r>
    </w:tbl>
    <w:p/>
    <w:p/>
    <w:p/>
    <w:p>
      <w:pPr>
        <w:ind w:firstLine="1200" w:firstLineChars="500"/>
        <w:rPr>
          <w:rFonts w:eastAsia="宋体"/>
          <w:lang w:eastAsia="zh-CN"/>
        </w:r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eastAsia="zh-CN"/>
        </w:rPr>
        <w:t>“十四五”规划编制剩余资金</w:t>
      </w:r>
      <w:r>
        <w:rPr>
          <w:rFonts w:ascii="方正仿宋_GBK" w:hAnsi="方正仿宋_GBK" w:eastAsia="方正仿宋_GBK" w:cs="方正仿宋_GBK"/>
          <w:b/>
          <w:color w:val="000000"/>
          <w:sz w:val="28"/>
        </w:rPr>
        <w:t>绩效目标表</w:t>
      </w:r>
    </w:p>
    <w:tbl>
      <w:tblPr>
        <w:tblStyle w:val="8"/>
        <w:tblW w:w="13895" w:type="dxa"/>
        <w:tblInd w:w="392" w:type="dxa"/>
        <w:tblLayout w:type="autofit"/>
        <w:tblCellMar>
          <w:top w:w="0" w:type="dxa"/>
          <w:left w:w="108" w:type="dxa"/>
          <w:bottom w:w="0" w:type="dxa"/>
          <w:right w:w="108" w:type="dxa"/>
        </w:tblCellMar>
      </w:tblPr>
      <w:tblGrid>
        <w:gridCol w:w="1134"/>
        <w:gridCol w:w="1287"/>
        <w:gridCol w:w="1945"/>
        <w:gridCol w:w="2721"/>
        <w:gridCol w:w="709"/>
        <w:gridCol w:w="567"/>
        <w:gridCol w:w="3254"/>
        <w:gridCol w:w="2278"/>
      </w:tblGrid>
      <w:tr>
        <w:tblPrEx>
          <w:tblCellMar>
            <w:top w:w="0" w:type="dxa"/>
            <w:left w:w="108" w:type="dxa"/>
            <w:bottom w:w="0" w:type="dxa"/>
            <w:right w:w="108" w:type="dxa"/>
          </w:tblCellMar>
        </w:tblPrEx>
        <w:trPr>
          <w:trHeight w:val="330" w:hRule="atLeast"/>
        </w:trPr>
        <w:tc>
          <w:tcPr>
            <w:tcW w:w="1134" w:type="dxa"/>
            <w:tcBorders>
              <w:top w:val="single" w:color="auto" w:sz="4" w:space="0"/>
              <w:left w:val="single" w:color="auto" w:sz="4" w:space="0"/>
              <w:bottom w:val="single" w:color="auto" w:sz="4" w:space="0"/>
              <w:right w:val="single" w:color="auto" w:sz="4" w:space="0"/>
            </w:tcBorders>
            <w:shd w:val="clear" w:color="auto" w:fill="auto"/>
            <w:noWrap/>
          </w:tcPr>
          <w:p>
            <w:pPr>
              <w:rPr>
                <w:rFonts w:ascii="宋体" w:hAnsi="宋体" w:eastAsia="宋体" w:cs="宋体"/>
                <w:color w:val="000000"/>
                <w:sz w:val="20"/>
                <w:szCs w:val="18"/>
                <w:lang w:eastAsia="zh-CN"/>
              </w:rPr>
            </w:pPr>
            <w:r>
              <w:rPr>
                <w:rFonts w:hint="eastAsia" w:ascii="宋体" w:hAnsi="宋体" w:eastAsia="宋体" w:cs="宋体"/>
                <w:color w:val="000000"/>
                <w:sz w:val="20"/>
                <w:szCs w:val="18"/>
                <w:lang w:eastAsia="zh-CN"/>
              </w:rPr>
              <w:t>绩效目标</w:t>
            </w:r>
          </w:p>
        </w:tc>
        <w:tc>
          <w:tcPr>
            <w:tcW w:w="1287" w:type="dxa"/>
            <w:tcBorders>
              <w:top w:val="single" w:color="auto" w:sz="4" w:space="0"/>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目标1</w:t>
            </w:r>
          </w:p>
        </w:tc>
        <w:tc>
          <w:tcPr>
            <w:tcW w:w="11474" w:type="dxa"/>
            <w:gridSpan w:val="6"/>
            <w:tcBorders>
              <w:top w:val="single" w:color="auto" w:sz="4" w:space="0"/>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目标内容1</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一级指标</w:t>
            </w:r>
          </w:p>
        </w:tc>
        <w:tc>
          <w:tcPr>
            <w:tcW w:w="1287"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二级指标</w:t>
            </w:r>
          </w:p>
        </w:tc>
        <w:tc>
          <w:tcPr>
            <w:tcW w:w="1945"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三级指标</w:t>
            </w:r>
          </w:p>
        </w:tc>
        <w:tc>
          <w:tcPr>
            <w:tcW w:w="2721"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指标说明</w:t>
            </w:r>
          </w:p>
        </w:tc>
        <w:tc>
          <w:tcPr>
            <w:tcW w:w="4530" w:type="dxa"/>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指标值</w:t>
            </w:r>
          </w:p>
        </w:tc>
        <w:tc>
          <w:tcPr>
            <w:tcW w:w="2278" w:type="dxa"/>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指标确定依据</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945"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2721"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709"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符号</w:t>
            </w:r>
          </w:p>
        </w:tc>
        <w:tc>
          <w:tcPr>
            <w:tcW w:w="567"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值</w:t>
            </w:r>
          </w:p>
        </w:tc>
        <w:tc>
          <w:tcPr>
            <w:tcW w:w="3254"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单位（文字描述）</w:t>
            </w:r>
          </w:p>
        </w:tc>
        <w:tc>
          <w:tcPr>
            <w:tcW w:w="2278" w:type="dxa"/>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产出指标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数量指标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质量指标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时效指标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效益指标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经济效益指标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社会效益指标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生态效益指标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90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满意度指标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r>
    </w:tbl>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eastAsia="zh-CN"/>
        </w:rPr>
        <w:t>价格认证</w:t>
      </w:r>
      <w:r>
        <w:rPr>
          <w:rFonts w:ascii="方正仿宋_GBK" w:hAnsi="方正仿宋_GBK" w:eastAsia="方正仿宋_GBK" w:cs="方正仿宋_GBK"/>
          <w:b/>
          <w:color w:val="000000"/>
          <w:sz w:val="28"/>
        </w:rPr>
        <w:t>人员</w:t>
      </w:r>
      <w:r>
        <w:rPr>
          <w:rFonts w:hint="eastAsia" w:ascii="方正仿宋_GBK" w:hAnsi="方正仿宋_GBK" w:eastAsia="方正仿宋_GBK" w:cs="方正仿宋_GBK"/>
          <w:b/>
          <w:color w:val="000000"/>
          <w:sz w:val="28"/>
          <w:lang w:eastAsia="zh-CN"/>
        </w:rPr>
        <w:t>费用</w:t>
      </w:r>
      <w:r>
        <w:rPr>
          <w:rFonts w:ascii="方正仿宋_GBK" w:hAnsi="方正仿宋_GBK" w:eastAsia="方正仿宋_GBK" w:cs="方正仿宋_GBK"/>
          <w:b/>
          <w:color w:val="000000"/>
          <w:sz w:val="28"/>
        </w:rPr>
        <w:t>绩效目标表</w:t>
      </w:r>
    </w:p>
    <w:tbl>
      <w:tblPr>
        <w:tblStyle w:val="8"/>
        <w:tblW w:w="13895" w:type="dxa"/>
        <w:tblInd w:w="392" w:type="dxa"/>
        <w:tblLayout w:type="autofit"/>
        <w:tblCellMar>
          <w:top w:w="0" w:type="dxa"/>
          <w:left w:w="108" w:type="dxa"/>
          <w:bottom w:w="0" w:type="dxa"/>
          <w:right w:w="108" w:type="dxa"/>
        </w:tblCellMar>
      </w:tblPr>
      <w:tblGrid>
        <w:gridCol w:w="1134"/>
        <w:gridCol w:w="1287"/>
        <w:gridCol w:w="1945"/>
        <w:gridCol w:w="2721"/>
        <w:gridCol w:w="709"/>
        <w:gridCol w:w="567"/>
        <w:gridCol w:w="3254"/>
        <w:gridCol w:w="2278"/>
      </w:tblGrid>
      <w:tr>
        <w:trPr>
          <w:trHeight w:val="330" w:hRule="atLeast"/>
        </w:trPr>
        <w:tc>
          <w:tcPr>
            <w:tcW w:w="1134" w:type="dxa"/>
            <w:tcBorders>
              <w:top w:val="single" w:color="auto" w:sz="4" w:space="0"/>
              <w:left w:val="single" w:color="auto" w:sz="4" w:space="0"/>
              <w:bottom w:val="single" w:color="auto" w:sz="4" w:space="0"/>
              <w:right w:val="single" w:color="auto" w:sz="4" w:space="0"/>
            </w:tcBorders>
            <w:shd w:val="clear" w:color="auto" w:fill="auto"/>
            <w:noWrap/>
          </w:tcPr>
          <w:p>
            <w:pPr>
              <w:rPr>
                <w:rFonts w:ascii="宋体" w:hAnsi="宋体" w:eastAsia="宋体" w:cs="宋体"/>
                <w:color w:val="000000"/>
                <w:sz w:val="20"/>
                <w:szCs w:val="18"/>
                <w:lang w:eastAsia="zh-CN"/>
              </w:rPr>
            </w:pPr>
            <w:r>
              <w:rPr>
                <w:rFonts w:hint="eastAsia" w:ascii="宋体" w:hAnsi="宋体" w:eastAsia="宋体" w:cs="宋体"/>
                <w:color w:val="000000"/>
                <w:sz w:val="20"/>
                <w:szCs w:val="18"/>
                <w:lang w:eastAsia="zh-CN"/>
              </w:rPr>
              <w:t>绩效目标</w:t>
            </w:r>
          </w:p>
        </w:tc>
        <w:tc>
          <w:tcPr>
            <w:tcW w:w="1287" w:type="dxa"/>
            <w:tcBorders>
              <w:top w:val="single" w:color="auto" w:sz="4" w:space="0"/>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目标1</w:t>
            </w:r>
          </w:p>
        </w:tc>
        <w:tc>
          <w:tcPr>
            <w:tcW w:w="11474" w:type="dxa"/>
            <w:gridSpan w:val="6"/>
            <w:tcBorders>
              <w:top w:val="single" w:color="auto" w:sz="4" w:space="0"/>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目标内容1</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一级指标</w:t>
            </w:r>
          </w:p>
        </w:tc>
        <w:tc>
          <w:tcPr>
            <w:tcW w:w="1287"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二级指标</w:t>
            </w:r>
          </w:p>
        </w:tc>
        <w:tc>
          <w:tcPr>
            <w:tcW w:w="1945"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三级指标</w:t>
            </w:r>
          </w:p>
        </w:tc>
        <w:tc>
          <w:tcPr>
            <w:tcW w:w="2721"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指标说明</w:t>
            </w:r>
          </w:p>
        </w:tc>
        <w:tc>
          <w:tcPr>
            <w:tcW w:w="4530" w:type="dxa"/>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指标值</w:t>
            </w:r>
          </w:p>
        </w:tc>
        <w:tc>
          <w:tcPr>
            <w:tcW w:w="2278" w:type="dxa"/>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指标确定依据</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945"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2721"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709"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符号</w:t>
            </w:r>
          </w:p>
        </w:tc>
        <w:tc>
          <w:tcPr>
            <w:tcW w:w="567"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值</w:t>
            </w:r>
          </w:p>
        </w:tc>
        <w:tc>
          <w:tcPr>
            <w:tcW w:w="3254"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单位（文字描述）</w:t>
            </w:r>
          </w:p>
        </w:tc>
        <w:tc>
          <w:tcPr>
            <w:tcW w:w="2278" w:type="dxa"/>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产出指标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数量指标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质量指标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时效指标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效益指标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经济效益指标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社会效益指标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生态效益指标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90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满意度指标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r>
    </w:tbl>
    <w:p>
      <w:pPr>
        <w:sectPr>
          <w:pgSz w:w="16840" w:h="11900" w:orient="landscape"/>
          <w:pgMar w:top="1361" w:right="1020" w:bottom="1134" w:left="1020" w:header="720" w:footer="720" w:gutter="0"/>
          <w:cols w:space="720" w:num="1"/>
        </w:sectPr>
      </w:pPr>
    </w:p>
    <w:p>
      <w:pPr>
        <w:ind w:firstLine="560"/>
        <w:rPr>
          <w:rFonts w:hint="eastAsia" w:ascii="方正仿宋_GBK" w:hAnsi="方正仿宋_GBK" w:eastAsia="方正仿宋_GBK" w:cs="方正仿宋_GBK"/>
          <w:b/>
          <w:color w:val="000000"/>
          <w:sz w:val="28"/>
          <w:lang w:eastAsia="zh-CN"/>
        </w:rPr>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lang w:eastAsia="zh-CN"/>
        </w:rPr>
        <w:t>2021年大气污染防治（节能与循环经济）-康伟科技环保(河北)有限公司(冀财建【2020】317号）</w:t>
      </w:r>
    </w:p>
    <w:p>
      <w:pPr>
        <w:ind w:firstLine="560"/>
      </w:pPr>
      <w:r>
        <w:rPr>
          <w:rFonts w:ascii="方正仿宋_GBK" w:hAnsi="方正仿宋_GBK" w:eastAsia="方正仿宋_GBK" w:cs="方正仿宋_GBK"/>
          <w:b/>
          <w:color w:val="000000"/>
          <w:sz w:val="28"/>
        </w:rPr>
        <w:t>绩效目标表</w:t>
      </w:r>
    </w:p>
    <w:tbl>
      <w:tblPr>
        <w:tblStyle w:val="8"/>
        <w:tblW w:w="13895" w:type="dxa"/>
        <w:tblInd w:w="392" w:type="dxa"/>
        <w:tblLayout w:type="autofit"/>
        <w:tblCellMar>
          <w:top w:w="0" w:type="dxa"/>
          <w:left w:w="108" w:type="dxa"/>
          <w:bottom w:w="0" w:type="dxa"/>
          <w:right w:w="108" w:type="dxa"/>
        </w:tblCellMar>
      </w:tblPr>
      <w:tblGrid>
        <w:gridCol w:w="1134"/>
        <w:gridCol w:w="1287"/>
        <w:gridCol w:w="1945"/>
        <w:gridCol w:w="2721"/>
        <w:gridCol w:w="709"/>
        <w:gridCol w:w="567"/>
        <w:gridCol w:w="3254"/>
        <w:gridCol w:w="2278"/>
      </w:tblGrid>
      <w:tr>
        <w:tblPrEx>
          <w:tblCellMar>
            <w:top w:w="0" w:type="dxa"/>
            <w:left w:w="108" w:type="dxa"/>
            <w:bottom w:w="0" w:type="dxa"/>
            <w:right w:w="108" w:type="dxa"/>
          </w:tblCellMar>
        </w:tblPrEx>
        <w:trPr>
          <w:trHeight w:val="330" w:hRule="atLeast"/>
        </w:trPr>
        <w:tc>
          <w:tcPr>
            <w:tcW w:w="1134" w:type="dxa"/>
            <w:tcBorders>
              <w:top w:val="single" w:color="auto" w:sz="4" w:space="0"/>
              <w:left w:val="single" w:color="auto" w:sz="4" w:space="0"/>
              <w:bottom w:val="single" w:color="auto" w:sz="4" w:space="0"/>
              <w:right w:val="single" w:color="auto" w:sz="4" w:space="0"/>
            </w:tcBorders>
            <w:shd w:val="clear" w:color="auto" w:fill="auto"/>
            <w:noWrap/>
          </w:tcPr>
          <w:p>
            <w:pPr>
              <w:rPr>
                <w:rFonts w:ascii="宋体" w:hAnsi="宋体" w:eastAsia="宋体" w:cs="宋体"/>
                <w:color w:val="000000"/>
                <w:sz w:val="20"/>
                <w:szCs w:val="18"/>
                <w:lang w:eastAsia="zh-CN"/>
              </w:rPr>
            </w:pPr>
            <w:r>
              <w:rPr>
                <w:rFonts w:hint="eastAsia" w:ascii="宋体" w:hAnsi="宋体" w:eastAsia="宋体" w:cs="宋体"/>
                <w:color w:val="000000"/>
                <w:sz w:val="20"/>
                <w:szCs w:val="18"/>
                <w:lang w:eastAsia="zh-CN"/>
              </w:rPr>
              <w:t>绩效目标</w:t>
            </w:r>
          </w:p>
        </w:tc>
        <w:tc>
          <w:tcPr>
            <w:tcW w:w="1287" w:type="dxa"/>
            <w:tcBorders>
              <w:top w:val="single" w:color="auto" w:sz="4" w:space="0"/>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目标1</w:t>
            </w:r>
          </w:p>
        </w:tc>
        <w:tc>
          <w:tcPr>
            <w:tcW w:w="11474" w:type="dxa"/>
            <w:gridSpan w:val="6"/>
            <w:tcBorders>
              <w:top w:val="single" w:color="auto" w:sz="4" w:space="0"/>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目标内容1</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一级指标</w:t>
            </w:r>
          </w:p>
        </w:tc>
        <w:tc>
          <w:tcPr>
            <w:tcW w:w="1287"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二级指标</w:t>
            </w:r>
          </w:p>
        </w:tc>
        <w:tc>
          <w:tcPr>
            <w:tcW w:w="1945"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三级指标</w:t>
            </w:r>
          </w:p>
        </w:tc>
        <w:tc>
          <w:tcPr>
            <w:tcW w:w="2721"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指标说明</w:t>
            </w:r>
          </w:p>
        </w:tc>
        <w:tc>
          <w:tcPr>
            <w:tcW w:w="4530" w:type="dxa"/>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指标值</w:t>
            </w:r>
          </w:p>
        </w:tc>
        <w:tc>
          <w:tcPr>
            <w:tcW w:w="2278" w:type="dxa"/>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指标确定依据</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945"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2721"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709"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符号</w:t>
            </w:r>
          </w:p>
        </w:tc>
        <w:tc>
          <w:tcPr>
            <w:tcW w:w="567"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值</w:t>
            </w:r>
          </w:p>
        </w:tc>
        <w:tc>
          <w:tcPr>
            <w:tcW w:w="3254"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单位（文字描述）</w:t>
            </w:r>
          </w:p>
        </w:tc>
        <w:tc>
          <w:tcPr>
            <w:tcW w:w="2278" w:type="dxa"/>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产出指标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数量指标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质量指标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时效指标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效益指标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经济效益指标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社会效益指标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生态效益指标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90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满意度指标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lang w:eastAsia="zh-CN"/>
        </w:rPr>
        <w:t>重点项目办公室办公经费</w:t>
      </w:r>
      <w:r>
        <w:rPr>
          <w:rFonts w:ascii="方正仿宋_GBK" w:hAnsi="方正仿宋_GBK" w:eastAsia="方正仿宋_GBK" w:cs="方正仿宋_GBK"/>
          <w:b/>
          <w:color w:val="000000"/>
          <w:sz w:val="28"/>
        </w:rPr>
        <w:t>绩效目标表</w:t>
      </w:r>
    </w:p>
    <w:tbl>
      <w:tblPr>
        <w:tblStyle w:val="8"/>
        <w:tblW w:w="13895" w:type="dxa"/>
        <w:tblInd w:w="392" w:type="dxa"/>
        <w:tblLayout w:type="autofit"/>
        <w:tblCellMar>
          <w:top w:w="0" w:type="dxa"/>
          <w:left w:w="108" w:type="dxa"/>
          <w:bottom w:w="0" w:type="dxa"/>
          <w:right w:w="108" w:type="dxa"/>
        </w:tblCellMar>
      </w:tblPr>
      <w:tblGrid>
        <w:gridCol w:w="1134"/>
        <w:gridCol w:w="1287"/>
        <w:gridCol w:w="1945"/>
        <w:gridCol w:w="2721"/>
        <w:gridCol w:w="709"/>
        <w:gridCol w:w="567"/>
        <w:gridCol w:w="3254"/>
        <w:gridCol w:w="2278"/>
      </w:tblGrid>
      <w:tr>
        <w:tblPrEx>
          <w:tblCellMar>
            <w:top w:w="0" w:type="dxa"/>
            <w:left w:w="108" w:type="dxa"/>
            <w:bottom w:w="0" w:type="dxa"/>
            <w:right w:w="108" w:type="dxa"/>
          </w:tblCellMar>
        </w:tblPrEx>
        <w:trPr>
          <w:trHeight w:val="330" w:hRule="atLeast"/>
        </w:trPr>
        <w:tc>
          <w:tcPr>
            <w:tcW w:w="1134" w:type="dxa"/>
            <w:tcBorders>
              <w:top w:val="single" w:color="auto" w:sz="4" w:space="0"/>
              <w:left w:val="single" w:color="auto" w:sz="4" w:space="0"/>
              <w:bottom w:val="single" w:color="auto" w:sz="4" w:space="0"/>
              <w:right w:val="single" w:color="auto" w:sz="4" w:space="0"/>
            </w:tcBorders>
            <w:shd w:val="clear" w:color="auto" w:fill="auto"/>
            <w:noWrap/>
          </w:tcPr>
          <w:p>
            <w:pPr>
              <w:rPr>
                <w:rFonts w:ascii="宋体" w:hAnsi="宋体" w:eastAsia="宋体" w:cs="宋体"/>
                <w:color w:val="000000"/>
                <w:sz w:val="20"/>
                <w:szCs w:val="18"/>
                <w:lang w:eastAsia="zh-CN"/>
              </w:rPr>
            </w:pPr>
            <w:r>
              <w:rPr>
                <w:rFonts w:hint="eastAsia" w:ascii="宋体" w:hAnsi="宋体" w:eastAsia="宋体" w:cs="宋体"/>
                <w:color w:val="000000"/>
                <w:sz w:val="20"/>
                <w:szCs w:val="18"/>
                <w:lang w:eastAsia="zh-CN"/>
              </w:rPr>
              <w:t>绩效目标</w:t>
            </w:r>
          </w:p>
        </w:tc>
        <w:tc>
          <w:tcPr>
            <w:tcW w:w="1287" w:type="dxa"/>
            <w:tcBorders>
              <w:top w:val="single" w:color="auto" w:sz="4" w:space="0"/>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目标1</w:t>
            </w:r>
          </w:p>
        </w:tc>
        <w:tc>
          <w:tcPr>
            <w:tcW w:w="11474" w:type="dxa"/>
            <w:gridSpan w:val="6"/>
            <w:tcBorders>
              <w:top w:val="single" w:color="auto" w:sz="4" w:space="0"/>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目标内容1</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一级指标</w:t>
            </w:r>
          </w:p>
        </w:tc>
        <w:tc>
          <w:tcPr>
            <w:tcW w:w="1287"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二级指标</w:t>
            </w:r>
          </w:p>
        </w:tc>
        <w:tc>
          <w:tcPr>
            <w:tcW w:w="1945"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三级指标</w:t>
            </w:r>
          </w:p>
        </w:tc>
        <w:tc>
          <w:tcPr>
            <w:tcW w:w="2721"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指标说明</w:t>
            </w:r>
          </w:p>
        </w:tc>
        <w:tc>
          <w:tcPr>
            <w:tcW w:w="4530" w:type="dxa"/>
            <w:gridSpan w:val="3"/>
            <w:tcBorders>
              <w:top w:val="single" w:color="auto" w:sz="4" w:space="0"/>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指标值</w:t>
            </w:r>
          </w:p>
        </w:tc>
        <w:tc>
          <w:tcPr>
            <w:tcW w:w="2278" w:type="dxa"/>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指标确定依据</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945"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2721"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709"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符号</w:t>
            </w:r>
          </w:p>
        </w:tc>
        <w:tc>
          <w:tcPr>
            <w:tcW w:w="567"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值</w:t>
            </w:r>
          </w:p>
        </w:tc>
        <w:tc>
          <w:tcPr>
            <w:tcW w:w="3254" w:type="dxa"/>
            <w:tcBorders>
              <w:top w:val="nil"/>
              <w:left w:val="nil"/>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单位（文字描述）</w:t>
            </w:r>
          </w:p>
        </w:tc>
        <w:tc>
          <w:tcPr>
            <w:tcW w:w="2278" w:type="dxa"/>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产出指标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数量指标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工作按时完成率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质量指标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实际完成率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时效指标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质量合格率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效益指标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经济效益指标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社会效益指标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1</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生态影响率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生态效益指标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90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政策建议采纳率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　</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　</w:t>
            </w:r>
          </w:p>
        </w:tc>
      </w:tr>
      <w:tr>
        <w:tblPrEx>
          <w:tblCellMar>
            <w:top w:w="0" w:type="dxa"/>
            <w:left w:w="108" w:type="dxa"/>
            <w:bottom w:w="0" w:type="dxa"/>
            <w:right w:w="108" w:type="dxa"/>
          </w:tblCellMar>
        </w:tblPrEx>
        <w:trPr>
          <w:trHeight w:val="330" w:hRule="atLeast"/>
        </w:trPr>
        <w:tc>
          <w:tcPr>
            <w:tcW w:w="1134" w:type="dxa"/>
            <w:vMerge w:val="restart"/>
            <w:tcBorders>
              <w:top w:val="nil"/>
              <w:left w:val="single" w:color="auto" w:sz="4" w:space="0"/>
              <w:bottom w:val="single" w:color="auto" w:sz="4" w:space="0"/>
              <w:right w:val="single" w:color="auto" w:sz="4" w:space="0"/>
            </w:tcBorders>
            <w:shd w:val="clear" w:color="auto" w:fill="auto"/>
            <w:noWrap/>
          </w:tcPr>
          <w:p>
            <w:pPr>
              <w:jc w:val="cente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满意度指标</w:t>
            </w: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企业满意率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办事单位满意率</w:t>
            </w:r>
          </w:p>
        </w:tc>
      </w:tr>
      <w:tr>
        <w:tblPrEx>
          <w:tblCellMar>
            <w:top w:w="0" w:type="dxa"/>
            <w:left w:w="108" w:type="dxa"/>
            <w:bottom w:w="0" w:type="dxa"/>
            <w:right w:w="108" w:type="dxa"/>
          </w:tblCellMar>
        </w:tblPrEx>
        <w:trPr>
          <w:trHeight w:val="330" w:hRule="atLeast"/>
        </w:trPr>
        <w:tc>
          <w:tcPr>
            <w:tcW w:w="1134" w:type="dxa"/>
            <w:vMerge w:val="continue"/>
            <w:tcBorders>
              <w:top w:val="nil"/>
              <w:left w:val="single" w:color="auto" w:sz="4" w:space="0"/>
              <w:bottom w:val="single" w:color="auto" w:sz="4" w:space="0"/>
              <w:right w:val="single" w:color="auto" w:sz="4" w:space="0"/>
            </w:tcBorders>
            <w:vAlign w:val="center"/>
          </w:tcPr>
          <w:p>
            <w:pPr>
              <w:rPr>
                <w:rFonts w:ascii="Calibri" w:hAnsi="Calibri" w:eastAsia="宋体" w:cs="宋体"/>
                <w:color w:val="000000"/>
                <w:sz w:val="20"/>
                <w:szCs w:val="18"/>
                <w:lang w:eastAsia="zh-CN"/>
              </w:rPr>
            </w:pPr>
          </w:p>
        </w:tc>
        <w:tc>
          <w:tcPr>
            <w:tcW w:w="1287" w:type="dxa"/>
            <w:tcBorders>
              <w:top w:val="nil"/>
              <w:left w:val="nil"/>
              <w:bottom w:val="single" w:color="auto" w:sz="4" w:space="0"/>
              <w:right w:val="single" w:color="auto" w:sz="4" w:space="0"/>
            </w:tcBorders>
            <w:shd w:val="clear" w:color="auto" w:fill="auto"/>
            <w:noWrap/>
            <w:vAlign w:val="center"/>
          </w:tcPr>
          <w:p>
            <w:pPr>
              <w:rPr>
                <w:rFonts w:ascii="宋体" w:hAnsi="宋体" w:eastAsia="宋体" w:cs="宋体"/>
                <w:sz w:val="20"/>
                <w:szCs w:val="18"/>
                <w:lang w:eastAsia="zh-CN"/>
              </w:rPr>
            </w:pPr>
            <w:r>
              <w:rPr>
                <w:rFonts w:hint="eastAsia" w:ascii="宋体" w:hAnsi="宋体" w:eastAsia="宋体" w:cs="宋体"/>
                <w:sz w:val="20"/>
                <w:szCs w:val="18"/>
                <w:lang w:eastAsia="zh-CN"/>
              </w:rPr>
              <w:t>服务对象满意度指标</w:t>
            </w:r>
          </w:p>
        </w:tc>
        <w:tc>
          <w:tcPr>
            <w:tcW w:w="1945"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721"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709"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w:t>
            </w:r>
          </w:p>
        </w:tc>
        <w:tc>
          <w:tcPr>
            <w:tcW w:w="567"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80</w:t>
            </w:r>
          </w:p>
        </w:tc>
        <w:tc>
          <w:tcPr>
            <w:tcW w:w="3254"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c>
          <w:tcPr>
            <w:tcW w:w="2278" w:type="dxa"/>
            <w:tcBorders>
              <w:top w:val="nil"/>
              <w:left w:val="nil"/>
              <w:bottom w:val="single" w:color="auto" w:sz="4" w:space="0"/>
              <w:right w:val="single" w:color="auto" w:sz="4" w:space="0"/>
            </w:tcBorders>
            <w:shd w:val="clear" w:color="auto" w:fill="auto"/>
            <w:noWrap/>
          </w:tcPr>
          <w:p>
            <w:pPr>
              <w:rPr>
                <w:rFonts w:ascii="Calibri" w:hAnsi="Calibri" w:eastAsia="宋体" w:cs="宋体"/>
                <w:color w:val="000000"/>
                <w:sz w:val="20"/>
                <w:szCs w:val="18"/>
                <w:lang w:eastAsia="zh-CN"/>
              </w:rPr>
            </w:pPr>
            <w:r>
              <w:rPr>
                <w:rFonts w:ascii="Calibri" w:hAnsi="Calibri" w:eastAsia="宋体" w:cs="宋体"/>
                <w:color w:val="000000"/>
                <w:sz w:val="20"/>
                <w:szCs w:val="18"/>
                <w:lang w:eastAsia="zh-CN"/>
              </w:rPr>
              <w:t>客户满意率</w:t>
            </w:r>
          </w:p>
        </w:tc>
      </w:tr>
    </w:tbl>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eastAsia="zh-CN"/>
        </w:rPr>
        <w:t>社会风险稳定性评估</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≥95工作按时完成率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≥96实际完成率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≥90质量合格率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≥85政策建议采纳率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≥92生态影响</w:t>
            </w:r>
          </w:p>
        </w:tc>
        <w:tc>
          <w:tcPr>
            <w:tcW w:w="2268"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≥91政策建议采纳率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≥97企业满意度</w:t>
            </w:r>
          </w:p>
        </w:tc>
        <w:tc>
          <w:tcPr>
            <w:tcW w:w="2268" w:type="dxa"/>
            <w:vAlign w:val="center"/>
          </w:tcPr>
          <w:p>
            <w:pPr>
              <w:pStyle w:val="16"/>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≥98办理单位满意度</w:t>
            </w:r>
          </w:p>
        </w:tc>
        <w:tc>
          <w:tcPr>
            <w:tcW w:w="2268" w:type="dxa"/>
            <w:vAlign w:val="center"/>
          </w:tcPr>
          <w:p>
            <w:pPr>
              <w:pStyle w:val="16"/>
            </w:pPr>
            <w:r>
              <w:t>办理单位满意度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≥86客户满意度</w:t>
            </w:r>
          </w:p>
        </w:tc>
        <w:tc>
          <w:tcPr>
            <w:tcW w:w="2268" w:type="dxa"/>
            <w:vAlign w:val="center"/>
          </w:tcPr>
          <w:p>
            <w:pPr>
              <w:pStyle w:val="16"/>
            </w:pPr>
            <w:r>
              <w:t>客户满意度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eastAsia="zh-CN"/>
        </w:rPr>
        <w:t>原二轻人员工资等</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≥1工作按时完成率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≥1生态影响</w:t>
            </w:r>
          </w:p>
        </w:tc>
        <w:tc>
          <w:tcPr>
            <w:tcW w:w="2268"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≥80政策建议采纳率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≥90企业满意度</w:t>
            </w:r>
          </w:p>
        </w:tc>
        <w:tc>
          <w:tcPr>
            <w:tcW w:w="2268" w:type="dxa"/>
            <w:vAlign w:val="center"/>
          </w:tcPr>
          <w:p>
            <w:pPr>
              <w:pStyle w:val="16"/>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办公单位满意度</w:t>
            </w:r>
          </w:p>
        </w:tc>
        <w:tc>
          <w:tcPr>
            <w:tcW w:w="2835" w:type="dxa"/>
            <w:vAlign w:val="center"/>
          </w:tcPr>
          <w:p>
            <w:pPr>
              <w:pStyle w:val="16"/>
            </w:pPr>
            <w:r>
              <w:t>办公单位满意度</w:t>
            </w:r>
          </w:p>
        </w:tc>
        <w:tc>
          <w:tcPr>
            <w:tcW w:w="2551" w:type="dxa"/>
            <w:vAlign w:val="center"/>
          </w:tcPr>
          <w:p>
            <w:pPr>
              <w:pStyle w:val="16"/>
            </w:pPr>
            <w:r>
              <w:t>≥80办公单位满意度</w:t>
            </w:r>
          </w:p>
        </w:tc>
        <w:tc>
          <w:tcPr>
            <w:tcW w:w="2268" w:type="dxa"/>
            <w:vAlign w:val="center"/>
          </w:tcPr>
          <w:p>
            <w:pPr>
              <w:pStyle w:val="16"/>
            </w:pPr>
            <w:r>
              <w:t>办公单位满意度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≥80客户满意度</w:t>
            </w:r>
          </w:p>
        </w:tc>
        <w:tc>
          <w:tcPr>
            <w:tcW w:w="2268" w:type="dxa"/>
            <w:vAlign w:val="center"/>
          </w:tcPr>
          <w:p>
            <w:pPr>
              <w:pStyle w:val="16"/>
            </w:pPr>
            <w:r>
              <w:t>客户满意度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CN"/>
        </w:rPr>
        <w:t>重点企业服务办公室办公</w:t>
      </w:r>
      <w:r>
        <w:rPr>
          <w:rFonts w:ascii="方正仿宋_GBK" w:hAnsi="方正仿宋_GBK" w:eastAsia="方正仿宋_GBK" w:cs="方正仿宋_GBK"/>
          <w:b/>
          <w:color w:val="000000"/>
          <w:sz w:val="28"/>
        </w:rPr>
        <w:t>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lang w:eastAsia="zh-CN"/>
              </w:rPr>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≥95工作按时完成率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≥98质量合格率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≥96政策建议采纳率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投入产出率</w:t>
            </w:r>
          </w:p>
        </w:tc>
        <w:tc>
          <w:tcPr>
            <w:tcW w:w="2835" w:type="dxa"/>
            <w:vAlign w:val="center"/>
          </w:tcPr>
          <w:p>
            <w:pPr>
              <w:pStyle w:val="16"/>
            </w:pPr>
            <w:r>
              <w:t>投入产出率</w:t>
            </w:r>
          </w:p>
        </w:tc>
        <w:tc>
          <w:tcPr>
            <w:tcW w:w="2551" w:type="dxa"/>
            <w:vAlign w:val="center"/>
          </w:tcPr>
          <w:p>
            <w:pPr>
              <w:pStyle w:val="16"/>
            </w:pPr>
            <w:r>
              <w:t>≥94投入产出率</w:t>
            </w:r>
          </w:p>
        </w:tc>
        <w:tc>
          <w:tcPr>
            <w:tcW w:w="2268" w:type="dxa"/>
            <w:vAlign w:val="center"/>
          </w:tcPr>
          <w:p>
            <w:pPr>
              <w:pStyle w:val="16"/>
            </w:pPr>
            <w:r>
              <w:t>投入产出率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利润完成率</w:t>
            </w:r>
          </w:p>
        </w:tc>
        <w:tc>
          <w:tcPr>
            <w:tcW w:w="2835" w:type="dxa"/>
            <w:vAlign w:val="center"/>
          </w:tcPr>
          <w:p>
            <w:pPr>
              <w:pStyle w:val="16"/>
            </w:pPr>
            <w:r>
              <w:t>利润完成率</w:t>
            </w:r>
          </w:p>
        </w:tc>
        <w:tc>
          <w:tcPr>
            <w:tcW w:w="2551" w:type="dxa"/>
            <w:vAlign w:val="center"/>
          </w:tcPr>
          <w:p>
            <w:pPr>
              <w:pStyle w:val="16"/>
            </w:pPr>
            <w:r>
              <w:t>≥93利润完成率</w:t>
            </w:r>
          </w:p>
        </w:tc>
        <w:tc>
          <w:tcPr>
            <w:tcW w:w="2268" w:type="dxa"/>
            <w:vAlign w:val="center"/>
          </w:tcPr>
          <w:p>
            <w:pPr>
              <w:pStyle w:val="16"/>
            </w:pPr>
            <w:r>
              <w:t>利润完成率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社会支持率</w:t>
            </w:r>
          </w:p>
        </w:tc>
        <w:tc>
          <w:tcPr>
            <w:tcW w:w="2835" w:type="dxa"/>
            <w:vAlign w:val="center"/>
          </w:tcPr>
          <w:p>
            <w:pPr>
              <w:pStyle w:val="16"/>
            </w:pPr>
            <w:r>
              <w:t>社会支持率</w:t>
            </w:r>
          </w:p>
        </w:tc>
        <w:tc>
          <w:tcPr>
            <w:tcW w:w="2551" w:type="dxa"/>
            <w:vAlign w:val="center"/>
          </w:tcPr>
          <w:p>
            <w:pPr>
              <w:pStyle w:val="16"/>
            </w:pPr>
            <w:r>
              <w:t>≥90社会支持率</w:t>
            </w:r>
          </w:p>
        </w:tc>
        <w:tc>
          <w:tcPr>
            <w:tcW w:w="2268" w:type="dxa"/>
            <w:vAlign w:val="center"/>
          </w:tcPr>
          <w:p>
            <w:pPr>
              <w:pStyle w:val="16"/>
            </w:pPr>
            <w:r>
              <w:t>社会支持率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≥88生态影响率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持续发展率</w:t>
            </w:r>
          </w:p>
        </w:tc>
        <w:tc>
          <w:tcPr>
            <w:tcW w:w="2835" w:type="dxa"/>
            <w:vAlign w:val="center"/>
          </w:tcPr>
          <w:p>
            <w:pPr>
              <w:pStyle w:val="16"/>
            </w:pPr>
            <w:r>
              <w:t>持续发展率</w:t>
            </w:r>
          </w:p>
        </w:tc>
        <w:tc>
          <w:tcPr>
            <w:tcW w:w="2551" w:type="dxa"/>
            <w:vAlign w:val="center"/>
          </w:tcPr>
          <w:p>
            <w:pPr>
              <w:pStyle w:val="16"/>
            </w:pPr>
            <w:r>
              <w:t>≥89持续发展率</w:t>
            </w:r>
          </w:p>
        </w:tc>
        <w:tc>
          <w:tcPr>
            <w:tcW w:w="2268" w:type="dxa"/>
            <w:vAlign w:val="center"/>
          </w:tcPr>
          <w:p>
            <w:pPr>
              <w:pStyle w:val="16"/>
            </w:pPr>
            <w:r>
              <w:t>持续发展率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客户满意率</w:t>
            </w:r>
          </w:p>
        </w:tc>
        <w:tc>
          <w:tcPr>
            <w:tcW w:w="2835" w:type="dxa"/>
            <w:vAlign w:val="center"/>
          </w:tcPr>
          <w:p>
            <w:pPr>
              <w:pStyle w:val="16"/>
            </w:pPr>
            <w:r>
              <w:t>客户满意率</w:t>
            </w:r>
          </w:p>
        </w:tc>
        <w:tc>
          <w:tcPr>
            <w:tcW w:w="2551" w:type="dxa"/>
            <w:vAlign w:val="center"/>
          </w:tcPr>
          <w:p>
            <w:pPr>
              <w:pStyle w:val="16"/>
            </w:pPr>
            <w:r>
              <w:t>≥85客户满意率</w:t>
            </w:r>
          </w:p>
        </w:tc>
        <w:tc>
          <w:tcPr>
            <w:tcW w:w="2268" w:type="dxa"/>
            <w:vAlign w:val="center"/>
          </w:tcPr>
          <w:p>
            <w:pPr>
              <w:pStyle w:val="16"/>
            </w:pPr>
            <w:r>
              <w:t>客户满意率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lang w:eastAsia="zh-CN"/>
        </w:rPr>
        <w:t>《宁晋县数字经济发展规划（2010-2025）》编制经费</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完成项目数量</w:t>
            </w:r>
          </w:p>
        </w:tc>
        <w:tc>
          <w:tcPr>
            <w:tcW w:w="2835" w:type="dxa"/>
            <w:vAlign w:val="center"/>
          </w:tcPr>
          <w:p>
            <w:pPr>
              <w:pStyle w:val="16"/>
            </w:pPr>
            <w:r>
              <w:t>完成项目数量</w:t>
            </w:r>
          </w:p>
        </w:tc>
        <w:tc>
          <w:tcPr>
            <w:tcW w:w="2551" w:type="dxa"/>
            <w:vAlign w:val="center"/>
          </w:tcPr>
          <w:p>
            <w:pPr>
              <w:pStyle w:val="16"/>
            </w:pPr>
            <w:r>
              <w:t>≥100完成项目数量</w:t>
            </w:r>
          </w:p>
        </w:tc>
        <w:tc>
          <w:tcPr>
            <w:tcW w:w="2268" w:type="dxa"/>
            <w:vAlign w:val="center"/>
          </w:tcPr>
          <w:p>
            <w:pPr>
              <w:pStyle w:val="16"/>
            </w:pPr>
            <w:r>
              <w:t>完成项目数量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新建建筑验收合格率（%）</w:t>
            </w:r>
          </w:p>
        </w:tc>
        <w:tc>
          <w:tcPr>
            <w:tcW w:w="2835" w:type="dxa"/>
            <w:vAlign w:val="center"/>
          </w:tcPr>
          <w:p>
            <w:pPr>
              <w:pStyle w:val="16"/>
            </w:pPr>
            <w:r>
              <w:t>新建建筑验收合格率（%）</w:t>
            </w:r>
          </w:p>
        </w:tc>
        <w:tc>
          <w:tcPr>
            <w:tcW w:w="2551" w:type="dxa"/>
            <w:vAlign w:val="center"/>
          </w:tcPr>
          <w:p>
            <w:pPr>
              <w:pStyle w:val="16"/>
            </w:pPr>
            <w:r>
              <w:t>≥100新建建筑验收合格率（%）</w:t>
            </w:r>
          </w:p>
        </w:tc>
        <w:tc>
          <w:tcPr>
            <w:tcW w:w="2268" w:type="dxa"/>
            <w:vAlign w:val="center"/>
          </w:tcPr>
          <w:p>
            <w:pPr>
              <w:pStyle w:val="16"/>
            </w:pPr>
            <w:r>
              <w:t>新建建筑验收合格率（%）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污染治理设施成本控制率</w:t>
            </w:r>
          </w:p>
        </w:tc>
        <w:tc>
          <w:tcPr>
            <w:tcW w:w="2835" w:type="dxa"/>
            <w:vAlign w:val="center"/>
          </w:tcPr>
          <w:p>
            <w:pPr>
              <w:pStyle w:val="16"/>
            </w:pPr>
            <w:r>
              <w:t>污染治理设施成本控制率</w:t>
            </w:r>
          </w:p>
        </w:tc>
        <w:tc>
          <w:tcPr>
            <w:tcW w:w="2551" w:type="dxa"/>
            <w:vAlign w:val="center"/>
          </w:tcPr>
          <w:p>
            <w:pPr>
              <w:pStyle w:val="16"/>
            </w:pPr>
            <w:r>
              <w:t>≥1污染治理设施成本控制率</w:t>
            </w:r>
          </w:p>
        </w:tc>
        <w:tc>
          <w:tcPr>
            <w:tcW w:w="2268" w:type="dxa"/>
            <w:vAlign w:val="center"/>
          </w:tcPr>
          <w:p>
            <w:pPr>
              <w:pStyle w:val="16"/>
            </w:pPr>
            <w:r>
              <w:t>污染治理设施成本控制率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提升企业环境治理水平</w:t>
            </w:r>
          </w:p>
        </w:tc>
        <w:tc>
          <w:tcPr>
            <w:tcW w:w="2835" w:type="dxa"/>
            <w:vAlign w:val="center"/>
          </w:tcPr>
          <w:p>
            <w:pPr>
              <w:pStyle w:val="16"/>
            </w:pPr>
            <w:r>
              <w:t>提升企业环境治理水平</w:t>
            </w:r>
          </w:p>
        </w:tc>
        <w:tc>
          <w:tcPr>
            <w:tcW w:w="2551" w:type="dxa"/>
            <w:vAlign w:val="center"/>
          </w:tcPr>
          <w:p>
            <w:pPr>
              <w:pStyle w:val="16"/>
            </w:pPr>
            <w:r>
              <w:t>≥100提升企业环境治理水平</w:t>
            </w:r>
          </w:p>
        </w:tc>
        <w:tc>
          <w:tcPr>
            <w:tcW w:w="2268" w:type="dxa"/>
            <w:vAlign w:val="center"/>
          </w:tcPr>
          <w:p>
            <w:pPr>
              <w:pStyle w:val="16"/>
            </w:pPr>
            <w:r>
              <w:t>提升企业环境治理水平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水质达标率</w:t>
            </w:r>
          </w:p>
        </w:tc>
        <w:tc>
          <w:tcPr>
            <w:tcW w:w="2835" w:type="dxa"/>
            <w:vAlign w:val="center"/>
          </w:tcPr>
          <w:p>
            <w:pPr>
              <w:pStyle w:val="16"/>
            </w:pPr>
            <w:r>
              <w:t>水质达标率</w:t>
            </w:r>
          </w:p>
        </w:tc>
        <w:tc>
          <w:tcPr>
            <w:tcW w:w="2551" w:type="dxa"/>
            <w:vAlign w:val="center"/>
          </w:tcPr>
          <w:p>
            <w:pPr>
              <w:pStyle w:val="16"/>
            </w:pPr>
            <w:r>
              <w:t>≥10水质达标率</w:t>
            </w:r>
          </w:p>
        </w:tc>
        <w:tc>
          <w:tcPr>
            <w:tcW w:w="2268" w:type="dxa"/>
            <w:vAlign w:val="center"/>
          </w:tcPr>
          <w:p>
            <w:pPr>
              <w:pStyle w:val="16"/>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污水处理率</w:t>
            </w:r>
          </w:p>
        </w:tc>
        <w:tc>
          <w:tcPr>
            <w:tcW w:w="2835" w:type="dxa"/>
            <w:vAlign w:val="center"/>
          </w:tcPr>
          <w:p>
            <w:pPr>
              <w:pStyle w:val="16"/>
            </w:pPr>
            <w:r>
              <w:t>污水处理率</w:t>
            </w:r>
          </w:p>
        </w:tc>
        <w:tc>
          <w:tcPr>
            <w:tcW w:w="2551" w:type="dxa"/>
            <w:vAlign w:val="center"/>
          </w:tcPr>
          <w:p>
            <w:pPr>
              <w:pStyle w:val="16"/>
            </w:pPr>
            <w:r>
              <w:t>≥10污水处理率</w:t>
            </w:r>
          </w:p>
        </w:tc>
        <w:tc>
          <w:tcPr>
            <w:tcW w:w="2268" w:type="dxa"/>
            <w:vAlign w:val="center"/>
          </w:tcPr>
          <w:p>
            <w:pPr>
              <w:pStyle w:val="16"/>
            </w:pPr>
            <w:r>
              <w:t>污水处理率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科研工作人员满意度</w:t>
            </w:r>
          </w:p>
        </w:tc>
        <w:tc>
          <w:tcPr>
            <w:tcW w:w="2835" w:type="dxa"/>
            <w:vAlign w:val="center"/>
          </w:tcPr>
          <w:p>
            <w:pPr>
              <w:pStyle w:val="16"/>
            </w:pPr>
            <w:r>
              <w:t>科研工作人员满意度</w:t>
            </w:r>
          </w:p>
        </w:tc>
        <w:tc>
          <w:tcPr>
            <w:tcW w:w="2551" w:type="dxa"/>
            <w:vAlign w:val="center"/>
          </w:tcPr>
          <w:p>
            <w:pPr>
              <w:pStyle w:val="16"/>
            </w:pPr>
            <w:r>
              <w:t>≥80科研工作人员满意度</w:t>
            </w:r>
          </w:p>
        </w:tc>
        <w:tc>
          <w:tcPr>
            <w:tcW w:w="2268" w:type="dxa"/>
            <w:vAlign w:val="center"/>
          </w:tcPr>
          <w:p>
            <w:pPr>
              <w:pStyle w:val="16"/>
            </w:pPr>
            <w:r>
              <w:t>科研工作人员满意度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≥80企业满意度</w:t>
            </w:r>
          </w:p>
        </w:tc>
        <w:tc>
          <w:tcPr>
            <w:tcW w:w="2268" w:type="dxa"/>
            <w:vAlign w:val="center"/>
          </w:tcPr>
          <w:p>
            <w:pPr>
              <w:pStyle w:val="16"/>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仪器使用人员满意度</w:t>
            </w:r>
          </w:p>
        </w:tc>
        <w:tc>
          <w:tcPr>
            <w:tcW w:w="2835" w:type="dxa"/>
            <w:vAlign w:val="center"/>
          </w:tcPr>
          <w:p>
            <w:pPr>
              <w:pStyle w:val="16"/>
            </w:pPr>
            <w:r>
              <w:t>仪器使用人员满意度</w:t>
            </w:r>
          </w:p>
        </w:tc>
        <w:tc>
          <w:tcPr>
            <w:tcW w:w="2551" w:type="dxa"/>
            <w:vAlign w:val="center"/>
          </w:tcPr>
          <w:p>
            <w:pPr>
              <w:pStyle w:val="16"/>
            </w:pPr>
            <w:r>
              <w:t>≥80仪器使用人员满意度</w:t>
            </w:r>
          </w:p>
        </w:tc>
        <w:tc>
          <w:tcPr>
            <w:tcW w:w="2268" w:type="dxa"/>
            <w:vAlign w:val="center"/>
          </w:tcPr>
          <w:p>
            <w:pPr>
              <w:pStyle w:val="16"/>
            </w:pPr>
            <w:r>
              <w:t>仪器使用人员满意度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lang w:eastAsia="zh-CN"/>
        </w:rPr>
        <w:t>洁净煤应急储备</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≥1工作按时完成率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投入产出率</w:t>
            </w:r>
          </w:p>
        </w:tc>
        <w:tc>
          <w:tcPr>
            <w:tcW w:w="2835" w:type="dxa"/>
            <w:vAlign w:val="center"/>
          </w:tcPr>
          <w:p>
            <w:pPr>
              <w:pStyle w:val="16"/>
            </w:pPr>
            <w:r>
              <w:t>投入产出率</w:t>
            </w:r>
          </w:p>
        </w:tc>
        <w:tc>
          <w:tcPr>
            <w:tcW w:w="2551" w:type="dxa"/>
            <w:vAlign w:val="center"/>
          </w:tcPr>
          <w:p>
            <w:pPr>
              <w:pStyle w:val="16"/>
            </w:pPr>
            <w:r>
              <w:t>≥90投入产出率</w:t>
            </w:r>
          </w:p>
        </w:tc>
        <w:tc>
          <w:tcPr>
            <w:tcW w:w="2268" w:type="dxa"/>
            <w:vAlign w:val="center"/>
          </w:tcPr>
          <w:p>
            <w:pPr>
              <w:pStyle w:val="16"/>
            </w:pPr>
            <w:r>
              <w:t>投入产出率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利润完成率</w:t>
            </w:r>
          </w:p>
        </w:tc>
        <w:tc>
          <w:tcPr>
            <w:tcW w:w="2835" w:type="dxa"/>
            <w:vAlign w:val="center"/>
          </w:tcPr>
          <w:p>
            <w:pPr>
              <w:pStyle w:val="16"/>
            </w:pPr>
            <w:r>
              <w:t>利润完成率</w:t>
            </w:r>
          </w:p>
        </w:tc>
        <w:tc>
          <w:tcPr>
            <w:tcW w:w="2551" w:type="dxa"/>
            <w:vAlign w:val="center"/>
          </w:tcPr>
          <w:p>
            <w:pPr>
              <w:pStyle w:val="16"/>
            </w:pPr>
            <w:r>
              <w:t>≥98利润完成率</w:t>
            </w:r>
          </w:p>
        </w:tc>
        <w:tc>
          <w:tcPr>
            <w:tcW w:w="2268" w:type="dxa"/>
            <w:vAlign w:val="center"/>
          </w:tcPr>
          <w:p>
            <w:pPr>
              <w:pStyle w:val="16"/>
            </w:pPr>
            <w:r>
              <w:t>利润完成率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社会满意率</w:t>
            </w:r>
          </w:p>
        </w:tc>
        <w:tc>
          <w:tcPr>
            <w:tcW w:w="2835" w:type="dxa"/>
            <w:vAlign w:val="center"/>
          </w:tcPr>
          <w:p>
            <w:pPr>
              <w:pStyle w:val="16"/>
            </w:pPr>
            <w:r>
              <w:t>社会满意率</w:t>
            </w:r>
          </w:p>
        </w:tc>
        <w:tc>
          <w:tcPr>
            <w:tcW w:w="2551" w:type="dxa"/>
            <w:vAlign w:val="center"/>
          </w:tcPr>
          <w:p>
            <w:pPr>
              <w:pStyle w:val="16"/>
            </w:pPr>
            <w:r>
              <w:t>≥95社会满意率</w:t>
            </w:r>
          </w:p>
        </w:tc>
        <w:tc>
          <w:tcPr>
            <w:tcW w:w="2268" w:type="dxa"/>
            <w:vAlign w:val="center"/>
          </w:tcPr>
          <w:p>
            <w:pPr>
              <w:pStyle w:val="16"/>
            </w:pPr>
            <w:r>
              <w:t>社会满意率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≥85生态影响率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持续发展率</w:t>
            </w:r>
          </w:p>
        </w:tc>
        <w:tc>
          <w:tcPr>
            <w:tcW w:w="2835" w:type="dxa"/>
            <w:vAlign w:val="center"/>
          </w:tcPr>
          <w:p>
            <w:pPr>
              <w:pStyle w:val="16"/>
            </w:pPr>
            <w:r>
              <w:t>持续发展率</w:t>
            </w:r>
          </w:p>
        </w:tc>
        <w:tc>
          <w:tcPr>
            <w:tcW w:w="2551" w:type="dxa"/>
            <w:vAlign w:val="center"/>
          </w:tcPr>
          <w:p>
            <w:pPr>
              <w:pStyle w:val="16"/>
            </w:pPr>
            <w:r>
              <w:t>≥1持续发展率</w:t>
            </w:r>
          </w:p>
        </w:tc>
        <w:tc>
          <w:tcPr>
            <w:tcW w:w="2268" w:type="dxa"/>
            <w:vAlign w:val="center"/>
          </w:tcPr>
          <w:p>
            <w:pPr>
              <w:pStyle w:val="16"/>
            </w:pPr>
            <w:r>
              <w:t>持续发展率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客户满意率</w:t>
            </w:r>
          </w:p>
        </w:tc>
        <w:tc>
          <w:tcPr>
            <w:tcW w:w="2835" w:type="dxa"/>
            <w:vAlign w:val="center"/>
          </w:tcPr>
          <w:p>
            <w:pPr>
              <w:pStyle w:val="16"/>
            </w:pPr>
            <w:r>
              <w:t>客户满意率</w:t>
            </w:r>
          </w:p>
        </w:tc>
        <w:tc>
          <w:tcPr>
            <w:tcW w:w="2551" w:type="dxa"/>
            <w:vAlign w:val="center"/>
          </w:tcPr>
          <w:p>
            <w:pPr>
              <w:pStyle w:val="16"/>
            </w:pPr>
            <w:r>
              <w:t>≥1客户满意率</w:t>
            </w:r>
          </w:p>
        </w:tc>
        <w:tc>
          <w:tcPr>
            <w:tcW w:w="2268" w:type="dxa"/>
            <w:vAlign w:val="center"/>
          </w:tcPr>
          <w:p>
            <w:pPr>
              <w:pStyle w:val="16"/>
            </w:pPr>
            <w:r>
              <w:t>客户满意率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lang w:eastAsia="zh-CN"/>
        </w:rPr>
        <w:t>李怀双抚恤金和丧葬费</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完成及时率</w:t>
            </w:r>
          </w:p>
        </w:tc>
        <w:tc>
          <w:tcPr>
            <w:tcW w:w="2551" w:type="dxa"/>
            <w:vAlign w:val="center"/>
          </w:tcPr>
          <w:p>
            <w:pPr>
              <w:pStyle w:val="16"/>
            </w:pPr>
            <w:r>
              <w:t>100完成及时率</w:t>
            </w:r>
          </w:p>
        </w:tc>
        <w:tc>
          <w:tcPr>
            <w:tcW w:w="2268" w:type="dxa"/>
            <w:vAlign w:val="center"/>
          </w:tcPr>
          <w:p>
            <w:pPr>
              <w:pStyle w:val="16"/>
            </w:pPr>
            <w: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年度服务企业数量</w:t>
            </w:r>
          </w:p>
        </w:tc>
        <w:tc>
          <w:tcPr>
            <w:tcW w:w="2835" w:type="dxa"/>
            <w:vAlign w:val="center"/>
          </w:tcPr>
          <w:p>
            <w:pPr>
              <w:pStyle w:val="16"/>
            </w:pPr>
            <w:r>
              <w:t>年度服务企业数量</w:t>
            </w:r>
          </w:p>
        </w:tc>
        <w:tc>
          <w:tcPr>
            <w:tcW w:w="2551" w:type="dxa"/>
            <w:vAlign w:val="center"/>
          </w:tcPr>
          <w:p>
            <w:pPr>
              <w:pStyle w:val="16"/>
            </w:pPr>
            <w:r>
              <w:t>≥1年度服务企业数量</w:t>
            </w:r>
          </w:p>
        </w:tc>
        <w:tc>
          <w:tcPr>
            <w:tcW w:w="2268" w:type="dxa"/>
            <w:vAlign w:val="center"/>
          </w:tcPr>
          <w:p>
            <w:pPr>
              <w:pStyle w:val="16"/>
            </w:pPr>
            <w:r>
              <w:t>年度服务企业数量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最低</w:t>
            </w:r>
          </w:p>
        </w:tc>
        <w:tc>
          <w:tcPr>
            <w:tcW w:w="2268"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效果持续时间</w:t>
            </w:r>
          </w:p>
        </w:tc>
        <w:tc>
          <w:tcPr>
            <w:tcW w:w="2835" w:type="dxa"/>
            <w:vAlign w:val="center"/>
          </w:tcPr>
          <w:p>
            <w:pPr>
              <w:pStyle w:val="16"/>
            </w:pPr>
            <w:r>
              <w:t>效果持续时间</w:t>
            </w:r>
          </w:p>
        </w:tc>
        <w:tc>
          <w:tcPr>
            <w:tcW w:w="2551" w:type="dxa"/>
            <w:vAlign w:val="center"/>
          </w:tcPr>
          <w:p>
            <w:pPr>
              <w:pStyle w:val="16"/>
            </w:pPr>
            <w:r>
              <w:t>效果持续时间</w:t>
            </w:r>
          </w:p>
        </w:tc>
        <w:tc>
          <w:tcPr>
            <w:tcW w:w="2268" w:type="dxa"/>
            <w:vAlign w:val="center"/>
          </w:tcPr>
          <w:p>
            <w:pPr>
              <w:pStyle w:val="16"/>
            </w:pPr>
            <w:r>
              <w:t>效果持续时间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项目工程完成情况</w:t>
            </w:r>
          </w:p>
        </w:tc>
        <w:tc>
          <w:tcPr>
            <w:tcW w:w="2835" w:type="dxa"/>
            <w:vAlign w:val="center"/>
          </w:tcPr>
          <w:p>
            <w:pPr>
              <w:pStyle w:val="16"/>
            </w:pPr>
            <w:r>
              <w:t>项目完成情况</w:t>
            </w:r>
          </w:p>
        </w:tc>
        <w:tc>
          <w:tcPr>
            <w:tcW w:w="2551" w:type="dxa"/>
            <w:vAlign w:val="center"/>
          </w:tcPr>
          <w:p>
            <w:pPr>
              <w:pStyle w:val="16"/>
            </w:pPr>
            <w:r>
              <w:t>按时完成</w:t>
            </w:r>
          </w:p>
        </w:tc>
        <w:tc>
          <w:tcPr>
            <w:tcW w:w="2268" w:type="dxa"/>
            <w:vAlign w:val="center"/>
          </w:tcPr>
          <w:p>
            <w:pPr>
              <w:pStyle w:val="16"/>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≥80企业满意度</w:t>
            </w:r>
          </w:p>
        </w:tc>
        <w:tc>
          <w:tcPr>
            <w:tcW w:w="2268" w:type="dxa"/>
            <w:vAlign w:val="center"/>
          </w:tcPr>
          <w:p>
            <w:pPr>
              <w:pStyle w:val="16"/>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≥100满意度</w:t>
            </w:r>
          </w:p>
        </w:tc>
        <w:tc>
          <w:tcPr>
            <w:tcW w:w="2268" w:type="dxa"/>
            <w:vAlign w:val="center"/>
          </w:tcPr>
          <w:p>
            <w:pPr>
              <w:pStyle w:val="16"/>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lang w:eastAsia="zh-CN"/>
        </w:rPr>
        <w:t>河北凤来仪酒业有限公司“工业设计平台项目”</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lang w:eastAsia="zh-CN"/>
              </w:rPr>
            </w:pPr>
            <w:r>
              <w:t>1.</w:t>
            </w:r>
            <w:r>
              <w:rPr>
                <w:rFonts w:hint="eastAsia"/>
                <w:lang w:eastAsia="zh-CN"/>
              </w:rPr>
              <w:t>促进新兴产业发展</w:t>
            </w:r>
          </w:p>
          <w:p>
            <w:pPr>
              <w:pStyle w:val="16"/>
              <w:rPr>
                <w:rFonts w:hint="eastAsia"/>
                <w:lang w:eastAsia="zh-CN"/>
              </w:rPr>
            </w:pPr>
            <w:r>
              <w:t>2.</w:t>
            </w:r>
            <w:r>
              <w:rPr>
                <w:rFonts w:hint="eastAsia"/>
                <w:lang w:eastAsia="zh-CN"/>
              </w:rPr>
              <w:t>调整产业结构促进县域经济发展</w:t>
            </w:r>
          </w:p>
          <w:p>
            <w:pPr>
              <w:pStyle w:val="16"/>
              <w:rPr>
                <w:rFonts w:hint="eastAsia"/>
                <w:lang w:eastAsia="zh-CN"/>
              </w:rPr>
            </w:pPr>
            <w:r>
              <w:t>3.</w:t>
            </w:r>
            <w:r>
              <w:rPr>
                <w:rFonts w:hint="eastAsia"/>
                <w:lang w:eastAsia="zh-CN"/>
              </w:rPr>
              <w:t>促进企业发展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rPr>
                <w:rFonts w:hint="eastAsia"/>
                <w:lang w:eastAsia="zh-CN"/>
              </w:rPr>
            </w:pPr>
            <w:r>
              <w:rPr>
                <w:rFonts w:hint="eastAsia"/>
                <w:lang w:eastAsia="zh-CN"/>
              </w:rPr>
              <w:t>年度服务部门数量</w:t>
            </w:r>
          </w:p>
        </w:tc>
        <w:tc>
          <w:tcPr>
            <w:tcW w:w="2835" w:type="dxa"/>
            <w:vAlign w:val="center"/>
          </w:tcPr>
          <w:p>
            <w:pPr>
              <w:pStyle w:val="16"/>
            </w:pPr>
            <w:r>
              <w:rPr>
                <w:rFonts w:hint="eastAsia"/>
                <w:lang w:eastAsia="zh-CN"/>
              </w:rPr>
              <w:t>年度服务部门数量</w:t>
            </w:r>
          </w:p>
        </w:tc>
        <w:tc>
          <w:tcPr>
            <w:tcW w:w="2551" w:type="dxa"/>
            <w:vAlign w:val="center"/>
          </w:tcPr>
          <w:p>
            <w:pPr>
              <w:pStyle w:val="16"/>
              <w:rPr>
                <w:rFonts w:hint="eastAsia"/>
                <w:lang w:eastAsia="zh-CN"/>
              </w:rPr>
            </w:pPr>
            <w:r>
              <w:rPr>
                <w:rFonts w:hint="eastAsia"/>
                <w:lang w:eastAsia="zh-CN"/>
              </w:rPr>
              <w:t>≥1</w:t>
            </w:r>
          </w:p>
        </w:tc>
        <w:tc>
          <w:tcPr>
            <w:tcW w:w="2268" w:type="dxa"/>
            <w:vAlign w:val="center"/>
          </w:tcPr>
          <w:p>
            <w:pPr>
              <w:pStyle w:val="16"/>
            </w:pPr>
            <w:r>
              <w:rPr>
                <w:rFonts w:hint="eastAsia"/>
                <w:lang w:eastAsia="zh-CN"/>
              </w:rP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rPr>
                <w:rFonts w:hint="eastAsia"/>
                <w:lang w:eastAsia="zh-CN"/>
              </w:rPr>
              <w:t>服务有效率</w:t>
            </w:r>
          </w:p>
        </w:tc>
        <w:tc>
          <w:tcPr>
            <w:tcW w:w="2835" w:type="dxa"/>
            <w:vAlign w:val="center"/>
          </w:tcPr>
          <w:p>
            <w:pPr>
              <w:pStyle w:val="16"/>
            </w:pPr>
            <w:r>
              <w:rPr>
                <w:rFonts w:hint="eastAsia"/>
                <w:lang w:eastAsia="zh-CN"/>
              </w:rPr>
              <w:t>服务有效率</w:t>
            </w:r>
          </w:p>
        </w:tc>
        <w:tc>
          <w:tcPr>
            <w:tcW w:w="2551" w:type="dxa"/>
            <w:vAlign w:val="center"/>
          </w:tcPr>
          <w:p>
            <w:pPr>
              <w:pStyle w:val="16"/>
            </w:pPr>
            <w:r>
              <w:t>100%</w:t>
            </w:r>
          </w:p>
        </w:tc>
        <w:tc>
          <w:tcPr>
            <w:tcW w:w="2268" w:type="dxa"/>
            <w:vAlign w:val="center"/>
          </w:tcPr>
          <w:p>
            <w:pPr>
              <w:pStyle w:val="16"/>
            </w:pPr>
            <w:r>
              <w:rPr>
                <w:rFonts w:hint="eastAsia"/>
                <w:lang w:eastAsia="zh-CN"/>
              </w:rPr>
              <w:t>服务有效率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rPr>
                <w:rFonts w:hint="eastAsia"/>
                <w:lang w:eastAsia="zh-CN"/>
              </w:rPr>
            </w:pPr>
            <w:r>
              <w:rPr>
                <w:rFonts w:hint="eastAsia"/>
                <w:lang w:eastAsia="zh-CN"/>
              </w:rPr>
              <w:t>项目完成情况</w:t>
            </w:r>
          </w:p>
        </w:tc>
        <w:tc>
          <w:tcPr>
            <w:tcW w:w="2835" w:type="dxa"/>
            <w:vAlign w:val="center"/>
          </w:tcPr>
          <w:p>
            <w:pPr>
              <w:pStyle w:val="16"/>
              <w:rPr>
                <w:rFonts w:hint="eastAsia"/>
                <w:lang w:eastAsia="zh-CN"/>
              </w:rPr>
            </w:pPr>
            <w:r>
              <w:rPr>
                <w:rFonts w:hint="eastAsia"/>
                <w:lang w:eastAsia="zh-CN"/>
              </w:rPr>
              <w:t>不断优化产业结构</w:t>
            </w:r>
          </w:p>
        </w:tc>
        <w:tc>
          <w:tcPr>
            <w:tcW w:w="2551" w:type="dxa"/>
            <w:vAlign w:val="center"/>
          </w:tcPr>
          <w:p>
            <w:pPr>
              <w:pStyle w:val="16"/>
            </w:pPr>
            <w:r>
              <w:rPr>
                <w:rFonts w:hint="eastAsia"/>
                <w:lang w:eastAsia="zh-CN"/>
              </w:rPr>
              <w:t>不断优化产业结构</w:t>
            </w:r>
          </w:p>
        </w:tc>
        <w:tc>
          <w:tcPr>
            <w:tcW w:w="2268" w:type="dxa"/>
            <w:vAlign w:val="center"/>
          </w:tcPr>
          <w:p>
            <w:pPr>
              <w:pStyle w:val="16"/>
            </w:pPr>
            <w:r>
              <w:rPr>
                <w:rFonts w:hint="eastAsia"/>
                <w:lang w:eastAsia="zh-CN"/>
              </w:rPr>
              <w:t>不断优化产业结构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rPr>
                <w:rFonts w:hint="eastAsia"/>
                <w:lang w:eastAsia="zh-CN"/>
              </w:rPr>
            </w:pPr>
            <w:r>
              <w:rPr>
                <w:rFonts w:hint="eastAsia"/>
                <w:lang w:eastAsia="zh-CN"/>
              </w:rPr>
              <w:t>效果持续时间</w:t>
            </w:r>
          </w:p>
        </w:tc>
        <w:tc>
          <w:tcPr>
            <w:tcW w:w="2551" w:type="dxa"/>
          </w:tcPr>
          <w:p>
            <w:pPr>
              <w:rPr>
                <w:sz w:val="22"/>
              </w:rPr>
            </w:pPr>
            <w:r>
              <w:rPr>
                <w:rFonts w:hint="eastAsia" w:ascii="宋体" w:hAnsi="宋体" w:eastAsia="宋体" w:cs="宋体"/>
                <w:sz w:val="22"/>
                <w:lang w:eastAsia="zh-CN"/>
              </w:rPr>
              <w:t>效果持续时间</w:t>
            </w:r>
          </w:p>
        </w:tc>
        <w:tc>
          <w:tcPr>
            <w:tcW w:w="2268" w:type="dxa"/>
          </w:tcPr>
          <w:p>
            <w:pPr>
              <w:rPr>
                <w:sz w:val="22"/>
              </w:rPr>
            </w:pPr>
            <w:r>
              <w:rPr>
                <w:rFonts w:hint="eastAsia" w:ascii="宋体" w:hAnsi="宋体" w:eastAsia="宋体" w:cs="宋体"/>
                <w:sz w:val="22"/>
                <w:lang w:eastAsia="zh-CN"/>
              </w:rPr>
              <w:t>效果持续时间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≥98%</w:t>
            </w:r>
          </w:p>
        </w:tc>
        <w:tc>
          <w:tcPr>
            <w:tcW w:w="2268" w:type="dxa"/>
            <w:vAlign w:val="center"/>
          </w:tcPr>
          <w:p>
            <w:pPr>
              <w:pStyle w:val="16"/>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lang w:eastAsia="zh-CN"/>
        </w:rPr>
        <w:t>价格监测、成本、认定</w:t>
      </w:r>
      <w:r>
        <w:rPr>
          <w:rFonts w:ascii="方正仿宋_GBK" w:hAnsi="方正仿宋_GBK" w:eastAsia="方正仿宋_GBK" w:cs="方正仿宋_GBK"/>
          <w:b/>
          <w:color w:val="000000"/>
          <w:sz w:val="28"/>
        </w:rPr>
        <w:t>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≥1工作按时完成率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≥90政策建议采纳率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≥80企业满意度</w:t>
            </w:r>
          </w:p>
        </w:tc>
        <w:tc>
          <w:tcPr>
            <w:tcW w:w="2268" w:type="dxa"/>
            <w:vAlign w:val="center"/>
          </w:tcPr>
          <w:p>
            <w:pPr>
              <w:pStyle w:val="16"/>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≥85办理单位满意度</w:t>
            </w:r>
          </w:p>
        </w:tc>
        <w:tc>
          <w:tcPr>
            <w:tcW w:w="2268" w:type="dxa"/>
            <w:vAlign w:val="center"/>
          </w:tcPr>
          <w:p>
            <w:pPr>
              <w:pStyle w:val="16"/>
            </w:pPr>
            <w:r>
              <w:t>办理单位满意度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≥80客户满意度</w:t>
            </w:r>
          </w:p>
        </w:tc>
        <w:tc>
          <w:tcPr>
            <w:tcW w:w="2268" w:type="dxa"/>
            <w:vAlign w:val="center"/>
          </w:tcPr>
          <w:p>
            <w:pPr>
              <w:pStyle w:val="16"/>
            </w:pPr>
            <w:r>
              <w:t>客户满意度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w:t>
      </w:r>
      <w:r>
        <w:rPr>
          <w:rFonts w:hint="eastAsia" w:ascii="方正仿宋_GBK" w:hAnsi="方正仿宋_GBK" w:eastAsia="方正仿宋_GBK" w:cs="方正仿宋_GBK"/>
          <w:b/>
          <w:color w:val="000000"/>
          <w:sz w:val="28"/>
          <w:lang w:eastAsia="zh-CN"/>
        </w:rPr>
        <w:t>代扣合同制工人</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≥1工作按时完成率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≥0.85客户满意度</w:t>
            </w:r>
          </w:p>
        </w:tc>
        <w:tc>
          <w:tcPr>
            <w:tcW w:w="2268" w:type="dxa"/>
            <w:vAlign w:val="center"/>
          </w:tcPr>
          <w:p>
            <w:pPr>
              <w:pStyle w:val="16"/>
            </w:pPr>
            <w:r>
              <w:t>客户满意度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≥0.85办理单位满意度</w:t>
            </w:r>
          </w:p>
        </w:tc>
        <w:tc>
          <w:tcPr>
            <w:tcW w:w="2268" w:type="dxa"/>
            <w:vAlign w:val="center"/>
          </w:tcPr>
          <w:p>
            <w:pPr>
              <w:pStyle w:val="16"/>
            </w:pPr>
            <w:r>
              <w:t>办理单位满意度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≥0.9企业满意度</w:t>
            </w:r>
          </w:p>
        </w:tc>
        <w:tc>
          <w:tcPr>
            <w:tcW w:w="2268" w:type="dxa"/>
            <w:vAlign w:val="center"/>
          </w:tcPr>
          <w:p>
            <w:pPr>
              <w:pStyle w:val="16"/>
            </w:pPr>
            <w:r>
              <w:t>企业满意度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w:t>
      </w:r>
      <w:r>
        <w:rPr>
          <w:rFonts w:hint="eastAsia" w:ascii="方正仿宋_GBK" w:hAnsi="方正仿宋_GBK" w:eastAsia="方正仿宋_GBK" w:cs="方正仿宋_GBK"/>
          <w:b/>
          <w:color w:val="000000"/>
          <w:sz w:val="28"/>
          <w:lang w:eastAsia="zh-CN"/>
        </w:rPr>
        <w:t>涉军安置人员工资福利</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lang w:eastAsia="zh-CN"/>
              </w:rPr>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≥95工作按时完成率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≥98质量合格率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≥96政策建议采纳率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投入产出率</w:t>
            </w:r>
          </w:p>
        </w:tc>
        <w:tc>
          <w:tcPr>
            <w:tcW w:w="2835" w:type="dxa"/>
            <w:vAlign w:val="center"/>
          </w:tcPr>
          <w:p>
            <w:pPr>
              <w:pStyle w:val="16"/>
            </w:pPr>
            <w:r>
              <w:t>投入产出率</w:t>
            </w:r>
          </w:p>
        </w:tc>
        <w:tc>
          <w:tcPr>
            <w:tcW w:w="2551" w:type="dxa"/>
            <w:vAlign w:val="center"/>
          </w:tcPr>
          <w:p>
            <w:pPr>
              <w:pStyle w:val="16"/>
            </w:pPr>
            <w:r>
              <w:t>≥94投入产出率</w:t>
            </w:r>
          </w:p>
        </w:tc>
        <w:tc>
          <w:tcPr>
            <w:tcW w:w="2268" w:type="dxa"/>
            <w:vAlign w:val="center"/>
          </w:tcPr>
          <w:p>
            <w:pPr>
              <w:pStyle w:val="16"/>
            </w:pPr>
            <w:r>
              <w:t>投入产出率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利润完成率</w:t>
            </w:r>
          </w:p>
        </w:tc>
        <w:tc>
          <w:tcPr>
            <w:tcW w:w="2835" w:type="dxa"/>
            <w:vAlign w:val="center"/>
          </w:tcPr>
          <w:p>
            <w:pPr>
              <w:pStyle w:val="16"/>
            </w:pPr>
            <w:r>
              <w:t>利润完成率</w:t>
            </w:r>
          </w:p>
        </w:tc>
        <w:tc>
          <w:tcPr>
            <w:tcW w:w="2551" w:type="dxa"/>
            <w:vAlign w:val="center"/>
          </w:tcPr>
          <w:p>
            <w:pPr>
              <w:pStyle w:val="16"/>
            </w:pPr>
            <w:r>
              <w:t>≥93利润完成率</w:t>
            </w:r>
          </w:p>
        </w:tc>
        <w:tc>
          <w:tcPr>
            <w:tcW w:w="2268" w:type="dxa"/>
            <w:vAlign w:val="center"/>
          </w:tcPr>
          <w:p>
            <w:pPr>
              <w:pStyle w:val="16"/>
            </w:pPr>
            <w:r>
              <w:t>利润完成率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社会支持率</w:t>
            </w:r>
          </w:p>
        </w:tc>
        <w:tc>
          <w:tcPr>
            <w:tcW w:w="2835" w:type="dxa"/>
            <w:vAlign w:val="center"/>
          </w:tcPr>
          <w:p>
            <w:pPr>
              <w:pStyle w:val="16"/>
            </w:pPr>
            <w:r>
              <w:t>社会支持率</w:t>
            </w:r>
          </w:p>
        </w:tc>
        <w:tc>
          <w:tcPr>
            <w:tcW w:w="2551" w:type="dxa"/>
            <w:vAlign w:val="center"/>
          </w:tcPr>
          <w:p>
            <w:pPr>
              <w:pStyle w:val="16"/>
            </w:pPr>
            <w:r>
              <w:t>≥90社会支持率</w:t>
            </w:r>
          </w:p>
        </w:tc>
        <w:tc>
          <w:tcPr>
            <w:tcW w:w="2268" w:type="dxa"/>
            <w:vAlign w:val="center"/>
          </w:tcPr>
          <w:p>
            <w:pPr>
              <w:pStyle w:val="16"/>
            </w:pPr>
            <w:r>
              <w:t>社会支持率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≥88生态影响率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持续发展率</w:t>
            </w:r>
          </w:p>
        </w:tc>
        <w:tc>
          <w:tcPr>
            <w:tcW w:w="2835" w:type="dxa"/>
            <w:vAlign w:val="center"/>
          </w:tcPr>
          <w:p>
            <w:pPr>
              <w:pStyle w:val="16"/>
            </w:pPr>
            <w:r>
              <w:t>持续发展率</w:t>
            </w:r>
          </w:p>
        </w:tc>
        <w:tc>
          <w:tcPr>
            <w:tcW w:w="2551" w:type="dxa"/>
            <w:vAlign w:val="center"/>
          </w:tcPr>
          <w:p>
            <w:pPr>
              <w:pStyle w:val="16"/>
            </w:pPr>
            <w:r>
              <w:t>≥89持续发展率</w:t>
            </w:r>
          </w:p>
        </w:tc>
        <w:tc>
          <w:tcPr>
            <w:tcW w:w="2268" w:type="dxa"/>
            <w:vAlign w:val="center"/>
          </w:tcPr>
          <w:p>
            <w:pPr>
              <w:pStyle w:val="16"/>
            </w:pPr>
            <w:r>
              <w:t>持续发展率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客户满意率</w:t>
            </w:r>
          </w:p>
        </w:tc>
        <w:tc>
          <w:tcPr>
            <w:tcW w:w="2835" w:type="dxa"/>
            <w:vAlign w:val="center"/>
          </w:tcPr>
          <w:p>
            <w:pPr>
              <w:pStyle w:val="16"/>
            </w:pPr>
            <w:r>
              <w:t>客户满意率</w:t>
            </w:r>
          </w:p>
        </w:tc>
        <w:tc>
          <w:tcPr>
            <w:tcW w:w="2551" w:type="dxa"/>
            <w:vAlign w:val="center"/>
          </w:tcPr>
          <w:p>
            <w:pPr>
              <w:pStyle w:val="16"/>
            </w:pPr>
            <w:r>
              <w:t>≥85客户满意率</w:t>
            </w:r>
          </w:p>
        </w:tc>
        <w:tc>
          <w:tcPr>
            <w:tcW w:w="2268" w:type="dxa"/>
            <w:vAlign w:val="center"/>
          </w:tcPr>
          <w:p>
            <w:pPr>
              <w:pStyle w:val="16"/>
            </w:pPr>
            <w:r>
              <w:t>客户满意率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w:t>
      </w:r>
      <w:r>
        <w:rPr>
          <w:rFonts w:hint="eastAsia" w:ascii="方正仿宋_GBK" w:hAnsi="方正仿宋_GBK" w:eastAsia="方正仿宋_GBK" w:cs="方正仿宋_GBK"/>
          <w:b/>
          <w:color w:val="000000"/>
          <w:sz w:val="28"/>
          <w:lang w:eastAsia="zh-CN"/>
        </w:rPr>
        <w:t>原二轻人员石永言抚恤金及丧葬</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≥1工作按时完成率</w:t>
            </w:r>
          </w:p>
        </w:tc>
        <w:tc>
          <w:tcPr>
            <w:tcW w:w="2268" w:type="dxa"/>
            <w:vAlign w:val="center"/>
          </w:tcPr>
          <w:p>
            <w:pPr>
              <w:pStyle w:val="16"/>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企业满意率</w:t>
            </w:r>
          </w:p>
        </w:tc>
        <w:tc>
          <w:tcPr>
            <w:tcW w:w="2835" w:type="dxa"/>
            <w:vAlign w:val="center"/>
          </w:tcPr>
          <w:p>
            <w:pPr>
              <w:pStyle w:val="16"/>
            </w:pPr>
            <w:r>
              <w:t>企业满意率</w:t>
            </w:r>
          </w:p>
        </w:tc>
        <w:tc>
          <w:tcPr>
            <w:tcW w:w="2551" w:type="dxa"/>
            <w:vAlign w:val="center"/>
          </w:tcPr>
          <w:p>
            <w:pPr>
              <w:pStyle w:val="16"/>
            </w:pPr>
            <w:r>
              <w:t>≥1企业满意率</w:t>
            </w:r>
          </w:p>
        </w:tc>
        <w:tc>
          <w:tcPr>
            <w:tcW w:w="2268" w:type="dxa"/>
            <w:vAlign w:val="center"/>
          </w:tcPr>
          <w:p>
            <w:pPr>
              <w:pStyle w:val="16"/>
            </w:pPr>
            <w:r>
              <w:t>企业满意率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≥80生态影响</w:t>
            </w:r>
          </w:p>
        </w:tc>
        <w:tc>
          <w:tcPr>
            <w:tcW w:w="2268"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企事业满意率</w:t>
            </w:r>
          </w:p>
        </w:tc>
        <w:tc>
          <w:tcPr>
            <w:tcW w:w="2835" w:type="dxa"/>
            <w:vAlign w:val="center"/>
          </w:tcPr>
          <w:p>
            <w:pPr>
              <w:pStyle w:val="16"/>
            </w:pPr>
            <w:r>
              <w:t>企事业满意率</w:t>
            </w:r>
          </w:p>
        </w:tc>
        <w:tc>
          <w:tcPr>
            <w:tcW w:w="2551" w:type="dxa"/>
            <w:vAlign w:val="center"/>
          </w:tcPr>
          <w:p>
            <w:pPr>
              <w:pStyle w:val="16"/>
            </w:pPr>
            <w:r>
              <w:t>≥90企事业满意率</w:t>
            </w:r>
          </w:p>
        </w:tc>
        <w:tc>
          <w:tcPr>
            <w:tcW w:w="2268" w:type="dxa"/>
            <w:vAlign w:val="center"/>
          </w:tcPr>
          <w:p>
            <w:pPr>
              <w:pStyle w:val="16"/>
            </w:pPr>
            <w:r>
              <w:t>企事业满意率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办公单位满意率</w:t>
            </w:r>
          </w:p>
        </w:tc>
        <w:tc>
          <w:tcPr>
            <w:tcW w:w="2835" w:type="dxa"/>
            <w:vAlign w:val="center"/>
          </w:tcPr>
          <w:p>
            <w:pPr>
              <w:pStyle w:val="16"/>
            </w:pPr>
            <w:r>
              <w:t>办公单位满意率</w:t>
            </w:r>
          </w:p>
        </w:tc>
        <w:tc>
          <w:tcPr>
            <w:tcW w:w="2551" w:type="dxa"/>
            <w:vAlign w:val="center"/>
          </w:tcPr>
          <w:p>
            <w:pPr>
              <w:pStyle w:val="16"/>
            </w:pPr>
            <w:r>
              <w:t>≥80办公单位满意率</w:t>
            </w:r>
          </w:p>
        </w:tc>
        <w:tc>
          <w:tcPr>
            <w:tcW w:w="2268" w:type="dxa"/>
            <w:vAlign w:val="center"/>
          </w:tcPr>
          <w:p>
            <w:pPr>
              <w:pStyle w:val="16"/>
            </w:pPr>
            <w:r>
              <w:t>办公单位满意率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客户满意率</w:t>
            </w:r>
          </w:p>
        </w:tc>
        <w:tc>
          <w:tcPr>
            <w:tcW w:w="2835" w:type="dxa"/>
            <w:vAlign w:val="center"/>
          </w:tcPr>
          <w:p>
            <w:pPr>
              <w:pStyle w:val="16"/>
            </w:pPr>
            <w:r>
              <w:t>客户满意率</w:t>
            </w:r>
          </w:p>
        </w:tc>
        <w:tc>
          <w:tcPr>
            <w:tcW w:w="2551" w:type="dxa"/>
            <w:vAlign w:val="center"/>
          </w:tcPr>
          <w:p>
            <w:pPr>
              <w:pStyle w:val="16"/>
            </w:pPr>
            <w:r>
              <w:t>≥80客户满意率</w:t>
            </w:r>
          </w:p>
        </w:tc>
        <w:tc>
          <w:tcPr>
            <w:tcW w:w="2268" w:type="dxa"/>
            <w:vAlign w:val="center"/>
          </w:tcPr>
          <w:p>
            <w:pPr>
              <w:pStyle w:val="16"/>
            </w:pPr>
            <w:r>
              <w:t>客户满意率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lang w:eastAsia="zh-CN"/>
        </w:rPr>
        <w:t>《宁晋县战略性新兴产业发展“十四五”规划》编制经费</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lang w:eastAsia="zh-CN"/>
              </w:rPr>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≥0.9政策建议采纳率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≥0.8企业满意度</w:t>
            </w:r>
          </w:p>
        </w:tc>
        <w:tc>
          <w:tcPr>
            <w:tcW w:w="2268" w:type="dxa"/>
            <w:vAlign w:val="center"/>
          </w:tcPr>
          <w:p>
            <w:pPr>
              <w:pStyle w:val="16"/>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≥0.8办理单位满意度</w:t>
            </w:r>
          </w:p>
        </w:tc>
        <w:tc>
          <w:tcPr>
            <w:tcW w:w="2268" w:type="dxa"/>
            <w:vAlign w:val="center"/>
          </w:tcPr>
          <w:p>
            <w:pPr>
              <w:pStyle w:val="16"/>
            </w:pPr>
            <w:r>
              <w:t>办理单位满意度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≥0.85客户满意度</w:t>
            </w:r>
          </w:p>
        </w:tc>
        <w:tc>
          <w:tcPr>
            <w:tcW w:w="2268" w:type="dxa"/>
            <w:vAlign w:val="center"/>
          </w:tcPr>
          <w:p>
            <w:pPr>
              <w:pStyle w:val="16"/>
            </w:pPr>
            <w:r>
              <w:t>客户满意度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lang w:eastAsia="zh-CN"/>
        </w:rPr>
        <w:t>《宁晋县智慧城市发展总体规划》编制经</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20</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粮食执法监管经</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21</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原物价局遗留债务</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22</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双创双服办公室办公经</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23</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《宁晋县保障和改善公共服务“十四五”规划》编制经</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6"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24</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2020年度目标绩效奖</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25</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优质粮食工程补助资金（喜和圣玉锋）（以前年度）</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26</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《宁晋县发展循环经济“十四五”规划》编制经</w:t>
      </w:r>
      <w:r>
        <w:rPr>
          <w:rFonts w:ascii="方正仿宋_GBK" w:hAnsi="方正仿宋_GBK" w:eastAsia="方正仿宋_GBK" w:cs="方正仿宋_GBK"/>
          <w:b/>
          <w:color w:val="000000"/>
          <w:sz w:val="28"/>
        </w:rPr>
        <w:t>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27</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2020年度精神文明奖及平安建设奖</w:t>
      </w: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≥1工作完成率</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≥1实际完成率</w:t>
            </w:r>
          </w:p>
        </w:tc>
        <w:tc>
          <w:tcPr>
            <w:tcW w:w="2268" w:type="dxa"/>
            <w:vAlign w:val="center"/>
          </w:tcPr>
          <w:p>
            <w:pPr>
              <w:pStyle w:val="16"/>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质量合格率</w:t>
            </w:r>
          </w:p>
        </w:tc>
        <w:tc>
          <w:tcPr>
            <w:tcW w:w="2835" w:type="dxa"/>
            <w:vAlign w:val="center"/>
          </w:tcPr>
          <w:p>
            <w:pPr>
              <w:pStyle w:val="16"/>
            </w:pPr>
            <w:r>
              <w:t>质量合格率</w:t>
            </w:r>
          </w:p>
        </w:tc>
        <w:tc>
          <w:tcPr>
            <w:tcW w:w="2551" w:type="dxa"/>
            <w:vAlign w:val="center"/>
          </w:tcPr>
          <w:p>
            <w:pPr>
              <w:pStyle w:val="16"/>
            </w:pPr>
            <w:r>
              <w:t>≥1质量合格率</w:t>
            </w:r>
          </w:p>
        </w:tc>
        <w:tc>
          <w:tcPr>
            <w:tcW w:w="2268" w:type="dxa"/>
            <w:vAlign w:val="center"/>
          </w:tcPr>
          <w:p>
            <w:pPr>
              <w:pStyle w:val="16"/>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≥1政策建议采纳率</w:t>
            </w:r>
          </w:p>
        </w:tc>
        <w:tc>
          <w:tcPr>
            <w:tcW w:w="2268" w:type="dxa"/>
            <w:vAlign w:val="center"/>
          </w:tcPr>
          <w:p>
            <w:pPr>
              <w:pStyle w:val="16"/>
            </w:pPr>
            <w:r>
              <w:t>政策建议采纳率</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生态影响率</w:t>
            </w:r>
          </w:p>
        </w:tc>
        <w:tc>
          <w:tcPr>
            <w:tcW w:w="2835" w:type="dxa"/>
            <w:vAlign w:val="center"/>
          </w:tcPr>
          <w:p>
            <w:pPr>
              <w:pStyle w:val="16"/>
            </w:pPr>
            <w:r>
              <w:t>生态影响率</w:t>
            </w:r>
          </w:p>
        </w:tc>
        <w:tc>
          <w:tcPr>
            <w:tcW w:w="2551" w:type="dxa"/>
            <w:vAlign w:val="center"/>
          </w:tcPr>
          <w:p>
            <w:pPr>
              <w:pStyle w:val="16"/>
            </w:pPr>
            <w:r>
              <w:t>≥1生态影响率</w:t>
            </w:r>
          </w:p>
        </w:tc>
        <w:tc>
          <w:tcPr>
            <w:tcW w:w="2268" w:type="dxa"/>
            <w:vAlign w:val="center"/>
          </w:tcPr>
          <w:p>
            <w:pPr>
              <w:pStyle w:val="16"/>
            </w:pPr>
            <w:r>
              <w:t>生态影响率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政策建议采纳率</w:t>
            </w:r>
          </w:p>
        </w:tc>
        <w:tc>
          <w:tcPr>
            <w:tcW w:w="2835" w:type="dxa"/>
            <w:vAlign w:val="center"/>
          </w:tcPr>
          <w:p>
            <w:pPr>
              <w:pStyle w:val="16"/>
            </w:pPr>
            <w:r>
              <w:t>政策建议采纳率</w:t>
            </w:r>
          </w:p>
        </w:tc>
        <w:tc>
          <w:tcPr>
            <w:tcW w:w="2551" w:type="dxa"/>
            <w:vAlign w:val="center"/>
          </w:tcPr>
          <w:p>
            <w:pPr>
              <w:pStyle w:val="16"/>
            </w:pPr>
            <w:r>
              <w:t>≥0.8政策建议采纳率</w:t>
            </w:r>
          </w:p>
        </w:tc>
        <w:tc>
          <w:tcPr>
            <w:tcW w:w="2268" w:type="dxa"/>
            <w:vAlign w:val="center"/>
          </w:tcPr>
          <w:p>
            <w:pPr>
              <w:pStyle w:val="16"/>
            </w:pPr>
            <w:r>
              <w:t>政策建议采纳率</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2022年，宁晋县发展和改革局本级安排政府采购预算0.00万元。具体内容见下表。</w:t>
      </w: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303001宁晋县发展和改革局本级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宁晋县发展和改革局本级上年末固定资产金额为</w:t>
      </w:r>
      <w:r>
        <w:rPr>
          <w:rFonts w:hint="eastAsia" w:eastAsia="方正仿宋_GBK" w:cs="Times New Roman"/>
          <w:color w:val="000000"/>
          <w:sz w:val="28"/>
          <w:lang w:eastAsia="zh-CN"/>
        </w:rPr>
        <w:t>136.1415</w:t>
      </w:r>
      <w:r>
        <w:rPr>
          <w:rFonts w:eastAsia="方正仿宋_GBK" w:cs="Times New Roman"/>
          <w:color w:val="000000"/>
          <w:sz w:val="28"/>
        </w:rPr>
        <w:t>万元（详见下表）。本年度拟购置固定资产总额为0.00万元，已按要求列入政府采购预算，详见政府采购预算表。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rPr>
                <w:lang w:eastAsia="zh-CN"/>
              </w:rPr>
            </w:pPr>
            <w:r>
              <w:t>303</w:t>
            </w:r>
            <w:r>
              <w:rPr>
                <w:rFonts w:hint="eastAsia"/>
                <w:lang w:eastAsia="zh-CN"/>
              </w:rPr>
              <w:t>001</w:t>
            </w:r>
            <w:r>
              <w:t>宁晋县发展和改革局</w:t>
            </w:r>
            <w:r>
              <w:rPr>
                <w:rFonts w:hint="eastAsia"/>
                <w:lang w:eastAsia="zh-CN"/>
              </w:rPr>
              <w:t>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tabs>
                <w:tab w:val="left" w:pos="1840"/>
              </w:tabs>
              <w:rPr>
                <w:lang w:eastAsia="zh-CN"/>
              </w:rPr>
            </w:pPr>
            <w:r>
              <w:rPr>
                <w:rFonts w:hint="eastAsia"/>
                <w:lang w:eastAsia="zh-CN"/>
              </w:rPr>
              <w:t>资产总额</w:t>
            </w:r>
          </w:p>
        </w:tc>
        <w:tc>
          <w:tcPr>
            <w:tcW w:w="4933" w:type="dxa"/>
            <w:vAlign w:val="center"/>
          </w:tcPr>
          <w:p>
            <w:pPr>
              <w:pStyle w:val="17"/>
            </w:pPr>
          </w:p>
        </w:tc>
        <w:tc>
          <w:tcPr>
            <w:tcW w:w="4933" w:type="dxa"/>
            <w:vAlign w:val="center"/>
          </w:tcPr>
          <w:p>
            <w:pPr>
              <w:pStyle w:val="15"/>
              <w:rPr>
                <w:lang w:eastAsia="zh-CN"/>
              </w:rPr>
            </w:pPr>
            <w:r>
              <w:rPr>
                <w:rFonts w:hint="eastAsia"/>
                <w:lang w:eastAsia="zh-CN"/>
              </w:rPr>
              <w:t>136.1415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rPr>
                <w:lang w:eastAsia="zh-CN"/>
              </w:rPr>
            </w:pPr>
            <w:r>
              <w:rPr>
                <w:rFonts w:hint="eastAsia"/>
                <w:lang w:eastAsia="zh-CN"/>
              </w:rPr>
              <w:t>500</w:t>
            </w:r>
          </w:p>
        </w:tc>
        <w:tc>
          <w:tcPr>
            <w:tcW w:w="4933" w:type="dxa"/>
            <w:vAlign w:val="center"/>
          </w:tcPr>
          <w:p>
            <w:pPr>
              <w:pStyle w:val="15"/>
              <w:rPr>
                <w:lang w:eastAsia="zh-CN"/>
              </w:rPr>
            </w:pPr>
            <w:r>
              <w:rPr>
                <w:rFonts w:hint="eastAsia"/>
                <w:lang w:eastAsia="zh-CN"/>
              </w:rPr>
              <w:t>87.48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rPr>
                <w:lang w:eastAsia="zh-CN"/>
              </w:rPr>
            </w:pPr>
            <w:r>
              <w:rPr>
                <w:rFonts w:hint="eastAsia"/>
                <w:lang w:eastAsia="zh-CN"/>
              </w:rPr>
              <w:t>2、汽车</w:t>
            </w:r>
          </w:p>
        </w:tc>
        <w:tc>
          <w:tcPr>
            <w:tcW w:w="4933" w:type="dxa"/>
            <w:vAlign w:val="center"/>
          </w:tcPr>
          <w:p>
            <w:pPr>
              <w:pStyle w:val="17"/>
              <w:rPr>
                <w:lang w:eastAsia="zh-CN"/>
              </w:rPr>
            </w:pPr>
            <w:r>
              <w:rPr>
                <w:rFonts w:hint="eastAsia"/>
                <w:lang w:eastAsia="zh-CN"/>
              </w:rPr>
              <w:t>2</w:t>
            </w:r>
          </w:p>
        </w:tc>
        <w:tc>
          <w:tcPr>
            <w:tcW w:w="4933" w:type="dxa"/>
            <w:vAlign w:val="center"/>
          </w:tcPr>
          <w:p>
            <w:pPr>
              <w:pStyle w:val="15"/>
              <w:rPr>
                <w:lang w:eastAsia="zh-CN"/>
              </w:rPr>
            </w:pPr>
            <w:r>
              <w:rPr>
                <w:rFonts w:hint="eastAsia"/>
                <w:lang w:eastAsia="zh-CN"/>
              </w:rPr>
              <w:t>29.10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rPr>
                <w:lang w:eastAsia="zh-CN"/>
              </w:rPr>
            </w:pPr>
            <w:r>
              <w:rPr>
                <w:rFonts w:hint="eastAsia"/>
                <w:lang w:eastAsia="zh-CN"/>
              </w:rPr>
              <w:t>3、其他资产</w:t>
            </w:r>
          </w:p>
        </w:tc>
        <w:tc>
          <w:tcPr>
            <w:tcW w:w="4933" w:type="dxa"/>
            <w:vAlign w:val="center"/>
          </w:tcPr>
          <w:p>
            <w:pPr>
              <w:pStyle w:val="17"/>
              <w:rPr>
                <w:lang w:eastAsia="zh-CN"/>
              </w:rPr>
            </w:pPr>
          </w:p>
        </w:tc>
        <w:tc>
          <w:tcPr>
            <w:tcW w:w="4933" w:type="dxa"/>
            <w:vAlign w:val="center"/>
          </w:tcPr>
          <w:p>
            <w:pPr>
              <w:pStyle w:val="15"/>
              <w:rPr>
                <w:lang w:eastAsia="zh-CN"/>
              </w:rPr>
            </w:pPr>
            <w:r>
              <w:rPr>
                <w:rFonts w:hint="eastAsia"/>
                <w:lang w:eastAsia="zh-CN"/>
              </w:rPr>
              <w:t>19.5615</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9396E09-E015-4EF6-A74E-42794249842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2" w:fontKey="{69279AF8-35AE-4EA0-998E-B93C9FBF2594}"/>
  </w:font>
  <w:font w:name="方正仿宋_GBK">
    <w:altName w:val="微软雅黑"/>
    <w:panose1 w:val="00000000000000000000"/>
    <w:charset w:val="00"/>
    <w:family w:val="auto"/>
    <w:pitch w:val="default"/>
    <w:sig w:usb0="00000000" w:usb1="00000000" w:usb2="00000000" w:usb3="00000000" w:csb0="00000000" w:csb1="00000000"/>
    <w:embedRegular r:id="rId3" w:fontKey="{56A77935-58DB-4EE6-89CB-885D9541AF70}"/>
  </w:font>
  <w:font w:name="方正小标宋_GBK">
    <w:panose1 w:val="02000000000000000000"/>
    <w:charset w:val="86"/>
    <w:family w:val="auto"/>
    <w:pitch w:val="default"/>
    <w:sig w:usb0="A00002BF" w:usb1="38CF7CFA" w:usb2="00082016" w:usb3="00000000" w:csb0="00040001" w:csb1="00000000"/>
    <w:embedRegular r:id="rId4" w:fontKey="{4EA2A2FF-F47F-4288-8967-4430952750C1}"/>
  </w:font>
  <w:font w:name="方正书宋_GBK">
    <w:altName w:val="微软雅黑"/>
    <w:panose1 w:val="00000000000000000000"/>
    <w:charset w:val="00"/>
    <w:family w:val="auto"/>
    <w:pitch w:val="default"/>
    <w:sig w:usb0="00000000" w:usb1="00000000" w:usb2="00000000" w:usb3="00000000" w:csb0="00000000" w:csb1="00000000"/>
    <w:embedRegular r:id="rId5" w:fontKey="{78F8DE67-F2AB-4861-A5B5-C088F1421940}"/>
  </w:font>
  <w:font w:name="方正楷体_GBK">
    <w:altName w:val="微软雅黑"/>
    <w:panose1 w:val="00000000000000000000"/>
    <w:charset w:val="00"/>
    <w:family w:val="auto"/>
    <w:pitch w:val="default"/>
    <w:sig w:usb0="00000000" w:usb1="00000000" w:usb2="00000000" w:usb3="00000000" w:csb0="00000000" w:csb1="00000000"/>
    <w:embedRegular r:id="rId6" w:fontKey="{C3965037-641B-493D-83F2-9BE2D652C1D1}"/>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E54EB8"/>
    <w:multiLevelType w:val="singleLevel"/>
    <w:tmpl w:val="0AE54EB8"/>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doNotTrackMoves/>
  <w:documentProtection w:enforcement="0"/>
  <w:defaultTabStop w:val="720"/>
  <w:evenAndOddHeaders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jlkNTZjZGNiOTBiMzA4YjY4ZGNjMzMwZGFhYWVlZmYifQ=="/>
  </w:docVars>
  <w:rsids>
    <w:rsidRoot w:val="00011B11"/>
    <w:rsid w:val="00011B11"/>
    <w:rsid w:val="000326C7"/>
    <w:rsid w:val="007D2F6A"/>
    <w:rsid w:val="00B34A51"/>
    <w:rsid w:val="00D022F7"/>
    <w:rsid w:val="00D82413"/>
    <w:rsid w:val="00E14A24"/>
    <w:rsid w:val="00FE7D3F"/>
    <w:rsid w:val="01B630A7"/>
    <w:rsid w:val="01BB3CD7"/>
    <w:rsid w:val="04245B63"/>
    <w:rsid w:val="078C69FB"/>
    <w:rsid w:val="07931B9B"/>
    <w:rsid w:val="07D01B5E"/>
    <w:rsid w:val="07E03E54"/>
    <w:rsid w:val="09312FD0"/>
    <w:rsid w:val="0BBA0474"/>
    <w:rsid w:val="0C803B53"/>
    <w:rsid w:val="0D020A0B"/>
    <w:rsid w:val="0E731926"/>
    <w:rsid w:val="0F615EBD"/>
    <w:rsid w:val="137C0BAD"/>
    <w:rsid w:val="17481711"/>
    <w:rsid w:val="1C950FAD"/>
    <w:rsid w:val="1F4B6242"/>
    <w:rsid w:val="213A47C0"/>
    <w:rsid w:val="26ED0285"/>
    <w:rsid w:val="2A9D36CA"/>
    <w:rsid w:val="2AAF304C"/>
    <w:rsid w:val="2B7A52ED"/>
    <w:rsid w:val="2BCF1CCA"/>
    <w:rsid w:val="2D524C40"/>
    <w:rsid w:val="2DB63420"/>
    <w:rsid w:val="34251091"/>
    <w:rsid w:val="390C1960"/>
    <w:rsid w:val="39D82D12"/>
    <w:rsid w:val="3BD3519D"/>
    <w:rsid w:val="3F474BD1"/>
    <w:rsid w:val="405F15CE"/>
    <w:rsid w:val="4205007B"/>
    <w:rsid w:val="476C285C"/>
    <w:rsid w:val="47936A47"/>
    <w:rsid w:val="48C1228F"/>
    <w:rsid w:val="497A6611"/>
    <w:rsid w:val="4D720832"/>
    <w:rsid w:val="5305587F"/>
    <w:rsid w:val="53AD3B68"/>
    <w:rsid w:val="53E9582A"/>
    <w:rsid w:val="54063F0A"/>
    <w:rsid w:val="547370C6"/>
    <w:rsid w:val="54BC281B"/>
    <w:rsid w:val="57F9337C"/>
    <w:rsid w:val="583D1901"/>
    <w:rsid w:val="594949E2"/>
    <w:rsid w:val="5A785436"/>
    <w:rsid w:val="5C2D056E"/>
    <w:rsid w:val="5E323B5B"/>
    <w:rsid w:val="5FC96F8C"/>
    <w:rsid w:val="6115578D"/>
    <w:rsid w:val="61F93300"/>
    <w:rsid w:val="62815C29"/>
    <w:rsid w:val="629D44A9"/>
    <w:rsid w:val="65677649"/>
    <w:rsid w:val="6F281A7B"/>
    <w:rsid w:val="71804EA5"/>
    <w:rsid w:val="71A31C23"/>
    <w:rsid w:val="722C76B5"/>
    <w:rsid w:val="733046A8"/>
    <w:rsid w:val="75B10B57"/>
    <w:rsid w:val="761162C0"/>
    <w:rsid w:val="779175FD"/>
    <w:rsid w:val="798368C0"/>
    <w:rsid w:val="7DD57A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ind w:left="420" w:leftChars="200"/>
    </w:pPr>
  </w:style>
  <w:style w:type="paragraph" w:styleId="4">
    <w:name w:val="toc 3"/>
    <w:basedOn w:val="1"/>
    <w:next w:val="1"/>
    <w:qFormat/>
    <w:uiPriority w:val="0"/>
    <w:pPr>
      <w:ind w:left="480"/>
    </w:p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2022-06-19T07:19:29Z</dcterms:created>
  <dcterms:modified xsi:type="dcterms:W3CDTF">2022-06-18T23:19:29Z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2022-06-19T07:19:31Z</dcterms:created>
  <dcterms:modified xsi:type="dcterms:W3CDTF">2022-06-18T23:19:31Z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2022-06-19T07:19:31Z</dcterms:created>
  <dcterms:modified xsi:type="dcterms:W3CDTF">2022-06-18T23:19:31Z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2022-06-19T07:19:29Z</dcterms:created>
  <dcterms:modified xsi:type="dcterms:W3CDTF">2022-06-18T23:19:29Z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2022-06-19T07:19:36Z</dcterms:created>
  <dcterms:modified xsi:type="dcterms:W3CDTF">2022-06-18T23:19:36Z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2022-06-19T07:19:29Z</dcterms:created>
  <dcterms:modified xsi:type="dcterms:W3CDTF">2022-06-18T23:19:29Z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2022-06-19T07:19:29Z</dcterms:created>
  <dcterms:modified xsi:type="dcterms:W3CDTF">2022-06-18T23:19:29Z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2022-06-19T07:19:31Z</dcterms:created>
  <dcterms:modified xsi:type="dcterms:W3CDTF">2022-06-18T23:19:31Z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2022-06-19T07:19:31Z</dcterms:created>
  <dcterms:modified xsi:type="dcterms:W3CDTF">2022-06-18T23:19:30Z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2022-06-19T07:19:33Z</dcterms:created>
  <dcterms:modified xsi:type="dcterms:W3CDTF">2022-06-18T23:19:33Z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b:Sources xmlns:b="http://schemas.openxmlformats.org/officeDocument/2006/bibliography" xmlns="http://schemas.openxmlformats.org/officeDocument/2006/bibliography" SelectedStyle="" StyleName=""/>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2022-06-19T07:19:29Z</dcterms:created>
  <dcterms:modified xsi:type="dcterms:W3CDTF">2022-06-18T23:19:29Z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2022-06-19T07:19:28Z</dcterms:created>
  <dcterms:modified xsi:type="dcterms:W3CDTF">2022-06-18T23:19:28Z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F41104-B5E0-4A51-AA6C-CE37A048B20A}">
  <ds:schemaRefs/>
</ds:datastoreItem>
</file>

<file path=customXml/itemProps10.xml><?xml version="1.0" encoding="utf-8"?>
<ds:datastoreItem xmlns:ds="http://schemas.openxmlformats.org/officeDocument/2006/customXml" ds:itemID="{83F19E68-FA4E-41AA-BB75-B7D53E96E8AB}">
  <ds:schemaRefs/>
</ds:datastoreItem>
</file>

<file path=customXml/itemProps11.xml><?xml version="1.0" encoding="utf-8"?>
<ds:datastoreItem xmlns:ds="http://schemas.openxmlformats.org/officeDocument/2006/customXml" ds:itemID="{9E8BE03B-07C3-4930-AEC7-E0EC32A3AAE6}">
  <ds:schemaRefs/>
</ds:datastoreItem>
</file>

<file path=customXml/itemProps12.xml><?xml version="1.0" encoding="utf-8"?>
<ds:datastoreItem xmlns:ds="http://schemas.openxmlformats.org/officeDocument/2006/customXml" ds:itemID="{ECD26665-15BC-4A98-8901-64656A03DCD5}">
  <ds:schemaRefs/>
</ds:datastoreItem>
</file>

<file path=customXml/itemProps13.xml><?xml version="1.0" encoding="utf-8"?>
<ds:datastoreItem xmlns:ds="http://schemas.openxmlformats.org/officeDocument/2006/customXml" ds:itemID="{CB6B2B99-7866-4F73-AE79-4BC4AAC9E2C8}">
  <ds:schemaRefs/>
</ds:datastoreItem>
</file>

<file path=customXml/itemProps14.xml><?xml version="1.0" encoding="utf-8"?>
<ds:datastoreItem xmlns:ds="http://schemas.openxmlformats.org/officeDocument/2006/customXml" ds:itemID="{BBFD8D5C-5F25-494C-8B5C-36DAC38FFBF3}">
  <ds:schemaRefs/>
</ds:datastoreItem>
</file>

<file path=customXml/itemProps15.xml><?xml version="1.0" encoding="utf-8"?>
<ds:datastoreItem xmlns:ds="http://schemas.openxmlformats.org/officeDocument/2006/customXml" ds:itemID="{A02476DF-1B4C-4DAD-8448-80D57C0A5724}">
  <ds:schemaRefs/>
</ds:datastoreItem>
</file>

<file path=customXml/itemProps16.xml><?xml version="1.0" encoding="utf-8"?>
<ds:datastoreItem xmlns:ds="http://schemas.openxmlformats.org/officeDocument/2006/customXml" ds:itemID="{7CB7D506-773D-4940-98A8-D3E3843EBAB6}">
  <ds:schemaRefs/>
</ds:datastoreItem>
</file>

<file path=customXml/itemProps17.xml><?xml version="1.0" encoding="utf-8"?>
<ds:datastoreItem xmlns:ds="http://schemas.openxmlformats.org/officeDocument/2006/customXml" ds:itemID="{36131428-598A-4E5A-8B77-0A9E565BB58F}">
  <ds:schemaRefs/>
</ds:datastoreItem>
</file>

<file path=customXml/itemProps18.xml><?xml version="1.0" encoding="utf-8"?>
<ds:datastoreItem xmlns:ds="http://schemas.openxmlformats.org/officeDocument/2006/customXml" ds:itemID="{97E10DA1-567E-4AA1-8F69-F175A068F004}">
  <ds:schemaRefs/>
</ds:datastoreItem>
</file>

<file path=customXml/itemProps19.xml><?xml version="1.0" encoding="utf-8"?>
<ds:datastoreItem xmlns:ds="http://schemas.openxmlformats.org/officeDocument/2006/customXml" ds:itemID="{50AF9458-57B0-4333-AD37-C2B22498A92D}">
  <ds:schemaRefs/>
</ds:datastoreItem>
</file>

<file path=customXml/itemProps2.xml><?xml version="1.0" encoding="utf-8"?>
<ds:datastoreItem xmlns:ds="http://schemas.openxmlformats.org/officeDocument/2006/customXml" ds:itemID="{4FC51E7D-0219-4610-8DCA-2F0274C8C173}">
  <ds:schemaRefs/>
</ds:datastoreItem>
</file>

<file path=customXml/itemProps20.xml><?xml version="1.0" encoding="utf-8"?>
<ds:datastoreItem xmlns:ds="http://schemas.openxmlformats.org/officeDocument/2006/customXml" ds:itemID="{DEA7EE19-5E29-45A0-AE3D-98A8E08F871D}">
  <ds:schemaRefs/>
</ds:datastoreItem>
</file>

<file path=customXml/itemProps21.xml><?xml version="1.0" encoding="utf-8"?>
<ds:datastoreItem xmlns:ds="http://schemas.openxmlformats.org/officeDocument/2006/customXml" ds:itemID="{2A4820E1-F61D-45CF-8D5C-1D13BC8ADA5B}">
  <ds:schemaRefs/>
</ds:datastoreItem>
</file>

<file path=customXml/itemProps22.xml><?xml version="1.0" encoding="utf-8"?>
<ds:datastoreItem xmlns:ds="http://schemas.openxmlformats.org/officeDocument/2006/customXml" ds:itemID="{FEBE9A5D-10A9-4C37-85C0-00F26C6D16C0}">
  <ds:schemaRefs/>
</ds:datastoreItem>
</file>

<file path=customXml/itemProps23.xml><?xml version="1.0" encoding="utf-8"?>
<ds:datastoreItem xmlns:ds="http://schemas.openxmlformats.org/officeDocument/2006/customXml" ds:itemID="{796AD88E-7697-4867-A371-A553B26BB237}">
  <ds:schemaRefs/>
</ds:datastoreItem>
</file>

<file path=customXml/itemProps24.xml><?xml version="1.0" encoding="utf-8"?>
<ds:datastoreItem xmlns:ds="http://schemas.openxmlformats.org/officeDocument/2006/customXml" ds:itemID="{92925851-F1A4-4311-9927-A5EB1B7C1754}">
  <ds:schemaRefs/>
</ds:datastoreItem>
</file>

<file path=customXml/itemProps25.xml><?xml version="1.0" encoding="utf-8"?>
<ds:datastoreItem xmlns:ds="http://schemas.openxmlformats.org/officeDocument/2006/customXml" ds:itemID="{A13DABA7-2219-46AC-AFE4-D656A3354C1F}">
  <ds:schemaRefs/>
</ds:datastoreItem>
</file>

<file path=customXml/itemProps26.xml><?xml version="1.0" encoding="utf-8"?>
<ds:datastoreItem xmlns:ds="http://schemas.openxmlformats.org/officeDocument/2006/customXml" ds:itemID="{338889E5-1BAA-425F-A525-BB72C8D2200E}">
  <ds:schemaRefs/>
</ds:datastoreItem>
</file>

<file path=customXml/itemProps27.xml><?xml version="1.0" encoding="utf-8"?>
<ds:datastoreItem xmlns:ds="http://schemas.openxmlformats.org/officeDocument/2006/customXml" ds:itemID="{4BEFC70C-CEC5-4625-8B17-9F2CBE2DC8F5}">
  <ds:schemaRefs/>
</ds:datastoreItem>
</file>

<file path=customXml/itemProps28.xml><?xml version="1.0" encoding="utf-8"?>
<ds:datastoreItem xmlns:ds="http://schemas.openxmlformats.org/officeDocument/2006/customXml" ds:itemID="{80A242E0-FCFE-4AB8-B558-389AAB454D1C}">
  <ds:schemaRefs/>
</ds:datastoreItem>
</file>

<file path=customXml/itemProps29.xml><?xml version="1.0" encoding="utf-8"?>
<ds:datastoreItem xmlns:ds="http://schemas.openxmlformats.org/officeDocument/2006/customXml" ds:itemID="{3681EE60-463E-4F4B-BE04-6BFE4D28D1D9}">
  <ds:schemaRefs/>
</ds:datastoreItem>
</file>

<file path=customXml/itemProps3.xml><?xml version="1.0" encoding="utf-8"?>
<ds:datastoreItem xmlns:ds="http://schemas.openxmlformats.org/officeDocument/2006/customXml" ds:itemID="{3357A1FB-8468-4FE1-AB9B-9C1F7203E545}">
  <ds:schemaRefs/>
</ds:datastoreItem>
</file>

<file path=customXml/itemProps30.xml><?xml version="1.0" encoding="utf-8"?>
<ds:datastoreItem xmlns:ds="http://schemas.openxmlformats.org/officeDocument/2006/customXml" ds:itemID="{654CAB87-C04B-4442-AF93-6E5EE7A8DDE6}">
  <ds:schemaRefs/>
</ds:datastoreItem>
</file>

<file path=customXml/itemProps31.xml><?xml version="1.0" encoding="utf-8"?>
<ds:datastoreItem xmlns:ds="http://schemas.openxmlformats.org/officeDocument/2006/customXml" ds:itemID="{51BE0E2D-F943-404F-B5FD-B527A480948E}">
  <ds:schemaRefs/>
</ds:datastoreItem>
</file>

<file path=customXml/itemProps32.xml><?xml version="1.0" encoding="utf-8"?>
<ds:datastoreItem xmlns:ds="http://schemas.openxmlformats.org/officeDocument/2006/customXml" ds:itemID="{FFFD46A3-ACEF-46F7-8BE3-483188DB5E23}">
  <ds:schemaRefs/>
</ds:datastoreItem>
</file>

<file path=customXml/itemProps33.xml><?xml version="1.0" encoding="utf-8"?>
<ds:datastoreItem xmlns:ds="http://schemas.openxmlformats.org/officeDocument/2006/customXml" ds:itemID="{E9FAAAE4-AABB-4122-9835-859042C7C6A8}">
  <ds:schemaRefs/>
</ds:datastoreItem>
</file>

<file path=customXml/itemProps34.xml><?xml version="1.0" encoding="utf-8"?>
<ds:datastoreItem xmlns:ds="http://schemas.openxmlformats.org/officeDocument/2006/customXml" ds:itemID="{8390AD3E-5A62-4D93-8EC2-2C2DD50E4D35}">
  <ds:schemaRefs/>
</ds:datastoreItem>
</file>

<file path=customXml/itemProps35.xml><?xml version="1.0" encoding="utf-8"?>
<ds:datastoreItem xmlns:ds="http://schemas.openxmlformats.org/officeDocument/2006/customXml" ds:itemID="{127E8D33-50EC-4A4E-A90F-6747593B1BD4}">
  <ds:schemaRefs/>
</ds:datastoreItem>
</file>

<file path=customXml/itemProps36.xml><?xml version="1.0" encoding="utf-8"?>
<ds:datastoreItem xmlns:ds="http://schemas.openxmlformats.org/officeDocument/2006/customXml" ds:itemID="{986FEE51-F367-4260-AF2A-5B9D82193D75}">
  <ds:schemaRefs/>
</ds:datastoreItem>
</file>

<file path=customXml/itemProps37.xml><?xml version="1.0" encoding="utf-8"?>
<ds:datastoreItem xmlns:ds="http://schemas.openxmlformats.org/officeDocument/2006/customXml" ds:itemID="{B903DEA8-9C30-4533-AD28-B73D6BD9B0A3}">
  <ds:schemaRefs/>
</ds:datastoreItem>
</file>

<file path=customXml/itemProps38.xml><?xml version="1.0" encoding="utf-8"?>
<ds:datastoreItem xmlns:ds="http://schemas.openxmlformats.org/officeDocument/2006/customXml" ds:itemID="{A9833003-673F-42A8-9F60-BFB4E07CD049}">
  <ds:schemaRefs/>
</ds:datastoreItem>
</file>

<file path=customXml/itemProps39.xml><?xml version="1.0" encoding="utf-8"?>
<ds:datastoreItem xmlns:ds="http://schemas.openxmlformats.org/officeDocument/2006/customXml" ds:itemID="{A6503D8E-7593-4BB3-A791-763610AD465C}">
  <ds:schemaRefs/>
</ds:datastoreItem>
</file>

<file path=customXml/itemProps4.xml><?xml version="1.0" encoding="utf-8"?>
<ds:datastoreItem xmlns:ds="http://schemas.openxmlformats.org/officeDocument/2006/customXml" ds:itemID="{5CB30FEB-8555-46B6-90A0-F473613CEAA5}">
  <ds:schemaRefs/>
</ds:datastoreItem>
</file>

<file path=customXml/itemProps40.xml><?xml version="1.0" encoding="utf-8"?>
<ds:datastoreItem xmlns:ds="http://schemas.openxmlformats.org/officeDocument/2006/customXml" ds:itemID="{FA99FAC7-E5EE-4DB6-B9DA-8E715BDCACCA}">
  <ds:schemaRefs/>
</ds:datastoreItem>
</file>

<file path=customXml/itemProps41.xml><?xml version="1.0" encoding="utf-8"?>
<ds:datastoreItem xmlns:ds="http://schemas.openxmlformats.org/officeDocument/2006/customXml" ds:itemID="{EDD7C5AD-891C-4433-BFF1-0755244ED649}">
  <ds:schemaRefs/>
</ds:datastoreItem>
</file>

<file path=customXml/itemProps42.xml><?xml version="1.0" encoding="utf-8"?>
<ds:datastoreItem xmlns:ds="http://schemas.openxmlformats.org/officeDocument/2006/customXml" ds:itemID="{07EF196A-E4EA-4110-B2C4-7655AFF8C9DB}">
  <ds:schemaRefs/>
</ds:datastoreItem>
</file>

<file path=customXml/itemProps43.xml><?xml version="1.0" encoding="utf-8"?>
<ds:datastoreItem xmlns:ds="http://schemas.openxmlformats.org/officeDocument/2006/customXml" ds:itemID="{9A7EFC93-2648-41D6-86A3-7C229641B77C}">
  <ds:schemaRefs/>
</ds:datastoreItem>
</file>

<file path=customXml/itemProps44.xml><?xml version="1.0" encoding="utf-8"?>
<ds:datastoreItem xmlns:ds="http://schemas.openxmlformats.org/officeDocument/2006/customXml" ds:itemID="{F1833D7E-B974-4A93-9614-D7769956BF66}">
  <ds:schemaRefs/>
</ds:datastoreItem>
</file>

<file path=customXml/itemProps45.xml><?xml version="1.0" encoding="utf-8"?>
<ds:datastoreItem xmlns:ds="http://schemas.openxmlformats.org/officeDocument/2006/customXml" ds:itemID="{AAED2614-B83C-42B8-A375-D967C7E7CE1E}">
  <ds:schemaRefs/>
</ds:datastoreItem>
</file>

<file path=customXml/itemProps46.xml><?xml version="1.0" encoding="utf-8"?>
<ds:datastoreItem xmlns:ds="http://schemas.openxmlformats.org/officeDocument/2006/customXml" ds:itemID="{301ACB7C-F28E-432F-B0A4-4D80542B6D73}">
  <ds:schemaRefs/>
</ds:datastoreItem>
</file>

<file path=customXml/itemProps47.xml><?xml version="1.0" encoding="utf-8"?>
<ds:datastoreItem xmlns:ds="http://schemas.openxmlformats.org/officeDocument/2006/customXml" ds:itemID="{0E085321-5A88-41E6-956A-09A1EE7854FB}">
  <ds:schemaRefs/>
</ds:datastoreItem>
</file>

<file path=customXml/itemProps48.xml><?xml version="1.0" encoding="utf-8"?>
<ds:datastoreItem xmlns:ds="http://schemas.openxmlformats.org/officeDocument/2006/customXml" ds:itemID="{046055D0-6D56-4680-8AA7-6AF7FBCCC1CD}">
  <ds:schemaRefs/>
</ds:datastoreItem>
</file>

<file path=customXml/itemProps49.xml><?xml version="1.0" encoding="utf-8"?>
<ds:datastoreItem xmlns:ds="http://schemas.openxmlformats.org/officeDocument/2006/customXml" ds:itemID="{6453F933-5D88-4E20-8814-AA24A0E1A5E3}">
  <ds:schemaRefs/>
</ds:datastoreItem>
</file>

<file path=customXml/itemProps5.xml><?xml version="1.0" encoding="utf-8"?>
<ds:datastoreItem xmlns:ds="http://schemas.openxmlformats.org/officeDocument/2006/customXml" ds:itemID="{3BBBB39F-B8A9-4BE9-ABBA-A638903891D0}">
  <ds:schemaRefs/>
</ds:datastoreItem>
</file>

<file path=customXml/itemProps50.xml><?xml version="1.0" encoding="utf-8"?>
<ds:datastoreItem xmlns:ds="http://schemas.openxmlformats.org/officeDocument/2006/customXml" ds:itemID="{43AD5C57-9772-4833-BDBC-C6883E9777BB}">
  <ds:schemaRefs/>
</ds:datastoreItem>
</file>

<file path=customXml/itemProps51.xml><?xml version="1.0" encoding="utf-8"?>
<ds:datastoreItem xmlns:ds="http://schemas.openxmlformats.org/officeDocument/2006/customXml" ds:itemID="{1BB697D6-348A-4FF0-89A5-423CAFBA4645}">
  <ds:schemaRefs/>
</ds:datastoreItem>
</file>

<file path=customXml/itemProps52.xml><?xml version="1.0" encoding="utf-8"?>
<ds:datastoreItem xmlns:ds="http://schemas.openxmlformats.org/officeDocument/2006/customXml" ds:itemID="{465B6ABE-CAAC-4DFB-9504-DE2C8E3782FA}">
  <ds:schemaRefs/>
</ds:datastoreItem>
</file>

<file path=customXml/itemProps53.xml><?xml version="1.0" encoding="utf-8"?>
<ds:datastoreItem xmlns:ds="http://schemas.openxmlformats.org/officeDocument/2006/customXml" ds:itemID="{BD6A7483-80E5-4C2A-906D-8184FB4AD608}">
  <ds:schemaRefs/>
</ds:datastoreItem>
</file>

<file path=customXml/itemProps54.xml><?xml version="1.0" encoding="utf-8"?>
<ds:datastoreItem xmlns:ds="http://schemas.openxmlformats.org/officeDocument/2006/customXml" ds:itemID="{DF30EEA7-027F-407C-A4BE-22682A307EF7}">
  <ds:schemaRefs/>
</ds:datastoreItem>
</file>

<file path=customXml/itemProps55.xml><?xml version="1.0" encoding="utf-8"?>
<ds:datastoreItem xmlns:ds="http://schemas.openxmlformats.org/officeDocument/2006/customXml" ds:itemID="{8BB3F6D9-4F22-46D1-B64D-C53967AC6AB5}">
  <ds:schemaRefs/>
</ds:datastoreItem>
</file>

<file path=customXml/itemProps56.xml><?xml version="1.0" encoding="utf-8"?>
<ds:datastoreItem xmlns:ds="http://schemas.openxmlformats.org/officeDocument/2006/customXml" ds:itemID="{02A25842-83DE-4B35-8A67-B5DD7A64456F}">
  <ds:schemaRefs/>
</ds:datastoreItem>
</file>

<file path=customXml/itemProps57.xml><?xml version="1.0" encoding="utf-8"?>
<ds:datastoreItem xmlns:ds="http://schemas.openxmlformats.org/officeDocument/2006/customXml" ds:itemID="{D9EF1318-0FD6-4A4B-A55D-D7505A197BD3}">
  <ds:schemaRefs/>
</ds:datastoreItem>
</file>

<file path=customXml/itemProps58.xml><?xml version="1.0" encoding="utf-8"?>
<ds:datastoreItem xmlns:ds="http://schemas.openxmlformats.org/officeDocument/2006/customXml" ds:itemID="{2D24E26A-BEC2-42AE-BB5F-EF09BC494AFB}">
  <ds:schemaRefs/>
</ds:datastoreItem>
</file>

<file path=customXml/itemProps59.xml><?xml version="1.0" encoding="utf-8"?>
<ds:datastoreItem xmlns:ds="http://schemas.openxmlformats.org/officeDocument/2006/customXml" ds:itemID="{C0952866-2104-4846-B718-3D3963F61ADF}">
  <ds:schemaRefs/>
</ds:datastoreItem>
</file>

<file path=customXml/itemProps6.xml><?xml version="1.0" encoding="utf-8"?>
<ds:datastoreItem xmlns:ds="http://schemas.openxmlformats.org/officeDocument/2006/customXml" ds:itemID="{9E3AB788-2A94-43D1-B6A4-79A3E02B3554}">
  <ds:schemaRefs/>
</ds:datastoreItem>
</file>

<file path=customXml/itemProps60.xml><?xml version="1.0" encoding="utf-8"?>
<ds:datastoreItem xmlns:ds="http://schemas.openxmlformats.org/officeDocument/2006/customXml" ds:itemID="{1342610D-F874-4D4F-A695-2407660C9C10}">
  <ds:schemaRefs/>
</ds:datastoreItem>
</file>

<file path=customXml/itemProps61.xml><?xml version="1.0" encoding="utf-8"?>
<ds:datastoreItem xmlns:ds="http://schemas.openxmlformats.org/officeDocument/2006/customXml" ds:itemID="{4FA0D397-5C3F-47D3-80E8-CA6699778BF7}">
  <ds:schemaRefs/>
</ds:datastoreItem>
</file>

<file path=customXml/itemProps62.xml><?xml version="1.0" encoding="utf-8"?>
<ds:datastoreItem xmlns:ds="http://schemas.openxmlformats.org/officeDocument/2006/customXml" ds:itemID="{315BF222-1F17-4486-B680-54BF437A8C84}">
  <ds:schemaRefs/>
</ds:datastoreItem>
</file>

<file path=customXml/itemProps63.xml><?xml version="1.0" encoding="utf-8"?>
<ds:datastoreItem xmlns:ds="http://schemas.openxmlformats.org/officeDocument/2006/customXml" ds:itemID="{FF32D852-8402-4D8B-A65D-DF80B59A9E4E}">
  <ds:schemaRefs/>
</ds:datastoreItem>
</file>

<file path=customXml/itemProps64.xml><?xml version="1.0" encoding="utf-8"?>
<ds:datastoreItem xmlns:ds="http://schemas.openxmlformats.org/officeDocument/2006/customXml" ds:itemID="{C8EE21FA-AF8B-4072-92B3-DE6C0D0F9BA9}">
  <ds:schemaRefs/>
</ds:datastoreItem>
</file>

<file path=customXml/itemProps65.xml><?xml version="1.0" encoding="utf-8"?>
<ds:datastoreItem xmlns:ds="http://schemas.openxmlformats.org/officeDocument/2006/customXml" ds:itemID="{06A24EFB-E26A-4FC8-B00D-8E0E8735C26B}">
  <ds:schemaRefs/>
</ds:datastoreItem>
</file>

<file path=customXml/itemProps66.xml><?xml version="1.0" encoding="utf-8"?>
<ds:datastoreItem xmlns:ds="http://schemas.openxmlformats.org/officeDocument/2006/customXml" ds:itemID="{A179304D-7352-44CF-828D-8E0625A1C280}">
  <ds:schemaRefs/>
</ds:datastoreItem>
</file>

<file path=customXml/itemProps67.xml><?xml version="1.0" encoding="utf-8"?>
<ds:datastoreItem xmlns:ds="http://schemas.openxmlformats.org/officeDocument/2006/customXml" ds:itemID="{73B9752D-A0C3-4322-818D-CE4A38A04B1D}">
  <ds:schemaRefs/>
</ds:datastoreItem>
</file>

<file path=customXml/itemProps68.xml><?xml version="1.0" encoding="utf-8"?>
<ds:datastoreItem xmlns:ds="http://schemas.openxmlformats.org/officeDocument/2006/customXml" ds:itemID="{E30B8404-3AB9-4412-A84C-4E773B3D1E76}">
  <ds:schemaRefs/>
</ds:datastoreItem>
</file>

<file path=customXml/itemProps69.xml><?xml version="1.0" encoding="utf-8"?>
<ds:datastoreItem xmlns:ds="http://schemas.openxmlformats.org/officeDocument/2006/customXml" ds:itemID="{F2149F1C-CD31-4E3C-AE39-25171ACEA814}">
  <ds:schemaRefs/>
</ds:datastoreItem>
</file>

<file path=customXml/itemProps7.xml><?xml version="1.0" encoding="utf-8"?>
<ds:datastoreItem xmlns:ds="http://schemas.openxmlformats.org/officeDocument/2006/customXml" ds:itemID="{2BFF3E66-2A8D-45AB-AC33-41073398EE0F}">
  <ds:schemaRefs/>
</ds:datastoreItem>
</file>

<file path=customXml/itemProps70.xml><?xml version="1.0" encoding="utf-8"?>
<ds:datastoreItem xmlns:ds="http://schemas.openxmlformats.org/officeDocument/2006/customXml" ds:itemID="{816F4F01-3260-4070-B1F6-9F8DB14B6826}">
  <ds:schemaRefs/>
</ds:datastoreItem>
</file>

<file path=customXml/itemProps71.xml><?xml version="1.0" encoding="utf-8"?>
<ds:datastoreItem xmlns:ds="http://schemas.openxmlformats.org/officeDocument/2006/customXml" ds:itemID="{1152FBCB-0B40-402E-BE56-86787A3F85CC}">
  <ds:schemaRefs/>
</ds:datastoreItem>
</file>

<file path=customXml/itemProps72.xml><?xml version="1.0" encoding="utf-8"?>
<ds:datastoreItem xmlns:ds="http://schemas.openxmlformats.org/officeDocument/2006/customXml" ds:itemID="{8379849F-D90A-4739-A2EC-4340DA2B3CCA}">
  <ds:schemaRefs/>
</ds:datastoreItem>
</file>

<file path=customXml/itemProps73.xml><?xml version="1.0" encoding="utf-8"?>
<ds:datastoreItem xmlns:ds="http://schemas.openxmlformats.org/officeDocument/2006/customXml" ds:itemID="{79BCF94A-53C6-47E6-87AC-09A461A2CEF3}">
  <ds:schemaRefs/>
</ds:datastoreItem>
</file>

<file path=customXml/itemProps74.xml><?xml version="1.0" encoding="utf-8"?>
<ds:datastoreItem xmlns:ds="http://schemas.openxmlformats.org/officeDocument/2006/customXml" ds:itemID="{F025C9BC-68D6-460E-AA71-80A93C2AE32E}">
  <ds:schemaRefs/>
</ds:datastoreItem>
</file>

<file path=customXml/itemProps75.xml><?xml version="1.0" encoding="utf-8"?>
<ds:datastoreItem xmlns:ds="http://schemas.openxmlformats.org/officeDocument/2006/customXml" ds:itemID="{30F3F74D-BC6A-4A91-BC43-5E9AC544FBC8}">
  <ds:schemaRefs/>
</ds:datastoreItem>
</file>

<file path=customXml/itemProps76.xml><?xml version="1.0" encoding="utf-8"?>
<ds:datastoreItem xmlns:ds="http://schemas.openxmlformats.org/officeDocument/2006/customXml" ds:itemID="{51A79C22-0E5E-4DD4-90CC-AFE9D36AAF4B}">
  <ds:schemaRefs/>
</ds:datastoreItem>
</file>

<file path=customXml/itemProps77.xml><?xml version="1.0" encoding="utf-8"?>
<ds:datastoreItem xmlns:ds="http://schemas.openxmlformats.org/officeDocument/2006/customXml" ds:itemID="{ECEE4B88-5FB4-4F59-86E5-E1A551A5D360}">
  <ds:schemaRefs/>
</ds:datastoreItem>
</file>

<file path=customXml/itemProps78.xml><?xml version="1.0" encoding="utf-8"?>
<ds:datastoreItem xmlns:ds="http://schemas.openxmlformats.org/officeDocument/2006/customXml" ds:itemID="{41604944-3891-406D-BD3D-3A275A66535B}">
  <ds:schemaRefs/>
</ds:datastoreItem>
</file>

<file path=customXml/itemProps79.xml><?xml version="1.0" encoding="utf-8"?>
<ds:datastoreItem xmlns:ds="http://schemas.openxmlformats.org/officeDocument/2006/customXml" ds:itemID="{920C2CE6-6882-4C4D-8D97-E4FD64ABFB16}">
  <ds:schemaRefs/>
</ds:datastoreItem>
</file>

<file path=customXml/itemProps8.xml><?xml version="1.0" encoding="utf-8"?>
<ds:datastoreItem xmlns:ds="http://schemas.openxmlformats.org/officeDocument/2006/customXml" ds:itemID="{A30B671C-2275-4B63-B9F9-B9388E309591}">
  <ds:schemaRefs/>
</ds:datastoreItem>
</file>

<file path=customXml/itemProps80.xml><?xml version="1.0" encoding="utf-8"?>
<ds:datastoreItem xmlns:ds="http://schemas.openxmlformats.org/officeDocument/2006/customXml" ds:itemID="{733BB1C5-A4F4-45E5-96C8-B5B7655B0A31}">
  <ds:schemaRefs/>
</ds:datastoreItem>
</file>

<file path=customXml/itemProps81.xml><?xml version="1.0" encoding="utf-8"?>
<ds:datastoreItem xmlns:ds="http://schemas.openxmlformats.org/officeDocument/2006/customXml" ds:itemID="{7CD36F68-7BC5-49C5-818E-A7983F88335C}">
  <ds:schemaRefs/>
</ds:datastoreItem>
</file>

<file path=customXml/itemProps82.xml><?xml version="1.0" encoding="utf-8"?>
<ds:datastoreItem xmlns:ds="http://schemas.openxmlformats.org/officeDocument/2006/customXml" ds:itemID="{4FF91FF5-ACF2-41DE-9C17-BE861DA85299}">
  <ds:schemaRefs/>
</ds:datastoreItem>
</file>

<file path=customXml/itemProps83.xml><?xml version="1.0" encoding="utf-8"?>
<ds:datastoreItem xmlns:ds="http://schemas.openxmlformats.org/officeDocument/2006/customXml" ds:itemID="{F0E1AC00-4CE0-4E7D-98C6-B0CF8A277CE4}">
  <ds:schemaRefs/>
</ds:datastoreItem>
</file>

<file path=customXml/itemProps84.xml><?xml version="1.0" encoding="utf-8"?>
<ds:datastoreItem xmlns:ds="http://schemas.openxmlformats.org/officeDocument/2006/customXml" ds:itemID="{5C4FF986-57BB-4A90-9536-4057FFA12DD4}">
  <ds:schemaRefs/>
</ds:datastoreItem>
</file>

<file path=customXml/itemProps85.xml><?xml version="1.0" encoding="utf-8"?>
<ds:datastoreItem xmlns:ds="http://schemas.openxmlformats.org/officeDocument/2006/customXml" ds:itemID="{BF47990C-BF17-4C83-A65C-F33DFA08138D}">
  <ds:schemaRefs/>
</ds:datastoreItem>
</file>

<file path=customXml/itemProps86.xml><?xml version="1.0" encoding="utf-8"?>
<ds:datastoreItem xmlns:ds="http://schemas.openxmlformats.org/officeDocument/2006/customXml" ds:itemID="{BF623ED7-556C-4C24-9CED-6F4AA038F82D}">
  <ds:schemaRefs/>
</ds:datastoreItem>
</file>

<file path=customXml/itemProps87.xml><?xml version="1.0" encoding="utf-8"?>
<ds:datastoreItem xmlns:ds="http://schemas.openxmlformats.org/officeDocument/2006/customXml" ds:itemID="{F553EFCD-9565-4C6C-932F-E1E5FA486172}">
  <ds:schemaRefs/>
</ds:datastoreItem>
</file>

<file path=customXml/itemProps9.xml><?xml version="1.0" encoding="utf-8"?>
<ds:datastoreItem xmlns:ds="http://schemas.openxmlformats.org/officeDocument/2006/customXml" ds:itemID="{CD907D9A-ADDF-44CA-8FBB-1ACF6099C323}">
  <ds:schemaRefs/>
</ds:datastoreItem>
</file>

<file path=docProps/app.xml><?xml version="1.0" encoding="utf-8"?>
<Properties xmlns="http://schemas.openxmlformats.org/officeDocument/2006/extended-properties" xmlns:vt="http://schemas.openxmlformats.org/officeDocument/2006/docPropsVTypes">
  <Template>Normal</Template>
  <Pages>117</Pages>
  <Words>39059</Words>
  <Characters>43545</Characters>
  <Lines>381</Lines>
  <Paragraphs>107</Paragraphs>
  <TotalTime>83</TotalTime>
  <ScaleCrop>false</ScaleCrop>
  <LinksUpToDate>false</LinksUpToDate>
  <CharactersWithSpaces>44120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2022-06-19T07:19:00Z</dcterms:created>
  <dc:creator>Administrator</dc:creator>
  <cp:lastModifiedBy>Hopefully</cp:lastModifiedBy>
  <cp:lastPrinted>2022-08-03T00:40:00Z</cp:lastPrinted>
  <dcterms:modified xsi:type="dcterms:W3CDTF">2024-06-03T07:29:19Z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A22F299987434625BBD593CFCD1D0D45</vt:lpwstr>
  </property>
</Properties>
</file>