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b/>
          <w:i w:val="0"/>
          <w:caps w:val="0"/>
          <w:color w:val="000000" w:themeColor="text1"/>
          <w:spacing w:val="0"/>
          <w:sz w:val="36"/>
          <w:szCs w:val="36"/>
          <w:shd w:val="clear" w:color="auto" w:fill="FFFFFF"/>
          <w14:textFill>
            <w14:solidFill>
              <w14:schemeClr w14:val="tx1"/>
            </w14:solidFill>
          </w14:textFill>
        </w:rPr>
      </w:pPr>
      <w:r>
        <w:rPr>
          <w:rFonts w:hint="eastAsia" w:ascii="宋体" w:hAnsi="宋体" w:cs="宋体"/>
          <w:b/>
          <w:i w:val="0"/>
          <w:caps w:val="0"/>
          <w:color w:val="000000" w:themeColor="text1"/>
          <w:spacing w:val="0"/>
          <w:sz w:val="36"/>
          <w:szCs w:val="36"/>
          <w:shd w:val="clear" w:color="auto" w:fill="FFFFFF"/>
          <w:lang w:eastAsia="zh-CN"/>
          <w14:textFill>
            <w14:solidFill>
              <w14:schemeClr w14:val="tx1"/>
            </w14:solidFill>
          </w14:textFill>
        </w:rPr>
        <w:t>宁晋县</w:t>
      </w:r>
      <w:r>
        <w:rPr>
          <w:rFonts w:hint="eastAsia" w:ascii="宋体" w:hAnsi="宋体" w:cs="宋体"/>
          <w:b/>
          <w:i w:val="0"/>
          <w:caps w:val="0"/>
          <w:color w:val="000000" w:themeColor="text1"/>
          <w:spacing w:val="0"/>
          <w:sz w:val="36"/>
          <w:szCs w:val="36"/>
          <w:shd w:val="clear" w:color="auto" w:fill="FFFFFF"/>
          <w:lang w:val="en-US" w:eastAsia="zh-CN"/>
          <w14:textFill>
            <w14:solidFill>
              <w14:schemeClr w14:val="tx1"/>
            </w14:solidFill>
          </w14:textFill>
        </w:rPr>
        <w:t>苏家庄镇2024年</w:t>
      </w:r>
      <w:r>
        <w:rPr>
          <w:rFonts w:hint="eastAsia" w:ascii="宋体" w:hAnsi="宋体" w:eastAsia="宋体" w:cs="宋体"/>
          <w:b/>
          <w:i w:val="0"/>
          <w:caps w:val="0"/>
          <w:color w:val="000000" w:themeColor="text1"/>
          <w:spacing w:val="0"/>
          <w:sz w:val="36"/>
          <w:szCs w:val="36"/>
          <w:shd w:val="clear" w:color="auto" w:fill="FFFFFF"/>
          <w14:textFill>
            <w14:solidFill>
              <w14:schemeClr w14:val="tx1"/>
            </w14:solidFill>
          </w14:textFill>
        </w:rPr>
        <w:t>政府信息公开工作年度</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000000" w:themeColor="text1"/>
          <w:spacing w:val="0"/>
          <w:sz w:val="24"/>
          <w:szCs w:val="24"/>
          <w14:textFill>
            <w14:solidFill>
              <w14:schemeClr w14:val="tx1"/>
            </w14:solidFill>
          </w14:textFill>
        </w:rPr>
      </w:pPr>
      <w:r>
        <w:rPr>
          <w:rFonts w:hint="eastAsia" w:ascii="宋体" w:hAnsi="宋体" w:eastAsia="宋体" w:cs="宋体"/>
          <w:b/>
          <w:i w:val="0"/>
          <w:caps w:val="0"/>
          <w:color w:val="000000" w:themeColor="text1"/>
          <w:spacing w:val="0"/>
          <w:sz w:val="36"/>
          <w:szCs w:val="36"/>
          <w:shd w:val="clear" w:color="auto" w:fill="FFFFFF"/>
          <w14:textFill>
            <w14:solidFill>
              <w14:schemeClr w14:val="tx1"/>
            </w14:solidFill>
          </w14:textFill>
        </w:rPr>
        <w:t>报告</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000000" w:themeColor="text1"/>
          <w:spacing w:val="0"/>
          <w:sz w:val="24"/>
          <w:szCs w:val="24"/>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both"/>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本年度报告依据《中华人民共和国政府信息公开条例》、《中华人民共和国政府信息公开工作年度报告格式》和省、市、县政务公开工作要求，由苏家庄镇政府编制而成。全文包括总体情况、主动公开政府信息情况、收到和处理政府信息公开申请情况、政府信息公开行政复议和行政诉讼情况、存在的主要问题及改进情况、其他需要报告的事项等内容。本年报中所列数据的统计期限为2024年1月1日至12月31日。本年报的电子版可在宁晋县人民政府网站（https://www.ningjin.gov.cn/）下载。如对本年报有任何疑问，请与苏家庄镇办公室联系，联系电话：0319-5988003。</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000000" w:themeColor="text1"/>
          <w:spacing w:val="0"/>
          <w:sz w:val="24"/>
          <w:szCs w:val="24"/>
          <w14:textFill>
            <w14:solidFill>
              <w14:schemeClr w14:val="tx1"/>
            </w14:solidFill>
          </w14:textFill>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000000" w:themeColor="text1"/>
          <w:spacing w:val="0"/>
          <w:sz w:val="24"/>
          <w:szCs w:val="24"/>
          <w14:textFill>
            <w14:solidFill>
              <w14:schemeClr w14:val="tx1"/>
            </w14:solidFill>
          </w14:textFill>
        </w:rPr>
      </w:pPr>
      <w:r>
        <w:rPr>
          <w:rFonts w:hint="eastAsia" w:ascii="宋体" w:hAnsi="宋体" w:eastAsia="宋体" w:cs="宋体"/>
          <w:b/>
          <w:bCs/>
          <w:i w:val="0"/>
          <w:iCs w:val="0"/>
          <w:caps w:val="0"/>
          <w:color w:val="000000" w:themeColor="text1"/>
          <w:spacing w:val="0"/>
          <w:sz w:val="24"/>
          <w:szCs w:val="24"/>
          <w:shd w:val="clear" w:fill="FFFFFF"/>
          <w14:textFill>
            <w14:solidFill>
              <w14:schemeClr w14:val="tx1"/>
            </w14:solidFill>
          </w14:textFill>
        </w:rPr>
        <w:t>一、总体情况</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both"/>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b w:val="0"/>
          <w:bCs w:val="0"/>
          <w:i w:val="0"/>
          <w:caps w:val="0"/>
          <w:color w:val="000000" w:themeColor="text1"/>
          <w:spacing w:val="0"/>
          <w:sz w:val="32"/>
          <w:szCs w:val="32"/>
          <w:lang w:val="en-US" w:eastAsia="zh-CN"/>
          <w14:textFill>
            <w14:solidFill>
              <w14:schemeClr w14:val="tx1"/>
            </w14:solidFill>
          </w14:textFill>
        </w:rPr>
        <w:t>（一）主动公开情况。</w:t>
      </w:r>
      <w:r>
        <w:rPr>
          <w:rFonts w:hint="eastAsia" w:ascii="仿宋" w:hAnsi="仿宋" w:eastAsia="仿宋" w:cs="仿宋"/>
          <w:color w:val="000000" w:themeColor="text1"/>
          <w:sz w:val="32"/>
          <w:szCs w:val="32"/>
          <w:lang w:val="en-US" w:eastAsia="zh-CN"/>
          <w14:textFill>
            <w14:solidFill>
              <w14:schemeClr w14:val="tx1"/>
            </w14:solidFill>
          </w14:textFill>
        </w:rPr>
        <w:t>我镇高度重视政务信息公开工作，按照相关要求及时将</w:t>
      </w:r>
      <w:r>
        <w:rPr>
          <w:rFonts w:hint="eastAsia" w:ascii="仿宋" w:hAnsi="仿宋" w:eastAsia="仿宋" w:cs="仿宋"/>
          <w:color w:val="000000" w:themeColor="text1"/>
          <w:sz w:val="32"/>
          <w:szCs w:val="32"/>
          <w:lang w:val="en-US" w:eastAsia="zh-CN"/>
          <w14:textFill>
            <w14:solidFill>
              <w14:schemeClr w14:val="tx1"/>
            </w14:solidFill>
          </w14:textFill>
        </w:rPr>
        <w:fldChar w:fldCharType="begin"/>
      </w:r>
      <w:r>
        <w:rPr>
          <w:rFonts w:hint="eastAsia" w:ascii="仿宋" w:hAnsi="仿宋" w:eastAsia="仿宋" w:cs="仿宋"/>
          <w:color w:val="000000" w:themeColor="text1"/>
          <w:sz w:val="32"/>
          <w:szCs w:val="32"/>
          <w:lang w:val="en-US" w:eastAsia="zh-CN"/>
          <w14:textFill>
            <w14:solidFill>
              <w14:schemeClr w14:val="tx1"/>
            </w14:solidFill>
          </w14:textFill>
        </w:rPr>
        <w:instrText xml:space="preserve"> HYPERLINK "https://www.ningjin.gov.cn/xxgk/content.jsp?contentId=33158&amp;___sys_cms_preview___=3ad16c14b87e90f9d7c31a4952773dc084340febf3714cd23aad9e9221d623aa" \t "https://www.ningjin.gov.cn/xxgk//core/content/_blank" </w:instrText>
      </w:r>
      <w:r>
        <w:rPr>
          <w:rFonts w:hint="eastAsia" w:ascii="仿宋" w:hAnsi="仿宋" w:eastAsia="仿宋" w:cs="仿宋"/>
          <w:color w:val="000000" w:themeColor="text1"/>
          <w:sz w:val="32"/>
          <w:szCs w:val="32"/>
          <w:lang w:val="en-US" w:eastAsia="zh-CN"/>
          <w14:textFill>
            <w14:solidFill>
              <w14:schemeClr w14:val="tx1"/>
            </w14:solidFill>
          </w14:textFill>
        </w:rPr>
        <w:fldChar w:fldCharType="separate"/>
      </w:r>
      <w:r>
        <w:rPr>
          <w:rFonts w:hint="eastAsia" w:ascii="仿宋" w:hAnsi="仿宋" w:eastAsia="仿宋" w:cs="仿宋"/>
          <w:color w:val="000000" w:themeColor="text1"/>
          <w:sz w:val="32"/>
          <w:szCs w:val="32"/>
          <w:lang w:val="en-US" w:eastAsia="zh-CN"/>
          <w14:textFill>
            <w14:solidFill>
              <w14:schemeClr w14:val="tx1"/>
            </w14:solidFill>
          </w14:textFill>
        </w:rPr>
        <w:t>宁晋县苏家庄镇2023年政府信息公开工作年度报告</w:t>
      </w:r>
      <w:r>
        <w:rPr>
          <w:rFonts w:hint="eastAsia" w:ascii="仿宋" w:hAnsi="仿宋" w:eastAsia="仿宋" w:cs="仿宋"/>
          <w:color w:val="000000" w:themeColor="text1"/>
          <w:sz w:val="32"/>
          <w:szCs w:val="32"/>
          <w:lang w:val="en-US" w:eastAsia="zh-CN"/>
          <w14:textFill>
            <w14:solidFill>
              <w14:schemeClr w14:val="tx1"/>
            </w14:solidFill>
          </w14:textFill>
        </w:rPr>
        <w:fldChar w:fldCharType="end"/>
      </w:r>
      <w:r>
        <w:rPr>
          <w:rFonts w:hint="eastAsia" w:ascii="仿宋" w:hAnsi="仿宋" w:eastAsia="仿宋" w:cs="仿宋"/>
          <w:color w:val="000000" w:themeColor="text1"/>
          <w:sz w:val="32"/>
          <w:szCs w:val="32"/>
          <w:lang w:val="en-US" w:eastAsia="zh-CN"/>
          <w14:textFill>
            <w14:solidFill>
              <w14:schemeClr w14:val="tx1"/>
            </w14:solidFill>
          </w14:textFill>
        </w:rPr>
        <w:t>、</w:t>
      </w:r>
      <w:r>
        <w:rPr>
          <w:rFonts w:hint="eastAsia" w:ascii="仿宋" w:hAnsi="仿宋" w:eastAsia="仿宋" w:cs="仿宋"/>
          <w:color w:val="000000" w:themeColor="text1"/>
          <w:sz w:val="32"/>
          <w:szCs w:val="32"/>
          <w:lang w:val="en-US" w:eastAsia="zh-CN"/>
          <w14:textFill>
            <w14:solidFill>
              <w14:schemeClr w14:val="tx1"/>
            </w14:solidFill>
          </w14:textFill>
        </w:rPr>
        <w:fldChar w:fldCharType="begin"/>
      </w:r>
      <w:r>
        <w:rPr>
          <w:rFonts w:hint="eastAsia" w:ascii="仿宋" w:hAnsi="仿宋" w:eastAsia="仿宋" w:cs="仿宋"/>
          <w:color w:val="000000" w:themeColor="text1"/>
          <w:sz w:val="32"/>
          <w:szCs w:val="32"/>
          <w:lang w:val="en-US" w:eastAsia="zh-CN"/>
          <w14:textFill>
            <w14:solidFill>
              <w14:schemeClr w14:val="tx1"/>
            </w14:solidFill>
          </w14:textFill>
        </w:rPr>
        <w:instrText xml:space="preserve"> HYPERLINK "https://www.ningjin.gov.cn/xxgk/content.jsp?contentId=34358&amp;___sys_cms_preview___=98ba7c2107939f8e0da499b500c12e413bf4f36371557a57758062e088c39d32" \t "https://www.ningjin.gov.cn/xxgk//core/content/_blank" </w:instrText>
      </w:r>
      <w:r>
        <w:rPr>
          <w:rFonts w:hint="eastAsia" w:ascii="仿宋" w:hAnsi="仿宋" w:eastAsia="仿宋" w:cs="仿宋"/>
          <w:color w:val="000000" w:themeColor="text1"/>
          <w:sz w:val="32"/>
          <w:szCs w:val="32"/>
          <w:lang w:val="en-US" w:eastAsia="zh-CN"/>
          <w14:textFill>
            <w14:solidFill>
              <w14:schemeClr w14:val="tx1"/>
            </w14:solidFill>
          </w14:textFill>
        </w:rPr>
        <w:fldChar w:fldCharType="separate"/>
      </w:r>
      <w:r>
        <w:rPr>
          <w:rFonts w:hint="eastAsia" w:ascii="仿宋" w:hAnsi="仿宋" w:eastAsia="仿宋" w:cs="仿宋"/>
          <w:color w:val="000000" w:themeColor="text1"/>
          <w:sz w:val="32"/>
          <w:szCs w:val="32"/>
          <w:lang w:val="en-US" w:eastAsia="zh-CN"/>
          <w14:textFill>
            <w14:solidFill>
              <w14:schemeClr w14:val="tx1"/>
            </w14:solidFill>
          </w14:textFill>
        </w:rPr>
        <w:t>苏家庄镇2023年法治政府建设工作报告</w:t>
      </w:r>
      <w:r>
        <w:rPr>
          <w:rFonts w:hint="eastAsia" w:ascii="仿宋" w:hAnsi="仿宋" w:eastAsia="仿宋" w:cs="仿宋"/>
          <w:color w:val="000000" w:themeColor="text1"/>
          <w:sz w:val="32"/>
          <w:szCs w:val="32"/>
          <w:lang w:val="en-US" w:eastAsia="zh-CN"/>
          <w14:textFill>
            <w14:solidFill>
              <w14:schemeClr w14:val="tx1"/>
            </w14:solidFill>
          </w14:textFill>
        </w:rPr>
        <w:fldChar w:fldCharType="end"/>
      </w:r>
      <w:r>
        <w:rPr>
          <w:rFonts w:hint="eastAsia" w:ascii="仿宋" w:hAnsi="仿宋" w:eastAsia="仿宋" w:cs="仿宋"/>
          <w:color w:val="000000" w:themeColor="text1"/>
          <w:sz w:val="32"/>
          <w:szCs w:val="32"/>
          <w:lang w:val="en-US" w:eastAsia="zh-CN"/>
          <w14:textFill>
            <w14:solidFill>
              <w14:schemeClr w14:val="tx1"/>
            </w14:solidFill>
          </w14:textFill>
        </w:rPr>
        <w:t>、关于《宁晋县苏家庄镇国土空间总体规划（2021-2035年）（公众意见征求稿）》公示的公告、宁晋县苏家庄镇人民政府2024年部门预算信息公开、宁晋县苏家庄镇人民政府2024年单位预算信息公开、宁晋县苏家庄镇人民政府2023年决算公开、苏家庄镇执法人员公示、行政处罚事后公开等信息进行主动公开。</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b w:val="0"/>
          <w:bCs w:val="0"/>
          <w:i w:val="0"/>
          <w:caps w:val="0"/>
          <w:color w:val="000000" w:themeColor="text1"/>
          <w:spacing w:val="0"/>
          <w:sz w:val="32"/>
          <w:szCs w:val="32"/>
          <w:lang w:val="en-US" w:eastAsia="zh-CN"/>
          <w14:textFill>
            <w14:solidFill>
              <w14:schemeClr w14:val="tx1"/>
            </w14:solidFill>
          </w14:textFill>
        </w:rPr>
        <w:t>（二）依申请公开情况。</w:t>
      </w:r>
      <w:r>
        <w:rPr>
          <w:rFonts w:hint="eastAsia" w:ascii="仿宋" w:hAnsi="仿宋" w:eastAsia="仿宋" w:cs="仿宋"/>
          <w:color w:val="000000" w:themeColor="text1"/>
          <w:sz w:val="32"/>
          <w:szCs w:val="32"/>
          <w:lang w:val="en-US" w:eastAsia="zh-CN"/>
          <w14:textFill>
            <w14:solidFill>
              <w14:schemeClr w14:val="tx1"/>
            </w14:solidFill>
          </w14:textFill>
        </w:rPr>
        <w:t>本年度，未收到依申请公开政府信息事项的申请，未发生因信息公开引起的行政复议、诉讼及相关公开和咨询情况。</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b w:val="0"/>
          <w:bCs w:val="0"/>
          <w:i w:val="0"/>
          <w:caps w:val="0"/>
          <w:color w:val="000000" w:themeColor="text1"/>
          <w:spacing w:val="0"/>
          <w:sz w:val="32"/>
          <w:szCs w:val="32"/>
          <w:lang w:val="en-US" w:eastAsia="zh-CN"/>
          <w14:textFill>
            <w14:solidFill>
              <w14:schemeClr w14:val="tx1"/>
            </w14:solidFill>
          </w14:textFill>
        </w:rPr>
        <w:t>（三）政府信息管理情况。</w:t>
      </w:r>
      <w:r>
        <w:rPr>
          <w:rFonts w:hint="eastAsia" w:ascii="仿宋" w:hAnsi="仿宋" w:eastAsia="仿宋" w:cs="仿宋"/>
          <w:color w:val="000000" w:themeColor="text1"/>
          <w:sz w:val="32"/>
          <w:szCs w:val="32"/>
          <w:lang w:val="en-US" w:eastAsia="zh-CN"/>
          <w14:textFill>
            <w14:solidFill>
              <w14:schemeClr w14:val="tx1"/>
            </w14:solidFill>
          </w14:textFill>
        </w:rPr>
        <w:t>我镇严格执行各项保密制度，并结合我单位实际，完善和实施有关政府信息公开工作制度，确保了政府信息公开工作规范、有序地开展。</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仿宋" w:hAnsi="仿宋" w:eastAsia="仿宋" w:cs="仿宋"/>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b w:val="0"/>
          <w:bCs w:val="0"/>
          <w:i w:val="0"/>
          <w:caps w:val="0"/>
          <w:color w:val="000000" w:themeColor="text1"/>
          <w:spacing w:val="0"/>
          <w:sz w:val="32"/>
          <w:szCs w:val="32"/>
          <w:lang w:val="en-US" w:eastAsia="zh-CN"/>
          <w14:textFill>
            <w14:solidFill>
              <w14:schemeClr w14:val="tx1"/>
            </w14:solidFill>
          </w14:textFill>
        </w:rPr>
        <w:t>（四）政府信息公开平台建设情况。</w:t>
      </w:r>
      <w:r>
        <w:rPr>
          <w:rFonts w:hint="eastAsia" w:ascii="仿宋" w:hAnsi="仿宋" w:eastAsia="仿宋" w:cs="仿宋"/>
          <w:color w:val="000000" w:themeColor="text1"/>
          <w:sz w:val="32"/>
          <w:szCs w:val="32"/>
          <w:lang w:val="en-US" w:eastAsia="zh-CN"/>
          <w14:textFill>
            <w14:solidFill>
              <w14:schemeClr w14:val="tx1"/>
            </w14:solidFill>
          </w14:textFill>
        </w:rPr>
        <w:t>按照上级要求，主动通过政务服务大厅等渠道加强政府信息公开平台宣传，引导群众登录查看各类信息。持续强化运用</w:t>
      </w:r>
      <w:r>
        <w:rPr>
          <w:rFonts w:hint="default" w:ascii="仿宋" w:hAnsi="仿宋" w:eastAsia="仿宋" w:cs="仿宋"/>
          <w:color w:val="000000" w:themeColor="text1"/>
          <w:sz w:val="32"/>
          <w:szCs w:val="32"/>
          <w:lang w:val="en-US" w:eastAsia="zh-CN"/>
          <w14:textFill>
            <w14:solidFill>
              <w14:schemeClr w14:val="tx1"/>
            </w14:solidFill>
          </w14:textFill>
        </w:rPr>
        <w:t>新型互联网平台及时推送工作动态，广泛宣传和转帖镇党委政府在贯彻落实中央重大决策方面取得的新成就、新做法。</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宋体" w:hAnsi="宋体" w:eastAsia="宋体" w:cs="宋体"/>
          <w:i w:val="0"/>
          <w:iCs w:val="0"/>
          <w:caps w:val="0"/>
          <w:color w:val="000000" w:themeColor="text1"/>
          <w:spacing w:val="0"/>
          <w:sz w:val="24"/>
          <w:szCs w:val="24"/>
          <w14:textFill>
            <w14:solidFill>
              <w14:schemeClr w14:val="tx1"/>
            </w14:solidFill>
          </w14:textFill>
        </w:rPr>
      </w:pPr>
      <w:r>
        <w:rPr>
          <w:rFonts w:hint="eastAsia" w:ascii="楷体_GB2312" w:hAnsi="楷体_GB2312" w:eastAsia="楷体_GB2312" w:cs="楷体_GB2312"/>
          <w:b w:val="0"/>
          <w:bCs w:val="0"/>
          <w:i w:val="0"/>
          <w:caps w:val="0"/>
          <w:color w:val="000000" w:themeColor="text1"/>
          <w:spacing w:val="0"/>
          <w:sz w:val="32"/>
          <w:szCs w:val="32"/>
          <w:lang w:val="en-US" w:eastAsia="zh-CN"/>
          <w14:textFill>
            <w14:solidFill>
              <w14:schemeClr w14:val="tx1"/>
            </w14:solidFill>
          </w14:textFill>
        </w:rPr>
        <w:t>（五）监督保障情况。</w:t>
      </w:r>
      <w:r>
        <w:rPr>
          <w:rFonts w:hint="eastAsia" w:ascii="仿宋" w:hAnsi="仿宋" w:eastAsia="仿宋" w:cs="仿宋"/>
          <w:color w:val="000000" w:themeColor="text1"/>
          <w:sz w:val="32"/>
          <w:szCs w:val="32"/>
          <w:lang w:val="en-US" w:eastAsia="zh-CN"/>
          <w14:textFill>
            <w14:solidFill>
              <w14:schemeClr w14:val="tx1"/>
            </w14:solidFill>
          </w14:textFill>
        </w:rPr>
        <w:t>根据上级相关政策要求，及时对我镇</w:t>
      </w:r>
      <w:r>
        <w:rPr>
          <w:rFonts w:hint="default" w:ascii="仿宋" w:hAnsi="仿宋" w:eastAsia="仿宋" w:cs="仿宋"/>
          <w:color w:val="000000" w:themeColor="text1"/>
          <w:sz w:val="32"/>
          <w:szCs w:val="32"/>
          <w:lang w:val="en-US" w:eastAsia="zh-CN"/>
          <w14:textFill>
            <w14:solidFill>
              <w14:schemeClr w14:val="tx1"/>
            </w14:solidFill>
          </w14:textFill>
        </w:rPr>
        <w:t>政务公开工作重点任务</w:t>
      </w:r>
      <w:r>
        <w:rPr>
          <w:rFonts w:hint="eastAsia" w:ascii="仿宋" w:hAnsi="仿宋" w:eastAsia="仿宋" w:cs="仿宋"/>
          <w:color w:val="000000" w:themeColor="text1"/>
          <w:sz w:val="32"/>
          <w:szCs w:val="32"/>
          <w:lang w:val="en-US" w:eastAsia="zh-CN"/>
          <w14:textFill>
            <w14:solidFill>
              <w14:schemeClr w14:val="tx1"/>
            </w14:solidFill>
          </w14:textFill>
        </w:rPr>
        <w:t>进行</w:t>
      </w:r>
      <w:r>
        <w:rPr>
          <w:rFonts w:hint="default" w:ascii="仿宋" w:hAnsi="仿宋" w:eastAsia="仿宋" w:cs="仿宋"/>
          <w:color w:val="000000" w:themeColor="text1"/>
          <w:sz w:val="32"/>
          <w:szCs w:val="32"/>
          <w:lang w:val="en-US" w:eastAsia="zh-CN"/>
          <w14:textFill>
            <w14:solidFill>
              <w14:schemeClr w14:val="tx1"/>
            </w14:solidFill>
          </w14:textFill>
        </w:rPr>
        <w:t>梳理形成台账，细化实化责任分工。</w:t>
      </w:r>
      <w:r>
        <w:rPr>
          <w:rFonts w:hint="eastAsia" w:ascii="仿宋" w:hAnsi="仿宋" w:eastAsia="仿宋" w:cs="仿宋"/>
          <w:color w:val="000000" w:themeColor="text1"/>
          <w:sz w:val="32"/>
          <w:szCs w:val="32"/>
          <w:lang w:val="en-US" w:eastAsia="zh-CN"/>
          <w14:textFill>
            <w14:solidFill>
              <w14:schemeClr w14:val="tx1"/>
            </w14:solidFill>
          </w14:textFill>
        </w:rPr>
        <w:t>定期对公开信息开展</w:t>
      </w:r>
      <w:r>
        <w:rPr>
          <w:rFonts w:hint="default" w:ascii="仿宋" w:hAnsi="仿宋" w:eastAsia="仿宋" w:cs="仿宋"/>
          <w:color w:val="000000" w:themeColor="text1"/>
          <w:sz w:val="32"/>
          <w:szCs w:val="32"/>
          <w:lang w:val="en-US" w:eastAsia="zh-CN"/>
          <w14:textFill>
            <w14:solidFill>
              <w14:schemeClr w14:val="tx1"/>
            </w14:solidFill>
          </w14:textFill>
        </w:rPr>
        <w:t>自查</w:t>
      </w:r>
      <w:r>
        <w:rPr>
          <w:rFonts w:hint="eastAsia" w:ascii="仿宋" w:hAnsi="仿宋" w:eastAsia="仿宋" w:cs="仿宋"/>
          <w:color w:val="000000" w:themeColor="text1"/>
          <w:sz w:val="32"/>
          <w:szCs w:val="32"/>
          <w:lang w:val="en-US" w:eastAsia="zh-CN"/>
          <w14:textFill>
            <w14:solidFill>
              <w14:schemeClr w14:val="tx1"/>
            </w14:solidFill>
          </w14:textFill>
        </w:rPr>
        <w:t>整改</w:t>
      </w:r>
      <w:r>
        <w:rPr>
          <w:rFonts w:hint="default" w:ascii="仿宋" w:hAnsi="仿宋" w:eastAsia="仿宋" w:cs="仿宋"/>
          <w:color w:val="000000" w:themeColor="text1"/>
          <w:sz w:val="32"/>
          <w:szCs w:val="32"/>
          <w:lang w:val="en-US" w:eastAsia="zh-CN"/>
          <w14:textFill>
            <w14:solidFill>
              <w14:schemeClr w14:val="tx1"/>
            </w14:solidFill>
          </w14:textFill>
        </w:rPr>
        <w:t>，</w:t>
      </w:r>
      <w:r>
        <w:rPr>
          <w:rFonts w:hint="eastAsia" w:ascii="仿宋" w:hAnsi="仿宋" w:eastAsia="仿宋" w:cs="仿宋"/>
          <w:color w:val="000000" w:themeColor="text1"/>
          <w:sz w:val="32"/>
          <w:szCs w:val="32"/>
          <w:lang w:val="en-US" w:eastAsia="zh-CN"/>
          <w14:textFill>
            <w14:solidFill>
              <w14:schemeClr w14:val="tx1"/>
            </w14:solidFill>
          </w14:textFill>
        </w:rPr>
        <w:t>定期不定期</w:t>
      </w:r>
      <w:r>
        <w:rPr>
          <w:rFonts w:hint="default" w:ascii="仿宋" w:hAnsi="仿宋" w:eastAsia="仿宋" w:cs="仿宋"/>
          <w:color w:val="000000" w:themeColor="text1"/>
          <w:sz w:val="32"/>
          <w:szCs w:val="32"/>
          <w:lang w:val="en-US" w:eastAsia="zh-CN"/>
          <w14:textFill>
            <w14:solidFill>
              <w14:schemeClr w14:val="tx1"/>
            </w14:solidFill>
          </w14:textFill>
        </w:rPr>
        <w:t>组织</w:t>
      </w:r>
      <w:r>
        <w:rPr>
          <w:rFonts w:hint="eastAsia" w:ascii="仿宋" w:hAnsi="仿宋" w:eastAsia="仿宋" w:cs="仿宋"/>
          <w:color w:val="000000" w:themeColor="text1"/>
          <w:sz w:val="32"/>
          <w:szCs w:val="32"/>
          <w:lang w:val="en-US" w:eastAsia="zh-CN"/>
          <w14:textFill>
            <w14:solidFill>
              <w14:schemeClr w14:val="tx1"/>
            </w14:solidFill>
          </w14:textFill>
        </w:rPr>
        <w:t>镇相关工作人员进行业务能力</w:t>
      </w:r>
      <w:r>
        <w:rPr>
          <w:rFonts w:hint="default" w:ascii="仿宋" w:hAnsi="仿宋" w:eastAsia="仿宋" w:cs="仿宋"/>
          <w:color w:val="000000" w:themeColor="text1"/>
          <w:sz w:val="32"/>
          <w:szCs w:val="32"/>
          <w:lang w:val="en-US" w:eastAsia="zh-CN"/>
          <w14:textFill>
            <w14:solidFill>
              <w14:schemeClr w14:val="tx1"/>
            </w14:solidFill>
          </w14:textFill>
        </w:rPr>
        <w:t>培训活动</w:t>
      </w:r>
      <w:r>
        <w:rPr>
          <w:rFonts w:hint="eastAsia" w:ascii="仿宋" w:hAnsi="仿宋" w:eastAsia="仿宋" w:cs="仿宋"/>
          <w:color w:val="000000" w:themeColor="text1"/>
          <w:sz w:val="32"/>
          <w:szCs w:val="32"/>
          <w:lang w:val="en-US" w:eastAsia="zh-CN"/>
          <w14:textFill>
            <w14:solidFill>
              <w14:schemeClr w14:val="tx1"/>
            </w14:solidFill>
          </w14:textFill>
        </w:rPr>
        <w:t>，不断提升业务能力，确保在工作中不出现任何问题</w:t>
      </w:r>
      <w:r>
        <w:rPr>
          <w:rFonts w:hint="default" w:ascii="仿宋" w:hAnsi="仿宋" w:eastAsia="仿宋" w:cs="仿宋"/>
          <w:color w:val="000000" w:themeColor="text1"/>
          <w:sz w:val="32"/>
          <w:szCs w:val="32"/>
          <w:lang w:val="en-US" w:eastAsia="zh-CN"/>
          <w14:textFill>
            <w14:solidFill>
              <w14:schemeClr w14:val="tx1"/>
            </w14:solidFill>
          </w14:textFill>
        </w:rPr>
        <w:t xml:space="preserve">。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000000" w:themeColor="text1"/>
          <w:spacing w:val="0"/>
          <w:sz w:val="24"/>
          <w:szCs w:val="24"/>
          <w14:textFill>
            <w14:solidFill>
              <w14:schemeClr w14:val="tx1"/>
            </w14:solidFill>
          </w14:textFill>
        </w:rPr>
      </w:pPr>
      <w:r>
        <w:rPr>
          <w:rFonts w:hint="eastAsia" w:ascii="宋体" w:hAnsi="宋体" w:eastAsia="宋体" w:cs="宋体"/>
          <w:b/>
          <w:bCs/>
          <w:i w:val="0"/>
          <w:iCs w:val="0"/>
          <w:caps w:val="0"/>
          <w:color w:val="000000" w:themeColor="text1"/>
          <w:spacing w:val="0"/>
          <w:sz w:val="24"/>
          <w:szCs w:val="24"/>
          <w:shd w:val="clear" w:fill="FFFFFF"/>
          <w14:textFill>
            <w14:solidFill>
              <w14:schemeClr w14:val="tx1"/>
            </w14:solidFill>
          </w14:textFill>
        </w:rPr>
        <w:t>二、主动公开政府信息情况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000000" w:themeColor="text1"/>
          <w:spacing w:val="0"/>
          <w:sz w:val="24"/>
          <w:szCs w:val="24"/>
          <w14:textFill>
            <w14:solidFill>
              <w14:schemeClr w14:val="tx1"/>
            </w14:solidFill>
          </w14:textFill>
        </w:rPr>
      </w:pPr>
    </w:p>
    <w:tbl>
      <w:tblPr>
        <w:tblStyle w:val="4"/>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本年</w:t>
            </w:r>
            <w:r>
              <w:rPr>
                <w:rFonts w:hint="eastAsia" w:ascii="宋体" w:hAnsi="宋体" w:eastAsia="宋体" w:cs="宋体"/>
                <w:color w:val="000000" w:themeColor="text1"/>
                <w:kern w:val="0"/>
                <w:sz w:val="20"/>
                <w:szCs w:val="20"/>
                <w:lang w:val="en-US" w:eastAsia="zh-CN" w:bidi="ar"/>
                <w14:textFill>
                  <w14:solidFill>
                    <w14:schemeClr w14:val="tx1"/>
                  </w14:solidFill>
                </w14:textFill>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现行有效件</w:t>
            </w:r>
            <w:r>
              <w:rPr>
                <w:rFonts w:hint="eastAsia" w:ascii="宋体" w:hAnsi="宋体" w:eastAsia="宋体" w:cs="宋体"/>
                <w:color w:val="000000" w:themeColor="text1"/>
                <w:kern w:val="0"/>
                <w:sz w:val="20"/>
                <w:szCs w:val="20"/>
                <w:lang w:val="en-US" w:eastAsia="zh-CN" w:bidi="ar"/>
                <w14:textFill>
                  <w14:solidFill>
                    <w14:schemeClr w14:val="tx1"/>
                  </w14:solidFill>
                </w14:textFill>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eastAsia" w:ascii="Calibri" w:hAnsi="Calibri" w:cs="Calibri"/>
                <w:color w:val="000000" w:themeColor="text1"/>
                <w:kern w:val="0"/>
                <w:sz w:val="21"/>
                <w:szCs w:val="21"/>
                <w:lang w:val="en-US" w:eastAsia="zh-CN" w:bidi="ar"/>
                <w14:textFill>
                  <w14:solidFill>
                    <w14:schemeClr w14:val="tx1"/>
                  </w14:solidFill>
                </w14:textFill>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eastAsia" w:ascii="Calibri" w:hAnsi="Calibri" w:cs="Calibri"/>
                <w:color w:val="000000" w:themeColor="text1"/>
                <w:kern w:val="0"/>
                <w:sz w:val="21"/>
                <w:szCs w:val="21"/>
                <w:lang w:val="en-US" w:eastAsia="zh-CN" w:bidi="ar"/>
                <w14:textFill>
                  <w14:solidFill>
                    <w14:schemeClr w14:val="tx1"/>
                  </w14:solidFill>
                </w14:textFill>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eastAsia" w:ascii="Calibri" w:hAnsi="Calibri" w:cs="Calibri"/>
                <w:color w:val="000000" w:themeColor="text1"/>
                <w:kern w:val="0"/>
                <w:sz w:val="21"/>
                <w:szCs w:val="21"/>
                <w:lang w:val="en-US" w:eastAsia="zh-CN" w:bidi="ar"/>
                <w14:textFill>
                  <w14:solidFill>
                    <w14:schemeClr w14:val="tx1"/>
                  </w14:solidFill>
                </w14:textFill>
              </w:rPr>
              <w:t>1312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52</w:t>
            </w:r>
            <w:bookmarkStart w:id="0" w:name="_GoBack"/>
            <w:bookmarkEnd w:id="0"/>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eastAsia" w:ascii="宋体" w:eastAsiaTheme="minorEastAsia"/>
                <w:color w:val="000000" w:themeColor="text1"/>
                <w:sz w:val="24"/>
                <w:szCs w:val="24"/>
                <w:lang w:val="en-US" w:eastAsia="zh-CN"/>
                <w14:textFill>
                  <w14:solidFill>
                    <w14:schemeClr w14:val="tx1"/>
                  </w14:solidFill>
                </w14:textFill>
              </w:rPr>
            </w:pPr>
            <w:r>
              <w:rPr>
                <w:rFonts w:hint="eastAsia" w:ascii="宋体"/>
                <w:color w:val="000000" w:themeColor="text1"/>
                <w:sz w:val="24"/>
                <w:szCs w:val="24"/>
                <w:lang w:val="en-US" w:eastAsia="zh-CN"/>
                <w14:textFill>
                  <w14:solidFill>
                    <w14:schemeClr w14:val="tx1"/>
                  </w14:solidFill>
                </w14:textFill>
              </w:rPr>
              <w:t>0</w:t>
            </w:r>
          </w:p>
        </w:tc>
      </w:tr>
    </w:tbl>
    <w:p>
      <w:pPr>
        <w:keepNext w:val="0"/>
        <w:keepLines w:val="0"/>
        <w:widowControl/>
        <w:suppressLineNumbers w:val="0"/>
        <w:jc w:val="left"/>
        <w:rPr>
          <w:color w:val="000000" w:themeColor="text1"/>
          <w14:textFill>
            <w14:solidFill>
              <w14:schemeClr w14:val="tx1"/>
            </w14:solidFill>
          </w14:textFill>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000000" w:themeColor="text1"/>
          <w:spacing w:val="0"/>
          <w:sz w:val="24"/>
          <w:szCs w:val="24"/>
          <w14:textFill>
            <w14:solidFill>
              <w14:schemeClr w14:val="tx1"/>
            </w14:solidFill>
          </w14:textFill>
        </w:rPr>
      </w:pPr>
      <w:r>
        <w:rPr>
          <w:rFonts w:hint="eastAsia" w:ascii="宋体" w:hAnsi="宋体" w:eastAsia="宋体" w:cs="宋体"/>
          <w:b/>
          <w:bCs/>
          <w:i w:val="0"/>
          <w:iCs w:val="0"/>
          <w:caps w:val="0"/>
          <w:color w:val="000000" w:themeColor="text1"/>
          <w:spacing w:val="0"/>
          <w:sz w:val="24"/>
          <w:szCs w:val="24"/>
          <w:shd w:val="clear" w:fill="FFFFFF"/>
          <w14:textFill>
            <w14:solidFill>
              <w14:schemeClr w14:val="tx1"/>
            </w14:solidFill>
          </w14:textFill>
        </w:rPr>
        <w:t>三、收到和处理政府信息公开申请情况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000000" w:themeColor="text1"/>
          <w:spacing w:val="0"/>
          <w:sz w:val="24"/>
          <w:szCs w:val="24"/>
          <w14:textFill>
            <w14:solidFill>
              <w14:schemeClr w14:val="tx1"/>
            </w14:solidFill>
          </w14:textFill>
        </w:rPr>
      </w:pPr>
    </w:p>
    <w:tbl>
      <w:tblPr>
        <w:tblStyle w:val="4"/>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楷体" w:hAnsi="楷体" w:eastAsia="楷体" w:cs="楷体"/>
                <w:color w:val="000000" w:themeColor="text1"/>
                <w:kern w:val="0"/>
                <w:sz w:val="20"/>
                <w:szCs w:val="20"/>
                <w:lang w:val="en-US" w:eastAsia="zh-CN" w:bidi="ar"/>
                <w14:textFill>
                  <w14:solidFill>
                    <w14:schemeClr w14:val="tx1"/>
                  </w14:solidFill>
                </w14:textFill>
              </w:rPr>
              <w:t>（本列数据的勾稽关系为：第一项加第二项之和，等于第三项加第四项之和）</w:t>
            </w:r>
          </w:p>
        </w:tc>
        <w:tc>
          <w:tcPr>
            <w:tcW w:w="4998"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color w:val="000000" w:themeColor="text1"/>
                <w:sz w:val="24"/>
                <w:szCs w:val="24"/>
                <w14:textFill>
                  <w14:solidFill>
                    <w14:schemeClr w14:val="tx1"/>
                  </w14:solidFill>
                </w14:textFill>
              </w:rPr>
            </w:pPr>
          </w:p>
        </w:tc>
        <w:tc>
          <w:tcPr>
            <w:tcW w:w="714"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自然人</w:t>
            </w:r>
          </w:p>
        </w:tc>
        <w:tc>
          <w:tcPr>
            <w:tcW w:w="357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法人或其他组织</w:t>
            </w:r>
          </w:p>
        </w:tc>
        <w:tc>
          <w:tcPr>
            <w:tcW w:w="714"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color w:val="000000" w:themeColor="text1"/>
                <w:sz w:val="24"/>
                <w:szCs w:val="24"/>
                <w14:textFill>
                  <w14:solidFill>
                    <w14:schemeClr w14:val="tx1"/>
                  </w14:solidFill>
                </w14:textFill>
              </w:rPr>
            </w:pPr>
          </w:p>
        </w:tc>
        <w:tc>
          <w:tcPr>
            <w:tcW w:w="714"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企业</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机构</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社会公益组织</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法律服务机构</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其他</w:t>
            </w:r>
          </w:p>
        </w:tc>
        <w:tc>
          <w:tcPr>
            <w:tcW w:w="714"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一、本年新收政府信息公开申请数量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color w:val="000000" w:themeColor="text1"/>
                <w:lang w:val="en-US"/>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color w:val="000000" w:themeColor="text1"/>
                <w:lang w:val="en-US"/>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color w:val="000000" w:themeColor="text1"/>
                <w:lang w:val="en-US"/>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color w:val="000000" w:themeColor="text1"/>
                <w:lang w:val="en-US"/>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二、上年结转政府信息公开申请数量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color w:val="000000" w:themeColor="text1"/>
                <w:lang w:val="en-US"/>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color w:val="000000" w:themeColor="text1"/>
                <w:lang w:val="en-US"/>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color w:val="000000" w:themeColor="text1"/>
                <w:lang w:val="en-US"/>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三、本年度办理结果</w:t>
            </w: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（一）予以公开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（二）部分公开</w:t>
            </w:r>
            <w:r>
              <w:rPr>
                <w:rFonts w:hint="eastAsia" w:ascii="楷体" w:hAnsi="楷体" w:eastAsia="楷体" w:cs="楷体"/>
                <w:color w:val="000000" w:themeColor="text1"/>
                <w:kern w:val="0"/>
                <w:sz w:val="20"/>
                <w:szCs w:val="20"/>
                <w:lang w:val="en-US" w:eastAsia="zh-CN" w:bidi="ar"/>
                <w14:textFill>
                  <w14:solidFill>
                    <w14:schemeClr w14:val="tx1"/>
                  </w14:solidFill>
                </w14:textFill>
              </w:rPr>
              <w:t>（区分处理的，只计这一情形，不计其他情形）</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（三）不予公开</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1.属于国家秘密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2.其他法律行政法规禁止公开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3.危及“三安全一稳定”</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4.保护第三方合法权益</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5.属于三类内部事务信息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6.属于四类过程性信息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7.属于行政执法案卷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8.属于行政查询事项</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（四）无法提供</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1.本机关不掌握相关政府信息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2.没有现成信息需要另行制作</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3.补正后申请内容仍不明确</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（五）不予处理</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1.信访举报投诉类申请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2.重复申请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3.要求提供公开出版物</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4.无正当理由大量反复申请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3406"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5.要求行政机关确认或重新出具已获取信息</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959"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（六）其他处理</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1.申请人无正当理由逾期不补正、行政机关不再处理其政府信息公开申请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95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2.申请人逾期未按收费通知要求缴纳费用、行政机关不再处理其政府信息公开申请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95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3.其他</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000000" w:themeColor="text1"/>
                <w:sz w:val="24"/>
                <w:szCs w:val="24"/>
                <w14:textFill>
                  <w14:solidFill>
                    <w14:schemeClr w14:val="tx1"/>
                  </w14:solidFill>
                </w14:textFill>
              </w:rPr>
            </w:pP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（七）总计</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四、结转下年度继续办理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宋体"/>
                <w:color w:val="000000" w:themeColor="text1"/>
                <w:sz w:val="24"/>
                <w:szCs w:val="24"/>
                <w14:textFill>
                  <w14:solidFill>
                    <w14:schemeClr w14:val="tx1"/>
                  </w14:solidFill>
                </w14:textFill>
              </w:rPr>
            </w:pPr>
            <w:r>
              <w:rPr>
                <w:rFonts w:hint="eastAsia"/>
                <w:color w:val="000000" w:themeColor="text1"/>
                <w:lang w:val="en-US" w:eastAsia="zh-CN"/>
                <w14:textFill>
                  <w14:solidFill>
                    <w14:schemeClr w14:val="tx1"/>
                  </w14:solidFill>
                </w14:textFill>
              </w:rPr>
              <w:t>0</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000000" w:themeColor="text1"/>
          <w:spacing w:val="0"/>
          <w:sz w:val="24"/>
          <w:szCs w:val="24"/>
          <w14:textFill>
            <w14:solidFill>
              <w14:schemeClr w14:val="tx1"/>
            </w14:solidFill>
          </w14:textFill>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000000" w:themeColor="text1"/>
          <w:spacing w:val="0"/>
          <w:sz w:val="24"/>
          <w:szCs w:val="24"/>
          <w14:textFill>
            <w14:solidFill>
              <w14:schemeClr w14:val="tx1"/>
            </w14:solidFill>
          </w14:textFill>
        </w:rPr>
      </w:pPr>
      <w:r>
        <w:rPr>
          <w:rFonts w:hint="eastAsia" w:ascii="宋体" w:hAnsi="宋体" w:eastAsia="宋体" w:cs="宋体"/>
          <w:b/>
          <w:bCs/>
          <w:i w:val="0"/>
          <w:iCs w:val="0"/>
          <w:caps w:val="0"/>
          <w:color w:val="000000" w:themeColor="text1"/>
          <w:spacing w:val="0"/>
          <w:sz w:val="24"/>
          <w:szCs w:val="24"/>
          <w:shd w:val="clear" w:fill="FFFFFF"/>
          <w14:textFill>
            <w14:solidFill>
              <w14:schemeClr w14:val="tx1"/>
            </w14:solidFill>
          </w14:textFill>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000000" w:themeColor="text1"/>
          <w:spacing w:val="0"/>
          <w:sz w:val="24"/>
          <w:szCs w:val="24"/>
          <w14:textFill>
            <w14:solidFill>
              <w14:schemeClr w14:val="tx1"/>
            </w14:solidFill>
          </w14:textFill>
        </w:rPr>
      </w:pPr>
    </w:p>
    <w:tbl>
      <w:tblPr>
        <w:tblStyle w:val="4"/>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结果</w:t>
            </w:r>
            <w:r>
              <w:rPr>
                <w:rFonts w:hint="eastAsia" w:ascii="宋体" w:hAnsi="宋体" w:eastAsia="宋体" w:cs="宋体"/>
                <w:color w:val="000000" w:themeColor="text1"/>
                <w:kern w:val="0"/>
                <w:sz w:val="20"/>
                <w:szCs w:val="20"/>
                <w:lang w:val="en-US" w:eastAsia="zh-CN" w:bidi="ar"/>
                <w14:textFill>
                  <w14:solidFill>
                    <w14:schemeClr w14:val="tx1"/>
                  </w14:solidFill>
                </w14:textFill>
              </w:rPr>
              <w:br w:type="textWrapping"/>
            </w:r>
            <w:r>
              <w:rPr>
                <w:rFonts w:hint="eastAsia" w:ascii="宋体" w:hAnsi="宋体" w:eastAsia="宋体" w:cs="宋体"/>
                <w:color w:val="000000" w:themeColor="text1"/>
                <w:kern w:val="0"/>
                <w:sz w:val="20"/>
                <w:szCs w:val="20"/>
                <w:lang w:val="en-US" w:eastAsia="zh-CN" w:bidi="ar"/>
                <w14:textFill>
                  <w14:solidFill>
                    <w14:schemeClr w14:val="tx1"/>
                  </w14:solidFill>
                </w14:textFill>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其他</w:t>
            </w:r>
            <w:r>
              <w:rPr>
                <w:rFonts w:hint="eastAsia" w:ascii="宋体" w:hAnsi="宋体" w:eastAsia="宋体" w:cs="宋体"/>
                <w:color w:val="000000" w:themeColor="text1"/>
                <w:kern w:val="0"/>
                <w:sz w:val="20"/>
                <w:szCs w:val="20"/>
                <w:lang w:val="en-US" w:eastAsia="zh-CN" w:bidi="ar"/>
                <w14:textFill>
                  <w14:solidFill>
                    <w14:schemeClr w14:val="tx1"/>
                  </w14:solidFill>
                </w14:textFill>
              </w:rPr>
              <w:br w:type="textWrapping"/>
            </w:r>
            <w:r>
              <w:rPr>
                <w:rFonts w:hint="eastAsia" w:ascii="宋体" w:hAnsi="宋体" w:eastAsia="宋体" w:cs="宋体"/>
                <w:color w:val="000000" w:themeColor="text1"/>
                <w:kern w:val="0"/>
                <w:sz w:val="20"/>
                <w:szCs w:val="20"/>
                <w:lang w:val="en-US" w:eastAsia="zh-CN" w:bidi="ar"/>
                <w14:textFill>
                  <w14:solidFill>
                    <w14:schemeClr w14:val="tx1"/>
                  </w14:solidFill>
                </w14:textFill>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尚未</w:t>
            </w:r>
            <w:r>
              <w:rPr>
                <w:rFonts w:hint="eastAsia" w:ascii="宋体" w:hAnsi="宋体" w:eastAsia="宋体" w:cs="宋体"/>
                <w:color w:val="000000" w:themeColor="text1"/>
                <w:kern w:val="0"/>
                <w:sz w:val="20"/>
                <w:szCs w:val="20"/>
                <w:lang w:val="en-US" w:eastAsia="zh-CN" w:bidi="ar"/>
                <w14:textFill>
                  <w14:solidFill>
                    <w14:schemeClr w14:val="tx1"/>
                  </w14:solidFill>
                </w14:textFill>
              </w:rPr>
              <w:br w:type="textWrapping"/>
            </w:r>
            <w:r>
              <w:rPr>
                <w:rFonts w:hint="eastAsia" w:ascii="宋体" w:hAnsi="宋体" w:eastAsia="宋体" w:cs="宋体"/>
                <w:color w:val="000000" w:themeColor="text1"/>
                <w:kern w:val="0"/>
                <w:sz w:val="20"/>
                <w:szCs w:val="20"/>
                <w:lang w:val="en-US" w:eastAsia="zh-CN" w:bidi="ar"/>
                <w14:textFill>
                  <w14:solidFill>
                    <w14:schemeClr w14:val="tx1"/>
                  </w14:solidFill>
                </w14:textFill>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color w:val="000000" w:themeColor="text1"/>
                <w:sz w:val="24"/>
                <w:szCs w:val="24"/>
                <w14:textFill>
                  <w14:solidFill>
                    <w14:schemeClr w14:val="tx1"/>
                  </w14:solidFill>
                </w14:textFill>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color w:val="000000" w:themeColor="text1"/>
                <w:sz w:val="24"/>
                <w:szCs w:val="24"/>
                <w14:textFill>
                  <w14:solidFill>
                    <w14:schemeClr w14:val="tx1"/>
                  </w14:solidFill>
                </w14:textFill>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color w:val="000000" w:themeColor="text1"/>
                <w:sz w:val="24"/>
                <w:szCs w:val="24"/>
                <w14:textFill>
                  <w14:solidFill>
                    <w14:schemeClr w14:val="tx1"/>
                  </w14:solidFill>
                </w14:textFill>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color w:val="000000" w:themeColor="text1"/>
                <w:sz w:val="24"/>
                <w:szCs w:val="24"/>
                <w14:textFill>
                  <w14:solidFill>
                    <w14:schemeClr w14:val="tx1"/>
                  </w14:solidFill>
                </w14:textFill>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color w:val="000000" w:themeColor="text1"/>
                <w:sz w:val="24"/>
                <w:szCs w:val="24"/>
                <w14:textFill>
                  <w14:solidFill>
                    <w14:schemeClr w14:val="tx1"/>
                  </w14:solidFill>
                </w14:textFill>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结果</w:t>
            </w:r>
            <w:r>
              <w:rPr>
                <w:rFonts w:hint="eastAsia" w:ascii="宋体" w:hAnsi="宋体" w:eastAsia="宋体" w:cs="宋体"/>
                <w:color w:val="000000" w:themeColor="text1"/>
                <w:kern w:val="0"/>
                <w:sz w:val="20"/>
                <w:szCs w:val="20"/>
                <w:lang w:val="en-US" w:eastAsia="zh-CN" w:bidi="ar"/>
                <w14:textFill>
                  <w14:solidFill>
                    <w14:schemeClr w14:val="tx1"/>
                  </w14:solidFill>
                </w14:textFill>
              </w:rPr>
              <w:br w:type="textWrapping"/>
            </w:r>
            <w:r>
              <w:rPr>
                <w:rFonts w:hint="eastAsia" w:ascii="宋体" w:hAnsi="宋体" w:eastAsia="宋体" w:cs="宋体"/>
                <w:color w:val="000000" w:themeColor="text1"/>
                <w:kern w:val="0"/>
                <w:sz w:val="20"/>
                <w:szCs w:val="20"/>
                <w:lang w:val="en-US" w:eastAsia="zh-CN" w:bidi="ar"/>
                <w14:textFill>
                  <w14:solidFill>
                    <w14:schemeClr w14:val="tx1"/>
                  </w14:solidFill>
                </w14:textFill>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结果</w:t>
            </w:r>
            <w:r>
              <w:rPr>
                <w:rFonts w:hint="eastAsia" w:ascii="宋体" w:hAnsi="宋体" w:eastAsia="宋体" w:cs="宋体"/>
                <w:color w:val="000000" w:themeColor="text1"/>
                <w:kern w:val="0"/>
                <w:sz w:val="20"/>
                <w:szCs w:val="20"/>
                <w:lang w:val="en-US" w:eastAsia="zh-CN" w:bidi="ar"/>
                <w14:textFill>
                  <w14:solidFill>
                    <w14:schemeClr w14:val="tx1"/>
                  </w14:solidFill>
                </w14:textFill>
              </w:rPr>
              <w:br w:type="textWrapping"/>
            </w:r>
            <w:r>
              <w:rPr>
                <w:rFonts w:hint="eastAsia" w:ascii="宋体" w:hAnsi="宋体" w:eastAsia="宋体" w:cs="宋体"/>
                <w:color w:val="000000" w:themeColor="text1"/>
                <w:kern w:val="0"/>
                <w:sz w:val="20"/>
                <w:szCs w:val="20"/>
                <w:lang w:val="en-US" w:eastAsia="zh-CN" w:bidi="ar"/>
                <w14:textFill>
                  <w14:solidFill>
                    <w14:schemeClr w14:val="tx1"/>
                  </w14:solidFill>
                </w14:textFill>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其他</w:t>
            </w:r>
            <w:r>
              <w:rPr>
                <w:rFonts w:hint="eastAsia" w:ascii="宋体" w:hAnsi="宋体" w:eastAsia="宋体" w:cs="宋体"/>
                <w:color w:val="000000" w:themeColor="text1"/>
                <w:kern w:val="0"/>
                <w:sz w:val="20"/>
                <w:szCs w:val="20"/>
                <w:lang w:val="en-US" w:eastAsia="zh-CN" w:bidi="ar"/>
                <w14:textFill>
                  <w14:solidFill>
                    <w14:schemeClr w14:val="tx1"/>
                  </w14:solidFill>
                </w14:textFill>
              </w:rPr>
              <w:br w:type="textWrapping"/>
            </w:r>
            <w:r>
              <w:rPr>
                <w:rFonts w:hint="eastAsia" w:ascii="宋体" w:hAnsi="宋体" w:eastAsia="宋体" w:cs="宋体"/>
                <w:color w:val="000000" w:themeColor="text1"/>
                <w:kern w:val="0"/>
                <w:sz w:val="20"/>
                <w:szCs w:val="20"/>
                <w:lang w:val="en-US" w:eastAsia="zh-CN" w:bidi="ar"/>
                <w14:textFill>
                  <w14:solidFill>
                    <w14:schemeClr w14:val="tx1"/>
                  </w14:solidFill>
                </w14:textFill>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尚未</w:t>
            </w:r>
            <w:r>
              <w:rPr>
                <w:rFonts w:hint="eastAsia" w:ascii="宋体" w:hAnsi="宋体" w:eastAsia="宋体" w:cs="宋体"/>
                <w:color w:val="000000" w:themeColor="text1"/>
                <w:kern w:val="0"/>
                <w:sz w:val="20"/>
                <w:szCs w:val="20"/>
                <w:lang w:val="en-US" w:eastAsia="zh-CN" w:bidi="ar"/>
                <w14:textFill>
                  <w14:solidFill>
                    <w14:schemeClr w14:val="tx1"/>
                  </w14:solidFill>
                </w14:textFill>
              </w:rPr>
              <w:br w:type="textWrapping"/>
            </w:r>
            <w:r>
              <w:rPr>
                <w:rFonts w:hint="eastAsia" w:ascii="宋体" w:hAnsi="宋体" w:eastAsia="宋体" w:cs="宋体"/>
                <w:color w:val="000000" w:themeColor="text1"/>
                <w:kern w:val="0"/>
                <w:sz w:val="20"/>
                <w:szCs w:val="20"/>
                <w:lang w:val="en-US" w:eastAsia="zh-CN" w:bidi="ar"/>
                <w14:textFill>
                  <w14:solidFill>
                    <w14:schemeClr w14:val="tx1"/>
                  </w14:solidFill>
                </w14:textFill>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结果</w:t>
            </w:r>
            <w:r>
              <w:rPr>
                <w:rFonts w:hint="eastAsia" w:ascii="宋体" w:hAnsi="宋体" w:eastAsia="宋体" w:cs="宋体"/>
                <w:color w:val="000000" w:themeColor="text1"/>
                <w:kern w:val="0"/>
                <w:sz w:val="20"/>
                <w:szCs w:val="20"/>
                <w:lang w:val="en-US" w:eastAsia="zh-CN" w:bidi="ar"/>
                <w14:textFill>
                  <w14:solidFill>
                    <w14:schemeClr w14:val="tx1"/>
                  </w14:solidFill>
                </w14:textFill>
              </w:rPr>
              <w:br w:type="textWrapping"/>
            </w:r>
            <w:r>
              <w:rPr>
                <w:rFonts w:hint="eastAsia" w:ascii="宋体" w:hAnsi="宋体" w:eastAsia="宋体" w:cs="宋体"/>
                <w:color w:val="000000" w:themeColor="text1"/>
                <w:kern w:val="0"/>
                <w:sz w:val="20"/>
                <w:szCs w:val="20"/>
                <w:lang w:val="en-US" w:eastAsia="zh-CN" w:bidi="ar"/>
                <w14:textFill>
                  <w14:solidFill>
                    <w14:schemeClr w14:val="tx1"/>
                  </w14:solidFill>
                </w14:textFill>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结果</w:t>
            </w:r>
            <w:r>
              <w:rPr>
                <w:rFonts w:hint="eastAsia" w:ascii="宋体" w:hAnsi="宋体" w:eastAsia="宋体" w:cs="宋体"/>
                <w:color w:val="000000" w:themeColor="text1"/>
                <w:kern w:val="0"/>
                <w:sz w:val="20"/>
                <w:szCs w:val="20"/>
                <w:lang w:val="en-US" w:eastAsia="zh-CN" w:bidi="ar"/>
                <w14:textFill>
                  <w14:solidFill>
                    <w14:schemeClr w14:val="tx1"/>
                  </w14:solidFill>
                </w14:textFill>
              </w:rPr>
              <w:br w:type="textWrapping"/>
            </w:r>
            <w:r>
              <w:rPr>
                <w:rFonts w:hint="eastAsia" w:ascii="宋体" w:hAnsi="宋体" w:eastAsia="宋体" w:cs="宋体"/>
                <w:color w:val="000000" w:themeColor="text1"/>
                <w:kern w:val="0"/>
                <w:sz w:val="20"/>
                <w:szCs w:val="20"/>
                <w:lang w:val="en-US" w:eastAsia="zh-CN" w:bidi="ar"/>
                <w14:textFill>
                  <w14:solidFill>
                    <w14:schemeClr w14:val="tx1"/>
                  </w14:solidFill>
                </w14:textFill>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其他</w:t>
            </w:r>
            <w:r>
              <w:rPr>
                <w:rFonts w:hint="eastAsia" w:ascii="宋体" w:hAnsi="宋体" w:eastAsia="宋体" w:cs="宋体"/>
                <w:color w:val="000000" w:themeColor="text1"/>
                <w:kern w:val="0"/>
                <w:sz w:val="20"/>
                <w:szCs w:val="20"/>
                <w:lang w:val="en-US" w:eastAsia="zh-CN" w:bidi="ar"/>
                <w14:textFill>
                  <w14:solidFill>
                    <w14:schemeClr w14:val="tx1"/>
                  </w14:solidFill>
                </w14:textFill>
              </w:rPr>
              <w:br w:type="textWrapping"/>
            </w:r>
            <w:r>
              <w:rPr>
                <w:rFonts w:hint="eastAsia" w:ascii="宋体" w:hAnsi="宋体" w:eastAsia="宋体" w:cs="宋体"/>
                <w:color w:val="000000" w:themeColor="text1"/>
                <w:kern w:val="0"/>
                <w:sz w:val="20"/>
                <w:szCs w:val="20"/>
                <w:lang w:val="en-US" w:eastAsia="zh-CN" w:bidi="ar"/>
                <w14:textFill>
                  <w14:solidFill>
                    <w14:schemeClr w14:val="tx1"/>
                  </w14:solidFill>
                </w14:textFill>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尚未</w:t>
            </w:r>
            <w:r>
              <w:rPr>
                <w:rFonts w:hint="eastAsia" w:ascii="宋体" w:hAnsi="宋体" w:eastAsia="宋体" w:cs="宋体"/>
                <w:color w:val="000000" w:themeColor="text1"/>
                <w:kern w:val="0"/>
                <w:sz w:val="20"/>
                <w:szCs w:val="20"/>
                <w:lang w:val="en-US" w:eastAsia="zh-CN" w:bidi="ar"/>
                <w14:textFill>
                  <w14:solidFill>
                    <w14:schemeClr w14:val="tx1"/>
                  </w14:solidFill>
                </w14:textFill>
              </w:rPr>
              <w:br w:type="textWrapping"/>
            </w:r>
            <w:r>
              <w:rPr>
                <w:rFonts w:hint="eastAsia" w:ascii="宋体" w:hAnsi="宋体" w:eastAsia="宋体" w:cs="宋体"/>
                <w:color w:val="000000" w:themeColor="text1"/>
                <w:kern w:val="0"/>
                <w:sz w:val="20"/>
                <w:szCs w:val="20"/>
                <w:lang w:val="en-US" w:eastAsia="zh-CN" w:bidi="ar"/>
                <w14:textFill>
                  <w14:solidFill>
                    <w14:schemeClr w14:val="tx1"/>
                  </w14:solidFill>
                </w14:textFill>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000000" w:themeColor="text1"/>
                <w:lang w:val="en-US"/>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000000" w:themeColor="text1"/>
                <w:lang w:val="en-US"/>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000000" w:themeColor="text1"/>
                <w:lang w:val="en-US"/>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000000" w:themeColor="text1"/>
                <w:lang w:val="en-US"/>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000000" w:themeColor="text1"/>
                <w:lang w:val="en-US"/>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000000" w:themeColor="text1"/>
                <w:lang w:val="en-US"/>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000000" w:themeColor="text1"/>
                <w:lang w:val="en-US"/>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000000" w:themeColor="text1"/>
                <w:lang w:val="en-US"/>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000000" w:themeColor="text1"/>
                <w:lang w:val="en-US"/>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000000" w:themeColor="text1"/>
                <w:lang w:val="en-US"/>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000000" w:themeColor="text1"/>
                <w:lang w:val="en-US"/>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eastAsia" w:ascii="宋体" w:eastAsiaTheme="minorEastAsia"/>
                <w:color w:val="000000" w:themeColor="text1"/>
                <w:sz w:val="24"/>
                <w:szCs w:val="24"/>
                <w:lang w:val="en-US" w:eastAsia="zh-CN"/>
                <w14:textFill>
                  <w14:solidFill>
                    <w14:schemeClr w14:val="tx1"/>
                  </w14:solidFill>
                </w14:textFill>
              </w:rPr>
            </w:pPr>
            <w:r>
              <w:rPr>
                <w:rFonts w:hint="eastAsia" w:ascii="宋体"/>
                <w:color w:val="000000" w:themeColor="text1"/>
                <w:sz w:val="24"/>
                <w:szCs w:val="24"/>
                <w:lang w:val="en-US" w:eastAsia="zh-CN"/>
                <w14:textFill>
                  <w14:solidFill>
                    <w14:schemeClr w14:val="tx1"/>
                  </w14:solidFill>
                </w14:textFill>
              </w:rPr>
              <w:t>0</w:t>
            </w:r>
          </w:p>
        </w:tc>
      </w:tr>
    </w:tbl>
    <w:p>
      <w:pPr>
        <w:keepNext w:val="0"/>
        <w:keepLines w:val="0"/>
        <w:widowControl/>
        <w:suppressLineNumbers w:val="0"/>
        <w:jc w:val="left"/>
        <w:rPr>
          <w:color w:val="000000" w:themeColor="text1"/>
          <w14:textFill>
            <w14:solidFill>
              <w14:schemeClr w14:val="tx1"/>
            </w14:solidFill>
          </w14:textFill>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000000" w:themeColor="text1"/>
          <w:spacing w:val="0"/>
          <w:sz w:val="24"/>
          <w:szCs w:val="24"/>
          <w14:textFill>
            <w14:solidFill>
              <w14:schemeClr w14:val="tx1"/>
            </w14:solidFill>
          </w14:textFill>
        </w:rPr>
      </w:pPr>
      <w:r>
        <w:rPr>
          <w:rFonts w:hint="eastAsia" w:ascii="宋体" w:hAnsi="宋体" w:eastAsia="宋体" w:cs="宋体"/>
          <w:b/>
          <w:bCs/>
          <w:i w:val="0"/>
          <w:iCs w:val="0"/>
          <w:caps w:val="0"/>
          <w:color w:val="000000" w:themeColor="text1"/>
          <w:spacing w:val="0"/>
          <w:sz w:val="24"/>
          <w:szCs w:val="24"/>
          <w:shd w:val="clear" w:fill="FFFFFF"/>
          <w14:textFill>
            <w14:solidFill>
              <w14:schemeClr w14:val="tx1"/>
            </w14:solidFill>
          </w14:textFill>
        </w:rPr>
        <w:t>五、存在的主要问题及改进情况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color w:val="000000" w:themeColor="text1"/>
          <w:kern w:val="2"/>
          <w:sz w:val="32"/>
          <w:szCs w:val="32"/>
          <w:shd w:val="clear" w:color="auto" w:fill="FFFFFF"/>
          <w:lang w:val="en-US" w:eastAsia="zh-CN" w:bidi="ar-SA"/>
          <w14:textFill>
            <w14:solidFill>
              <w14:schemeClr w14:val="tx1"/>
            </w14:solidFill>
          </w14:textFill>
        </w:rPr>
      </w:pPr>
      <w:r>
        <w:rPr>
          <w:rFonts w:hint="eastAsia" w:ascii="仿宋" w:hAnsi="仿宋" w:eastAsia="仿宋" w:cs="仿宋"/>
          <w:color w:val="000000" w:themeColor="text1"/>
          <w:kern w:val="2"/>
          <w:sz w:val="32"/>
          <w:szCs w:val="32"/>
          <w:shd w:val="clear" w:color="auto" w:fill="FFFFFF"/>
          <w:lang w:val="en-US" w:eastAsia="zh-CN" w:bidi="ar-SA"/>
          <w14:textFill>
            <w14:solidFill>
              <w14:schemeClr w14:val="tx1"/>
            </w14:solidFill>
          </w14:textFill>
        </w:rPr>
        <w:t>2024年我镇在政务公开上存在问题如下：政务公开信息质量还需提升，内容还不够全面，公开力度还需继续加大。改进情况：一、加强信息公开的思想认识，充分认识政务公开的重要性，加大在宁晋县政府网站的公开力度，应公开尽公开，确保政务公开工作高效、透明。二、加大力度开展政务信息宣传活动，扩大影响力，增强群众对政务公开工作的认知度。三、明确专人负责政务信息发布工作，定期对工作人员进行业务能力培训，确保发布信息的质量以及时效性。</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000000" w:themeColor="text1"/>
          <w:spacing w:val="0"/>
          <w:sz w:val="24"/>
          <w:szCs w:val="24"/>
          <w14:textFill>
            <w14:solidFill>
              <w14:schemeClr w14:val="tx1"/>
            </w14:solidFill>
          </w14:textFill>
        </w:rPr>
      </w:pPr>
      <w:r>
        <w:rPr>
          <w:rFonts w:hint="eastAsia" w:ascii="宋体" w:hAnsi="宋体" w:eastAsia="宋体" w:cs="宋体"/>
          <w:b/>
          <w:bCs/>
          <w:i w:val="0"/>
          <w:iCs w:val="0"/>
          <w:caps w:val="0"/>
          <w:color w:val="000000" w:themeColor="text1"/>
          <w:spacing w:val="0"/>
          <w:sz w:val="24"/>
          <w:szCs w:val="24"/>
          <w:shd w:val="clear" w:fill="FFFFFF"/>
          <w14:textFill>
            <w14:solidFill>
              <w14:schemeClr w14:val="tx1"/>
            </w14:solidFill>
          </w14:textFill>
        </w:rPr>
        <w:t>六、其他需要报告的事项</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default" w:ascii="仿宋" w:hAnsi="仿宋" w:eastAsia="仿宋" w:cs="仿宋"/>
          <w:color w:val="000000" w:themeColor="text1"/>
          <w:kern w:val="2"/>
          <w:sz w:val="32"/>
          <w:szCs w:val="32"/>
          <w:shd w:val="clear" w:color="auto" w:fill="FFFFFF"/>
          <w:lang w:val="en-US" w:eastAsia="zh-CN" w:bidi="ar-SA"/>
          <w14:textFill>
            <w14:solidFill>
              <w14:schemeClr w14:val="tx1"/>
            </w14:solidFill>
          </w14:textFill>
        </w:rPr>
      </w:pPr>
      <w:r>
        <w:rPr>
          <w:rFonts w:hint="eastAsia" w:ascii="仿宋" w:hAnsi="仿宋" w:eastAsia="仿宋" w:cs="仿宋"/>
          <w:color w:val="000000" w:themeColor="text1"/>
          <w:kern w:val="2"/>
          <w:sz w:val="32"/>
          <w:szCs w:val="32"/>
          <w:shd w:val="clear" w:color="auto" w:fill="FFFFFF"/>
          <w:lang w:val="en-US" w:eastAsia="zh-CN" w:bidi="ar-SA"/>
          <w14:textFill>
            <w14:solidFill>
              <w14:schemeClr w14:val="tx1"/>
            </w14:solidFill>
          </w14:textFill>
        </w:rPr>
        <w:t>2024年，苏家庄镇没有收取信息处理费，无其他需要报告事项。</w:t>
      </w:r>
    </w:p>
    <w:p>
      <w:pPr>
        <w:rPr>
          <w:color w:val="000000" w:themeColor="text1"/>
          <w14:textFill>
            <w14:solidFill>
              <w14:schemeClr w14:val="tx1"/>
            </w14:solidFill>
          </w14:textFill>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QyODQ4M2E5MTJjMmI5MWNmMzZkOTBjNmY4NWJjMzMifQ=="/>
  </w:docVars>
  <w:rsids>
    <w:rsidRoot w:val="063977E7"/>
    <w:rsid w:val="02307C23"/>
    <w:rsid w:val="04DE34FC"/>
    <w:rsid w:val="063977E7"/>
    <w:rsid w:val="0A5831DE"/>
    <w:rsid w:val="0B8D3736"/>
    <w:rsid w:val="0D2F01B1"/>
    <w:rsid w:val="15362638"/>
    <w:rsid w:val="1A3D59C2"/>
    <w:rsid w:val="1A6E760F"/>
    <w:rsid w:val="1BD1392C"/>
    <w:rsid w:val="1E87566F"/>
    <w:rsid w:val="1F116495"/>
    <w:rsid w:val="215E446B"/>
    <w:rsid w:val="23EC3824"/>
    <w:rsid w:val="25522928"/>
    <w:rsid w:val="264A08D5"/>
    <w:rsid w:val="296D51C2"/>
    <w:rsid w:val="2AB84BC1"/>
    <w:rsid w:val="2C3E0631"/>
    <w:rsid w:val="2D3A7792"/>
    <w:rsid w:val="2E694B3E"/>
    <w:rsid w:val="301729F2"/>
    <w:rsid w:val="33466A0B"/>
    <w:rsid w:val="3C5D3DE5"/>
    <w:rsid w:val="3CB96B4D"/>
    <w:rsid w:val="3F7F41FA"/>
    <w:rsid w:val="401E2F1A"/>
    <w:rsid w:val="40E47D03"/>
    <w:rsid w:val="428C3E76"/>
    <w:rsid w:val="42E810FA"/>
    <w:rsid w:val="44550E0F"/>
    <w:rsid w:val="48F57A13"/>
    <w:rsid w:val="4BAA5477"/>
    <w:rsid w:val="4E84674D"/>
    <w:rsid w:val="55623CFF"/>
    <w:rsid w:val="55A72232"/>
    <w:rsid w:val="56FB7981"/>
    <w:rsid w:val="58D00F8B"/>
    <w:rsid w:val="62227953"/>
    <w:rsid w:val="634F6B52"/>
    <w:rsid w:val="66FF1A13"/>
    <w:rsid w:val="6733186F"/>
    <w:rsid w:val="674F3EEF"/>
    <w:rsid w:val="6AB9674B"/>
    <w:rsid w:val="7B15022F"/>
    <w:rsid w:val="7C0139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434</TotalTime>
  <ScaleCrop>false</ScaleCrop>
  <LinksUpToDate>false</LinksUpToDate>
  <CharactersWithSpaces>0</CharactersWithSpaces>
  <Application>WPS Office_11.8.2.11019_F1E327BC-269C-435d-A152-05C5408002CA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Administrator</cp:lastModifiedBy>
  <dcterms:modified xsi:type="dcterms:W3CDTF">2025-01-13T06:57:00Z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2052-11.8.2.11019</vt:lpwstr>
  </property>
  <property fmtid="{D5CDD505-2E9C-101B-9397-08002B2CF9AE}" pid="3" name="ICV">
    <vt:lpwstr>1157CE926B71424ABCEDD46E97C11597</vt:lpwstr>
  </property>
</Properties>
</file>