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CC10A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CESI小标宋-GB13000" w:hAnsi="CESI小标宋-GB13000" w:eastAsia="CESI小标宋-GB13000" w:cs="CESI小标宋-GB13000"/>
          <w:b w:val="0"/>
          <w:bCs/>
          <w:i w:val="0"/>
          <w:caps w:val="0"/>
          <w:color w:val="333333"/>
          <w:spacing w:val="0"/>
          <w:sz w:val="44"/>
          <w:szCs w:val="44"/>
          <w:shd w:val="clear" w:color="auto" w:fill="FFFFFF"/>
          <w:lang w:val="en-US" w:eastAsia="zh-CN"/>
        </w:rPr>
      </w:pPr>
      <w:r>
        <w:rPr>
          <w:rFonts w:hint="eastAsia" w:ascii="CESI小标宋-GB13000" w:hAnsi="CESI小标宋-GB13000" w:eastAsia="CESI小标宋-GB13000" w:cs="CESI小标宋-GB13000"/>
          <w:b w:val="0"/>
          <w:bCs/>
          <w:i w:val="0"/>
          <w:caps w:val="0"/>
          <w:color w:val="333333"/>
          <w:spacing w:val="0"/>
          <w:sz w:val="44"/>
          <w:szCs w:val="44"/>
          <w:shd w:val="clear" w:color="auto" w:fill="FFFFFF"/>
          <w:lang w:eastAsia="zh-CN"/>
        </w:rPr>
        <w:t>宁晋县</w:t>
      </w:r>
      <w:r>
        <w:rPr>
          <w:rFonts w:hint="eastAsia" w:ascii="CESI小标宋-GB13000" w:hAnsi="CESI小标宋-GB13000" w:eastAsia="CESI小标宋-GB13000" w:cs="CESI小标宋-GB13000"/>
          <w:b w:val="0"/>
          <w:bCs/>
          <w:i w:val="0"/>
          <w:caps w:val="0"/>
          <w:color w:val="333333"/>
          <w:spacing w:val="0"/>
          <w:sz w:val="44"/>
          <w:szCs w:val="44"/>
          <w:shd w:val="clear" w:color="auto" w:fill="FFFFFF"/>
          <w:lang w:val="en-US" w:eastAsia="zh-CN"/>
        </w:rPr>
        <w:t>卫生健康局</w:t>
      </w:r>
    </w:p>
    <w:p w14:paraId="3DFD525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CESI小标宋-GB13000" w:hAnsi="CESI小标宋-GB13000" w:eastAsia="CESI小标宋-GB13000" w:cs="CESI小标宋-GB13000"/>
          <w:b w:val="0"/>
          <w:bCs/>
          <w:i w:val="0"/>
          <w:caps w:val="0"/>
          <w:color w:val="333333"/>
          <w:spacing w:val="0"/>
          <w:sz w:val="44"/>
          <w:szCs w:val="44"/>
        </w:rPr>
      </w:pPr>
      <w:r>
        <w:rPr>
          <w:rFonts w:hint="eastAsia" w:ascii="CESI小标宋-GB13000" w:hAnsi="CESI小标宋-GB13000" w:eastAsia="CESI小标宋-GB13000" w:cs="CESI小标宋-GB13000"/>
          <w:b w:val="0"/>
          <w:bCs/>
          <w:i w:val="0"/>
          <w:caps w:val="0"/>
          <w:color w:val="333333"/>
          <w:spacing w:val="0"/>
          <w:sz w:val="44"/>
          <w:szCs w:val="44"/>
          <w:shd w:val="clear" w:color="auto" w:fill="FFFFFF"/>
          <w:lang w:val="en-US" w:eastAsia="zh-CN"/>
        </w:rPr>
        <w:t>2024年</w:t>
      </w:r>
      <w:r>
        <w:rPr>
          <w:rFonts w:hint="eastAsia" w:ascii="CESI小标宋-GB13000" w:hAnsi="CESI小标宋-GB13000" w:eastAsia="CESI小标宋-GB13000" w:cs="CESI小标宋-GB13000"/>
          <w:b w:val="0"/>
          <w:bCs/>
          <w:i w:val="0"/>
          <w:caps w:val="0"/>
          <w:color w:val="333333"/>
          <w:spacing w:val="0"/>
          <w:sz w:val="44"/>
          <w:szCs w:val="44"/>
          <w:shd w:val="clear" w:color="auto" w:fill="FFFFFF"/>
        </w:rPr>
        <w:t>政府信息公开工作年度报告</w:t>
      </w:r>
    </w:p>
    <w:p w14:paraId="3A289FE8">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p>
    <w:p w14:paraId="0AF0564A">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CESI仿宋-GB13000" w:hAnsi="CESI仿宋-GB13000" w:eastAsia="CESI仿宋-GB13000" w:cs="CESI仿宋-GB13000"/>
          <w:i w:val="0"/>
          <w:iCs w:val="0"/>
          <w:caps w:val="0"/>
          <w:color w:val="333333"/>
          <w:spacing w:val="0"/>
          <w:sz w:val="32"/>
          <w:szCs w:val="32"/>
          <w:shd w:val="clear" w:fill="FFFFFF"/>
          <w:lang w:val="en-US" w:eastAsia="zh-CN"/>
        </w:rPr>
      </w:pP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按照国办印发的《中华人民共和国政府信息公开工作年度报告格式》及《政府信息公开工作年度报告编发指南（参考）》等文件要求，结合本单位实际，编制2024年政府信息公开年度报告。本报告由总体情况、主动公开政府信息情况、收到和处理政府信息公开申请情况、政府信息公开行政复议、行政诉讼情况、存在的主要问题及改进情况、其他需要报告的事项共六个部分组成。本年报中所列数据的统计期限为2024年1月1日至12月31日。</w:t>
      </w:r>
    </w:p>
    <w:p w14:paraId="29A85C0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CESI黑体-GB13000" w:hAnsi="CESI黑体-GB13000" w:eastAsia="CESI黑体-GB13000" w:cs="CESI黑体-GB13000"/>
          <w:b w:val="0"/>
          <w:bCs w:val="0"/>
          <w:i w:val="0"/>
          <w:iCs w:val="0"/>
          <w:caps w:val="0"/>
          <w:color w:val="333333"/>
          <w:spacing w:val="0"/>
          <w:sz w:val="32"/>
          <w:szCs w:val="32"/>
        </w:rPr>
      </w:pPr>
      <w:r>
        <w:rPr>
          <w:rFonts w:hint="eastAsia" w:ascii="CESI黑体-GB13000" w:hAnsi="CESI黑体-GB13000" w:eastAsia="CESI黑体-GB13000" w:cs="CESI黑体-GB13000"/>
          <w:b w:val="0"/>
          <w:bCs w:val="0"/>
          <w:i w:val="0"/>
          <w:iCs w:val="0"/>
          <w:caps w:val="0"/>
          <w:color w:val="333333"/>
          <w:spacing w:val="0"/>
          <w:sz w:val="32"/>
          <w:szCs w:val="32"/>
          <w:shd w:val="clear" w:fill="FFFFFF"/>
        </w:rPr>
        <w:t>一、总体情况</w:t>
      </w:r>
    </w:p>
    <w:p w14:paraId="15EBFFF1">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CESI仿宋-GB13000" w:hAnsi="CESI仿宋-GB13000" w:eastAsia="CESI仿宋-GB13000" w:cs="CESI仿宋-GB13000"/>
          <w:i w:val="0"/>
          <w:iCs w:val="0"/>
          <w:caps w:val="0"/>
          <w:color w:val="333333"/>
          <w:spacing w:val="0"/>
          <w:sz w:val="32"/>
          <w:szCs w:val="32"/>
          <w:shd w:val="clear" w:fill="FFFFFF"/>
          <w:lang w:val="en-US" w:eastAsia="zh-CN"/>
        </w:rPr>
      </w:pP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根据《中华人民共和国政府信息公开条例》精神要求，我局积极抓好各项工作任务的推进落实，加强信息发布工作，完善工作机制，进一步加大公开力度，不断增强政府信息公开实效。</w:t>
      </w:r>
    </w:p>
    <w:p w14:paraId="43E2F294">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CESI仿宋-GB13000" w:hAnsi="CESI仿宋-GB13000" w:eastAsia="CESI仿宋-GB13000" w:cs="CESI仿宋-GB13000"/>
          <w:i w:val="0"/>
          <w:iCs w:val="0"/>
          <w:caps w:val="0"/>
          <w:color w:val="333333"/>
          <w:spacing w:val="0"/>
          <w:sz w:val="32"/>
          <w:szCs w:val="32"/>
          <w:shd w:val="clear" w:fill="FFFFFF"/>
          <w:lang w:val="en-US" w:eastAsia="zh-CN"/>
        </w:rPr>
      </w:pP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一）加大主动公开力度。一是建立健全信息公开制度。健全完善了政务公开各项工作制度，将“五公开”、政策解读、舆情回应等纳入其中，按时主动发布涉及民生事业、群众关切等事项政务信息，确保公开工作做到规范、高效、便民。二是持续强化政务公开能力。2024年共公开各类信息</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194条</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，主要涉及日常动态、预算决算、行政处罚、人大政协提案、公共卫生服务等各项内容。                    </w:t>
      </w:r>
    </w:p>
    <w:p w14:paraId="6B988A44">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CESI仿宋-GB13000" w:hAnsi="CESI仿宋-GB13000" w:eastAsia="CESI仿宋-GB13000" w:cs="CESI仿宋-GB13000"/>
          <w:i w:val="0"/>
          <w:iCs w:val="0"/>
          <w:caps w:val="0"/>
          <w:color w:val="333333"/>
          <w:spacing w:val="0"/>
          <w:sz w:val="32"/>
          <w:szCs w:val="32"/>
          <w:shd w:val="clear" w:fill="FFFFFF"/>
          <w:lang w:val="en-US" w:eastAsia="zh-CN"/>
        </w:rPr>
      </w:pP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二)遵循依申请公开程序。严格落实《河北省政府信息公开申请办理规范》文件，认真遵循依申请公开程序。2024年我局未发生依申请公开和未发生针对本机关有关政府信息公开事务的申诉、行政复议案件，也未引起相关的行政诉讼。</w:t>
      </w:r>
    </w:p>
    <w:p w14:paraId="067EC6E4">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CESI仿宋-GB13000" w:hAnsi="CESI仿宋-GB13000" w:eastAsia="CESI仿宋-GB13000" w:cs="CESI仿宋-GB13000"/>
          <w:i w:val="0"/>
          <w:iCs w:val="0"/>
          <w:caps w:val="0"/>
          <w:color w:val="333333"/>
          <w:spacing w:val="0"/>
          <w:sz w:val="32"/>
          <w:szCs w:val="32"/>
          <w:shd w:val="clear" w:fill="FFFFFF"/>
          <w:lang w:val="en-US" w:eastAsia="zh-CN"/>
        </w:rPr>
      </w:pP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（三）规范政府信息管理。一是扎实做好舆情搜集、研判、处置和回应，确保回应不超时、内容不敷衍。截至目前，办理电子政务转办卡</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10余件</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、便民热线交办单</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400余件</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时限内办结率达100%。未发生对重大政务舆情处置不得力、回应不妥当、报告不及时的事件。二是紧密围绕落实“放管服”政策,精简和规范行政许可申报程序，推进行政许可事项进一步下放和转移，有效提高办事效率和行政效能。三是积极推进“双随机、一公开”的监管模式，加强事中事后监管，把日常监管和“双随机、一公开”工作结合起来。2024年共公开双随机抽查结果信息</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102条</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。四是及时在政府网站公开人大代表建议、政协提案办理情况，确保人大、政协监督权的落实与发挥，为维护人民群众的合法权益提供重要保障。2024年，我局共承办人大提案</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6件</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、政协提案</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9件。</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五是严格落实行政执法公示制度，规范行政执法行为。2024年在政府网站政务公开公布卫健局权责清单及行政执法证件人员信息</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18人</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、公布行政处罚信息</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20条</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。六是按照财政局要求，全面公开财政预决算信息，完善预决算公开操作规程，今年以来共公开预决算信息</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3条</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w:t>
      </w:r>
    </w:p>
    <w:p w14:paraId="405F5EB7">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CESI仿宋-GB13000" w:hAnsi="CESI仿宋-GB13000" w:eastAsia="CESI仿宋-GB13000" w:cs="CESI仿宋-GB13000"/>
          <w:i w:val="0"/>
          <w:iCs w:val="0"/>
          <w:caps w:val="0"/>
          <w:color w:val="333333"/>
          <w:spacing w:val="0"/>
          <w:sz w:val="32"/>
          <w:szCs w:val="32"/>
          <w:shd w:val="clear" w:fill="FFFFFF"/>
          <w:lang w:val="en-US" w:eastAsia="zh-CN"/>
        </w:rPr>
      </w:pP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（四）强化信息公开平台建设。重点抓好“宁晋县人民政府”政务网站信息报送和</w:t>
      </w:r>
      <w:r>
        <w:rPr>
          <w:rFonts w:hint="eastAsia" w:ascii="CESI仿宋-GB13000" w:hAnsi="CESI仿宋-GB13000" w:eastAsia="CESI仿宋-GB13000" w:cs="CESI仿宋-GB13000"/>
          <w:i w:val="0"/>
          <w:iCs w:val="0"/>
          <w:caps w:val="0"/>
          <w:strike w:val="0"/>
          <w:dstrike w:val="0"/>
          <w:color w:val="auto"/>
          <w:spacing w:val="0"/>
          <w:sz w:val="32"/>
          <w:szCs w:val="32"/>
          <w:highlight w:val="none"/>
          <w:shd w:val="clear" w:fill="FFFFFF"/>
          <w:lang w:val="en-US" w:eastAsia="zh-CN"/>
        </w:rPr>
        <w:t>宁晋报卫生健康专刊的建设，</w:t>
      </w: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充分发挥其便捷、及时的政府信息公开载体作用。对于群众关心的问题以最快速度发布公示；让信息公开工作平台成为群众表达诉求、群众监督政府机关的重要平台。</w:t>
      </w:r>
    </w:p>
    <w:p w14:paraId="35697DD3">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CESI仿宋-GB13000" w:hAnsi="CESI仿宋-GB13000" w:eastAsia="CESI仿宋-GB13000" w:cs="CESI仿宋-GB13000"/>
          <w:i w:val="0"/>
          <w:iCs w:val="0"/>
          <w:caps w:val="0"/>
          <w:color w:val="333333"/>
          <w:spacing w:val="0"/>
          <w:sz w:val="32"/>
          <w:szCs w:val="32"/>
        </w:rPr>
      </w:pP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五）增强公开监督保障效力。严格按照政务公开信息程序进行公开，规范信息上传台账。根据省、市、县各级要求，定期开展“回头看”工作，强化主体责任，着力加强自身建设，自觉与上级政府对标对表。通过监测平台及自查自纠，对发现问题及时纠正，并制定解决方案，确保通过外部监督及内部自查提升自身公开能力，为更好开展信息公开工作打下基础。</w:t>
      </w:r>
    </w:p>
    <w:p w14:paraId="714DCF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420"/>
        <w:jc w:val="both"/>
        <w:rPr>
          <w:rFonts w:hint="eastAsia" w:ascii="CESI黑体-GB13000" w:hAnsi="CESI黑体-GB13000" w:eastAsia="CESI黑体-GB13000" w:cs="CESI黑体-GB13000"/>
          <w:b w:val="0"/>
          <w:bCs w:val="0"/>
          <w:i w:val="0"/>
          <w:iCs w:val="0"/>
          <w:caps w:val="0"/>
          <w:color w:val="333333"/>
          <w:spacing w:val="0"/>
          <w:sz w:val="32"/>
          <w:szCs w:val="32"/>
        </w:rPr>
      </w:pPr>
      <w:r>
        <w:rPr>
          <w:rFonts w:hint="eastAsia" w:ascii="CESI黑体-GB13000" w:hAnsi="CESI黑体-GB13000" w:eastAsia="CESI黑体-GB13000" w:cs="CESI黑体-GB13000"/>
          <w:b w:val="0"/>
          <w:bCs w:val="0"/>
          <w:i w:val="0"/>
          <w:iCs w:val="0"/>
          <w:caps w:val="0"/>
          <w:color w:val="333333"/>
          <w:spacing w:val="0"/>
          <w:sz w:val="32"/>
          <w:szCs w:val="32"/>
          <w:shd w:val="clear" w:fill="FFFFFF"/>
        </w:rPr>
        <w:t>二、主动公开政府信息情况</w:t>
      </w: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22364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524ADFE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63C23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340BF9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22127E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F31ACF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7C62DB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737CC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D4F272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D0A230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DA01B3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955A44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37DB7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95EE28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EB4983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1A89F8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3D9758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33B5C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D32A5B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1C670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44B2C5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45151F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7AD70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21C64B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566FBA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eastAsiaTheme="minorEastAsia"/>
                <w:lang w:val="en-US" w:eastAsia="zh-CN"/>
              </w:rPr>
            </w:pPr>
            <w:r>
              <w:rPr>
                <w:rFonts w:hint="eastAsia" w:ascii="CESI黑体-GB13000" w:hAnsi="CESI黑体-GB13000" w:eastAsia="CESI黑体-GB13000" w:cs="CESI黑体-GB13000"/>
                <w:sz w:val="20"/>
                <w:szCs w:val="20"/>
                <w:lang w:val="en-US" w:eastAsia="zh-CN"/>
              </w:rPr>
              <w:t>0</w:t>
            </w:r>
          </w:p>
        </w:tc>
      </w:tr>
      <w:tr w14:paraId="6BBEC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6CB9F3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50865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F25BA5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DB9870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4A3D3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4910A4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9669FB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default" w:eastAsiaTheme="minorEastAsia"/>
                <w:lang w:val="en-US" w:eastAsia="zh-CN"/>
              </w:rPr>
            </w:pPr>
            <w:r>
              <w:rPr>
                <w:rFonts w:hint="eastAsia"/>
                <w:sz w:val="20"/>
                <w:szCs w:val="20"/>
                <w:lang w:val="en-US" w:eastAsia="zh-CN"/>
              </w:rPr>
              <w:t>20</w:t>
            </w:r>
          </w:p>
        </w:tc>
      </w:tr>
      <w:tr w14:paraId="461C1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2244EA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33F4EF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eastAsiaTheme="minorEastAsia"/>
                <w:lang w:val="en-US" w:eastAsia="zh-CN"/>
              </w:rPr>
            </w:pPr>
            <w:r>
              <w:rPr>
                <w:rFonts w:hint="eastAsia" w:ascii="CESI黑体-GB13000" w:hAnsi="CESI黑体-GB13000" w:eastAsia="CESI黑体-GB13000" w:cs="CESI黑体-GB13000"/>
                <w:sz w:val="20"/>
                <w:szCs w:val="20"/>
                <w:lang w:val="en-US" w:eastAsia="zh-CN"/>
              </w:rPr>
              <w:t>0</w:t>
            </w:r>
          </w:p>
        </w:tc>
      </w:tr>
      <w:tr w14:paraId="5E061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5B58D90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72DF9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6B26D1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620D93F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23B63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B8BE01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64BFAA6B">
            <w:pPr>
              <w:shd w:val="clear"/>
              <w:jc w:val="center"/>
              <w:rPr>
                <w:rFonts w:hint="default" w:ascii="宋体" w:eastAsiaTheme="minorEastAsia"/>
                <w:sz w:val="24"/>
                <w:szCs w:val="24"/>
                <w:lang w:val="en-US" w:eastAsia="zh-CN"/>
              </w:rPr>
            </w:pPr>
            <w:r>
              <w:rPr>
                <w:rFonts w:hint="eastAsia" w:ascii="CESI黑体-GB13000" w:hAnsi="CESI黑体-GB13000" w:eastAsia="CESI黑体-GB13000" w:cs="CESI黑体-GB13000"/>
                <w:sz w:val="20"/>
                <w:szCs w:val="20"/>
                <w:lang w:val="en-US" w:eastAsia="zh-CN"/>
              </w:rPr>
              <w:t>5.4500</w:t>
            </w:r>
          </w:p>
        </w:tc>
      </w:tr>
    </w:tbl>
    <w:p w14:paraId="53AF2E8A">
      <w:pPr>
        <w:keepNext w:val="0"/>
        <w:keepLines w:val="0"/>
        <w:widowControl/>
        <w:suppressLineNumbers w:val="0"/>
        <w:shd w:val="clear"/>
        <w:jc w:val="left"/>
      </w:pPr>
    </w:p>
    <w:p w14:paraId="5293A1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420"/>
        <w:jc w:val="both"/>
        <w:rPr>
          <w:rFonts w:hint="eastAsia" w:ascii="宋体" w:hAnsi="宋体" w:eastAsia="宋体" w:cs="宋体"/>
          <w:b w:val="0"/>
          <w:bCs w:val="0"/>
          <w:i w:val="0"/>
          <w:iCs w:val="0"/>
          <w:caps w:val="0"/>
          <w:color w:val="333333"/>
          <w:spacing w:val="0"/>
          <w:sz w:val="24"/>
          <w:szCs w:val="24"/>
        </w:rPr>
      </w:pPr>
      <w:r>
        <w:rPr>
          <w:rFonts w:hint="eastAsia" w:ascii="CESI黑体-GB13000" w:hAnsi="CESI黑体-GB13000" w:eastAsia="CESI黑体-GB13000" w:cs="CESI黑体-GB13000"/>
          <w:b w:val="0"/>
          <w:bCs w:val="0"/>
          <w:i w:val="0"/>
          <w:iCs w:val="0"/>
          <w:caps w:val="0"/>
          <w:color w:val="333333"/>
          <w:spacing w:val="0"/>
          <w:sz w:val="32"/>
          <w:szCs w:val="32"/>
          <w:shd w:val="clear" w:fill="FFFFFF"/>
        </w:rPr>
        <w:t>三、收到和处理政府信息公开申请情况</w:t>
      </w: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5C88435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F6C067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AFD33A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4C47A6F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3E7BBF4">
            <w:pPr>
              <w:shd w:val="clea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21226E5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C77714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4B1C60D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6492E4B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7E3E773A">
            <w:pPr>
              <w:shd w:val="clea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68F65848">
            <w:pPr>
              <w:shd w:val="clea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8CDCA3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111271E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A6951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52D16F0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E9DB19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3FE9ED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DC114B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4C7F998">
            <w:pPr>
              <w:shd w:val="clear"/>
              <w:rPr>
                <w:rFonts w:hint="eastAsia" w:ascii="宋体"/>
                <w:sz w:val="24"/>
                <w:szCs w:val="24"/>
              </w:rPr>
            </w:pPr>
          </w:p>
        </w:tc>
      </w:tr>
      <w:tr w14:paraId="2329FBC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6175F8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D9923B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06689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94A61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40314D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41534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4BBC3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20E2A1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1AEE4C7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CE2073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555EAF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2DEDD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3D21E7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9527E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2C61E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C1AF72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A6091C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48AD01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27" w:hRule="atLeast"/>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74A737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613CE5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AF0553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2B81A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BF858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5364A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5A6809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3374E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F97405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7D06655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724E8A0">
            <w:pPr>
              <w:shd w:val="clea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4FEE31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561A7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16081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BE397E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6EDE7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EB927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D1D162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D9E915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052002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0EA3A68">
            <w:pPr>
              <w:shd w:val="clea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81DE5A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CEA105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77177E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79CA8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F8C4C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D59B5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C5157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104F1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D2E092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5B0022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2CCF782">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13DD13D">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4261EF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AB83C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3E78A1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76308F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F1CC4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DA003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06D70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43BD7B8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r>
      <w:tr w14:paraId="5AB7F14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BF93F7E">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C37E101">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626AD1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73E83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E6323B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D661C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6DFCDF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B676FC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34DF57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25A9890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346A9F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7E3B68F">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08C5CC1">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E17BE6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8C611F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A7048E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AC21E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21DE34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18963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3C53C8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75C7FE6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2C06C6F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6EF7C97">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CF2BC5A">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4D788B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EC60AA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C0CC19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89BD63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9B00C3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4AF4C5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DE2C2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87B219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r>
      <w:tr w14:paraId="1666FB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6D1059B">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2C2FE06">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E284BC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1A0E54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B941C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8717D7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7778E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AA5C2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3574A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61CEE6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068F86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B376BA0">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A2D86B8">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EDB497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647006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AF173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FFB2B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8BFEB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51587C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2F2A96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378811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57A34D4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75E1923">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C601810">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13D276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C6022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49B84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06122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B5EEE7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2BA88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2BBD8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98D32D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41210E2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1B565F4">
            <w:pPr>
              <w:shd w:val="clea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0ABACCF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A40ACB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01311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2DB28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9CB7C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E79B82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1CC1D6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4CC56B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57764D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743B4FC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C657F9E">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8570E3F">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AFC451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87E188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FD99C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25C74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580425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681C4F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3E0F6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28A165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15EF4F4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F220110">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B06ED03">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01CB5A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118E8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69DDCE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80A51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26927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04209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0A3E9E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721C7E0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53212B2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CBD4E19">
            <w:pPr>
              <w:shd w:val="clea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2EBEA8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C6FC51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66BAE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8BB97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BD08C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7D71A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0CAC7D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E9ECEB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330A37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6050095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C6865DD">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628D0D1">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DE59AB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8201C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9C59F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9CC5AD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F01157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4935A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637546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3D9EF1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72C5E4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36A4795">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28AD02E">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269612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4F3F28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470E22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50F9E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B5BCE2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FE3F5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2D9F80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45DA05F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132ED0E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D168E90">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B0496D2">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D08F50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611ED4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7B967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551CC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DF19B1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FD6C8B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6BDC1B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FF6FA9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6EA817C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9EFA1C3">
            <w:pPr>
              <w:shd w:val="clea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6443C77">
            <w:pPr>
              <w:shd w:val="clea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7FAA915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C50868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84132D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6103611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19DE81C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60A84D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8F5D69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14:paraId="113887B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0EC0F11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DE6E5B1">
            <w:pPr>
              <w:shd w:val="clea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0F9C795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2C99BE7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5A317D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6F41C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B79C3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A2657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2F8C7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36EE5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B1C66B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r>
      <w:tr w14:paraId="670C162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85A77AB">
            <w:pPr>
              <w:shd w:val="clea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1AD8488D">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1676D25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A553CB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A8BF9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A76FD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F9B66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33770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CFF5F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AA562E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34B48C4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95A8E94">
            <w:pPr>
              <w:shd w:val="clea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B0A956E">
            <w:pPr>
              <w:shd w:val="clea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59CF710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7F8F2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0D4A2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7CD6E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8EAA93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D32134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952A6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9E159B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20B1B5C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B96EB3F">
            <w:pPr>
              <w:shd w:val="clea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982670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A55F14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A1828E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D289C4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93BE6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343C0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B7E16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4CDE921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r>
      <w:tr w14:paraId="06EA1D7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7C537C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E64680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C113B6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F0F0D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DDEDD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23275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0A14A7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A84C27F">
            <w:pPr>
              <w:shd w:val="clear"/>
              <w:jc w:val="center"/>
              <w:rPr>
                <w:rFonts w:hint="eastAsia" w:ascii="CESI黑体-GB13000" w:hAnsi="CESI黑体-GB13000" w:eastAsia="CESI黑体-GB13000" w:cs="CESI黑体-GB13000"/>
                <w:sz w:val="20"/>
                <w:szCs w:val="20"/>
                <w:lang w:val="en-US" w:eastAsia="zh-CN"/>
              </w:rPr>
            </w:pPr>
            <w:r>
              <w:rPr>
                <w:rFonts w:hint="eastAsia" w:ascii="CESI黑体-GB13000" w:hAnsi="CESI黑体-GB13000" w:eastAsia="CESI黑体-GB13000" w:cs="CESI黑体-GB13000"/>
                <w:sz w:val="20"/>
                <w:szCs w:val="20"/>
                <w:lang w:val="en-US" w:eastAsia="zh-CN"/>
              </w:rPr>
              <w:t>0</w:t>
            </w:r>
          </w:p>
        </w:tc>
      </w:tr>
    </w:tbl>
    <w:p w14:paraId="79A124B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50B89A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420"/>
        <w:jc w:val="both"/>
        <w:rPr>
          <w:rFonts w:hint="eastAsia" w:ascii="宋体" w:hAnsi="宋体" w:eastAsia="宋体" w:cs="宋体"/>
          <w:b w:val="0"/>
          <w:bCs w:val="0"/>
          <w:i w:val="0"/>
          <w:iCs w:val="0"/>
          <w:caps w:val="0"/>
          <w:color w:val="333333"/>
          <w:spacing w:val="0"/>
          <w:sz w:val="24"/>
          <w:szCs w:val="24"/>
        </w:rPr>
      </w:pPr>
      <w:r>
        <w:rPr>
          <w:rFonts w:hint="eastAsia" w:ascii="CESI黑体-GB13000" w:hAnsi="CESI黑体-GB13000" w:eastAsia="CESI黑体-GB13000" w:cs="CESI黑体-GB13000"/>
          <w:b w:val="0"/>
          <w:bCs w:val="0"/>
          <w:i w:val="0"/>
          <w:iCs w:val="0"/>
          <w:caps w:val="0"/>
          <w:color w:val="333333"/>
          <w:spacing w:val="0"/>
          <w:sz w:val="32"/>
          <w:szCs w:val="32"/>
          <w:shd w:val="clear" w:fill="FFFFFF"/>
        </w:rPr>
        <w:t>四、政府信息公开行政复议、行政诉讼情况</w:t>
      </w: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6892241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DA2F0E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CDE094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40BD6B7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FAF0CE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939C6C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8C07DA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456BB4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39C5CD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EA399C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961587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48D10B2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7035C9">
            <w:pPr>
              <w:shd w:val="clea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DE9A09">
            <w:pPr>
              <w:shd w:val="clea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AE03A71">
            <w:pPr>
              <w:shd w:val="clea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B2DC2E5">
            <w:pPr>
              <w:shd w:val="clea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4E41362">
            <w:pPr>
              <w:shd w:val="clea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38B1DE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B0595D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A101A8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B34A4C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9241A8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8D0DD9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D641BB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8392D7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FB54F6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BA6293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47AE26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C2D738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B5A5C6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6F1A89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39944D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6B7751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E14AFD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A95D78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5995C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E6A1B4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26AC591">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0A51C5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ACB5E5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33F4BD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lang w:val="en-US"/>
              </w:rPr>
            </w:pPr>
            <w:r>
              <w:rPr>
                <w:rFonts w:hint="eastAsia" w:ascii="CESI黑体-GB13000" w:hAnsi="CESI黑体-GB13000" w:eastAsia="CESI黑体-GB13000" w:cs="CESI黑体-GB13000"/>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F3B225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CESI黑体-GB13000" w:hAnsi="CESI黑体-GB13000" w:eastAsia="CESI黑体-GB13000" w:cs="CESI黑体-GB13000"/>
                <w:sz w:val="20"/>
                <w:szCs w:val="20"/>
              </w:rPr>
            </w:pPr>
            <w:r>
              <w:rPr>
                <w:rFonts w:hint="eastAsia" w:ascii="CESI黑体-GB13000" w:hAnsi="CESI黑体-GB13000" w:eastAsia="CESI黑体-GB13000" w:cs="CESI黑体-GB13000"/>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33D7201">
            <w:pPr>
              <w:shd w:val="clear"/>
              <w:jc w:val="center"/>
              <w:rPr>
                <w:rFonts w:hint="eastAsia" w:ascii="CESI黑体-GB13000" w:hAnsi="CESI黑体-GB13000" w:eastAsia="CESI黑体-GB13000" w:cs="CESI黑体-GB13000"/>
                <w:sz w:val="20"/>
                <w:szCs w:val="20"/>
                <w:lang w:val="en-US" w:eastAsia="zh-CN"/>
              </w:rPr>
            </w:pPr>
            <w:r>
              <w:rPr>
                <w:rFonts w:hint="eastAsia" w:ascii="CESI黑体-GB13000" w:hAnsi="CESI黑体-GB13000" w:eastAsia="CESI黑体-GB13000" w:cs="CESI黑体-GB13000"/>
                <w:sz w:val="20"/>
                <w:szCs w:val="20"/>
                <w:lang w:val="en-US" w:eastAsia="zh-CN"/>
              </w:rPr>
              <w:t>0</w:t>
            </w:r>
          </w:p>
        </w:tc>
      </w:tr>
    </w:tbl>
    <w:p w14:paraId="60A4920B">
      <w:pPr>
        <w:keepNext w:val="0"/>
        <w:keepLines w:val="0"/>
        <w:pageBreakBefore w:val="0"/>
        <w:widowControl/>
        <w:suppressLineNumbers w:val="0"/>
        <w:shd w:val="clear"/>
        <w:kinsoku/>
        <w:wordWrap/>
        <w:overflowPunct/>
        <w:topLinePunct w:val="0"/>
        <w:autoSpaceDE/>
        <w:autoSpaceDN/>
        <w:bidi w:val="0"/>
        <w:adjustRightInd/>
        <w:snapToGrid/>
        <w:spacing w:line="560" w:lineRule="exact"/>
        <w:jc w:val="left"/>
        <w:textAlignment w:val="auto"/>
      </w:pPr>
    </w:p>
    <w:p w14:paraId="4501CB6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CESI黑体-GB13000" w:hAnsi="CESI黑体-GB13000" w:eastAsia="CESI黑体-GB13000" w:cs="CESI黑体-GB13000"/>
          <w:b w:val="0"/>
          <w:bCs w:val="0"/>
          <w:i w:val="0"/>
          <w:iCs w:val="0"/>
          <w:caps w:val="0"/>
          <w:color w:val="333333"/>
          <w:spacing w:val="0"/>
          <w:sz w:val="32"/>
          <w:szCs w:val="32"/>
          <w:shd w:val="clear" w:fill="FFFFFF"/>
          <w:lang w:val="en-US" w:eastAsia="zh-CN"/>
        </w:rPr>
      </w:pPr>
      <w:r>
        <w:rPr>
          <w:rFonts w:hint="eastAsia" w:ascii="CESI黑体-GB13000" w:hAnsi="CESI黑体-GB13000" w:eastAsia="CESI黑体-GB13000" w:cs="CESI黑体-GB13000"/>
          <w:b w:val="0"/>
          <w:bCs w:val="0"/>
          <w:i w:val="0"/>
          <w:iCs w:val="0"/>
          <w:caps w:val="0"/>
          <w:color w:val="333333"/>
          <w:spacing w:val="0"/>
          <w:sz w:val="32"/>
          <w:szCs w:val="32"/>
          <w:shd w:val="clear" w:fill="FFFFFF"/>
        </w:rPr>
        <w:t>五、存在的主要问题及改进情况</w:t>
      </w:r>
    </w:p>
    <w:p w14:paraId="071E0928">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pP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存在问题：</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一是政务公开工作意识和专业能力有待进一步加强，各股</w:t>
      </w:r>
      <w:bookmarkStart w:id="0" w:name="_GoBack"/>
      <w:bookmarkEnd w:id="0"/>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室政务公开工作的主动性需要强化。二是对政务公开要求理解不够透彻，部分公示内容存在要素缺项问题。</w:t>
      </w:r>
    </w:p>
    <w:p w14:paraId="73360B94">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CESI仿宋-GB13000" w:hAnsi="CESI仿宋-GB13000" w:eastAsia="CESI仿宋-GB13000" w:cs="CESI仿宋-GB13000"/>
          <w:b/>
          <w:bCs/>
          <w:i w:val="0"/>
          <w:iCs w:val="0"/>
          <w:caps w:val="0"/>
          <w:color w:val="333333"/>
          <w:spacing w:val="0"/>
          <w:sz w:val="32"/>
          <w:szCs w:val="32"/>
          <w:highlight w:val="none"/>
          <w:shd w:val="clear" w:fill="FFFFFF"/>
        </w:rPr>
      </w:pP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改进措施：</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加强学习培训，明确各股室职责，持续推进政务公开标准化、规范化、便利化，不断提高政策解读的能力和水平，</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确保政务公开工作主动、全面、及时落实到位。</w:t>
      </w:r>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同</w:t>
      </w:r>
      <w:bookmarkStart w:id="1" w:name="_GoBack"/>
      <w:bookmarkEnd w:id="1"/>
      <w:r>
        <w:rPr>
          <w:rFonts w:hint="eastAsia" w:ascii="CESI仿宋-GB13000" w:hAnsi="CESI仿宋-GB13000" w:eastAsia="CESI仿宋-GB13000" w:cs="CESI仿宋-GB13000"/>
          <w:i w:val="0"/>
          <w:iCs w:val="0"/>
          <w:caps w:val="0"/>
          <w:color w:val="333333"/>
          <w:spacing w:val="0"/>
          <w:sz w:val="32"/>
          <w:szCs w:val="32"/>
          <w:highlight w:val="none"/>
          <w:shd w:val="clear" w:fill="FFFFFF"/>
          <w:lang w:val="en-US" w:eastAsia="zh-CN"/>
        </w:rPr>
        <w:t xml:space="preserve">时，加强对公开内容的审核把关，确保信息的真实性、准确性和完整性。 </w:t>
      </w:r>
    </w:p>
    <w:p w14:paraId="1C46B47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CESI黑体-GB13000" w:hAnsi="CESI黑体-GB13000" w:eastAsia="CESI黑体-GB13000" w:cs="CESI黑体-GB13000"/>
          <w:b w:val="0"/>
          <w:bCs w:val="0"/>
          <w:i w:val="0"/>
          <w:iCs w:val="0"/>
          <w:caps w:val="0"/>
          <w:color w:val="333333"/>
          <w:spacing w:val="0"/>
          <w:sz w:val="32"/>
          <w:szCs w:val="32"/>
          <w:shd w:val="clear" w:fill="FFFFFF"/>
          <w:lang w:val="en-US" w:eastAsia="zh-CN"/>
        </w:rPr>
      </w:pPr>
      <w:r>
        <w:rPr>
          <w:rFonts w:hint="eastAsia" w:ascii="CESI黑体-GB13000" w:hAnsi="CESI黑体-GB13000" w:eastAsia="CESI黑体-GB13000" w:cs="CESI黑体-GB13000"/>
          <w:b w:val="0"/>
          <w:bCs w:val="0"/>
          <w:i w:val="0"/>
          <w:iCs w:val="0"/>
          <w:caps w:val="0"/>
          <w:color w:val="333333"/>
          <w:spacing w:val="0"/>
          <w:sz w:val="32"/>
          <w:szCs w:val="32"/>
          <w:shd w:val="clear" w:fill="FFFFFF"/>
        </w:rPr>
        <w:t>六、其他需要报告的事项</w:t>
      </w:r>
    </w:p>
    <w:p w14:paraId="34D3A711">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CESI仿宋-GB13000" w:hAnsi="CESI仿宋-GB13000" w:eastAsia="CESI仿宋-GB13000" w:cs="CESI仿宋-GB13000"/>
          <w:i w:val="0"/>
          <w:iCs w:val="0"/>
          <w:caps w:val="0"/>
          <w:color w:val="333333"/>
          <w:spacing w:val="0"/>
          <w:sz w:val="32"/>
          <w:szCs w:val="32"/>
          <w:shd w:val="clear" w:fill="FFFFFF"/>
          <w:lang w:val="en-US" w:eastAsia="zh-CN"/>
        </w:rPr>
      </w:pP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2024年，宁晋县卫生健康局没有收取信息处理费，无其他需要报告事项。</w:t>
      </w:r>
    </w:p>
    <w:p w14:paraId="5580FE05">
      <w:pPr>
        <w:keepNext w:val="0"/>
        <w:keepLines w:val="0"/>
        <w:pageBreakBefore w:val="0"/>
        <w:shd w:val="clear"/>
        <w:kinsoku/>
        <w:wordWrap/>
        <w:overflowPunct/>
        <w:topLinePunct w:val="0"/>
        <w:autoSpaceDE/>
        <w:autoSpaceDN/>
        <w:bidi w:val="0"/>
        <w:adjustRightInd/>
        <w:snapToGrid/>
        <w:spacing w:line="560" w:lineRule="exact"/>
        <w:textAlignment w:val="auto"/>
        <w:rPr>
          <w:rFonts w:hint="eastAsia" w:ascii="CESI仿宋-GB13000" w:hAnsi="CESI仿宋-GB13000" w:eastAsia="CESI仿宋-GB13000" w:cs="CESI仿宋-GB13000"/>
          <w:sz w:val="32"/>
          <w:szCs w:val="32"/>
        </w:rPr>
      </w:pPr>
    </w:p>
    <w:p w14:paraId="4A84ECA4">
      <w:pPr>
        <w:keepNext w:val="0"/>
        <w:keepLines w:val="0"/>
        <w:pageBreakBefore w:val="0"/>
        <w:shd w:val="clear"/>
        <w:kinsoku/>
        <w:wordWrap/>
        <w:overflowPunct/>
        <w:topLinePunct w:val="0"/>
        <w:autoSpaceDE/>
        <w:autoSpaceDN/>
        <w:bidi w:val="0"/>
        <w:adjustRightInd/>
        <w:snapToGrid/>
        <w:spacing w:line="560" w:lineRule="exact"/>
        <w:textAlignment w:val="auto"/>
        <w:rPr>
          <w:rFonts w:hint="eastAsia" w:ascii="CESI仿宋-GB13000" w:hAnsi="CESI仿宋-GB13000" w:eastAsia="CESI仿宋-GB13000" w:cs="CESI仿宋-GB13000"/>
          <w:sz w:val="32"/>
          <w:szCs w:val="32"/>
        </w:rPr>
      </w:pPr>
    </w:p>
    <w:p w14:paraId="70275C08">
      <w:pPr>
        <w:keepNext w:val="0"/>
        <w:keepLines w:val="0"/>
        <w:pageBreakBefore w:val="0"/>
        <w:shd w:val="clear"/>
        <w:kinsoku/>
        <w:wordWrap/>
        <w:overflowPunct/>
        <w:topLinePunct w:val="0"/>
        <w:autoSpaceDE/>
        <w:autoSpaceDN/>
        <w:bidi w:val="0"/>
        <w:adjustRightInd/>
        <w:snapToGrid/>
        <w:spacing w:line="560" w:lineRule="exact"/>
        <w:textAlignment w:val="auto"/>
        <w:rPr>
          <w:rFonts w:hint="eastAsia" w:ascii="CESI仿宋-GB13000" w:hAnsi="CESI仿宋-GB13000" w:eastAsia="CESI仿宋-GB13000" w:cs="CESI仿宋-GB13000"/>
          <w:sz w:val="32"/>
          <w:szCs w:val="32"/>
        </w:rPr>
      </w:pPr>
    </w:p>
    <w:p w14:paraId="7B9F5CBF">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jc w:val="right"/>
        <w:textAlignment w:val="auto"/>
        <w:rPr>
          <w:rFonts w:hint="eastAsia" w:ascii="CESI仿宋-GB13000" w:hAnsi="CESI仿宋-GB13000" w:eastAsia="CESI仿宋-GB13000" w:cs="CESI仿宋-GB13000"/>
          <w:i w:val="0"/>
          <w:iCs w:val="0"/>
          <w:caps w:val="0"/>
          <w:color w:val="333333"/>
          <w:spacing w:val="0"/>
          <w:sz w:val="32"/>
          <w:szCs w:val="32"/>
          <w:shd w:val="clear" w:fill="FFFFFF"/>
          <w:lang w:val="en-US" w:eastAsia="zh-CN"/>
        </w:rPr>
      </w:pPr>
      <w:r>
        <w:rPr>
          <w:rFonts w:hint="eastAsia" w:ascii="CESI仿宋-GB13000" w:hAnsi="CESI仿宋-GB13000" w:eastAsia="CESI仿宋-GB13000" w:cs="CESI仿宋-GB13000"/>
          <w:i w:val="0"/>
          <w:iCs w:val="0"/>
          <w:caps w:val="0"/>
          <w:color w:val="333333"/>
          <w:spacing w:val="0"/>
          <w:sz w:val="32"/>
          <w:szCs w:val="32"/>
          <w:shd w:val="clear" w:fill="FFFFFF"/>
          <w:lang w:val="en-US" w:eastAsia="zh-CN"/>
        </w:rPr>
        <w:t>2025年1月14日</w:t>
      </w:r>
    </w:p>
    <w:sectPr>
      <w:pgSz w:w="11906" w:h="16838"/>
      <w:pgMar w:top="170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ESI小标宋-GB13000">
    <w:panose1 w:val="02000500000000000000"/>
    <w:charset w:val="86"/>
    <w:family w:val="auto"/>
    <w:pitch w:val="default"/>
    <w:sig w:usb0="800002BF" w:usb1="18CF7CF8" w:usb2="00000016" w:usb3="00000000" w:csb0="0004000F" w:csb1="00000000"/>
  </w:font>
  <w:font w:name="仿宋">
    <w:panose1 w:val="02010609060101010101"/>
    <w:charset w:val="86"/>
    <w:family w:val="auto"/>
    <w:pitch w:val="default"/>
    <w:sig w:usb0="800002BF" w:usb1="38CF7CFA" w:usb2="00000016" w:usb3="00000000" w:csb0="00040001" w:csb1="00000000"/>
  </w:font>
  <w:font w:name="CESI仿宋-GB13000">
    <w:panose1 w:val="02000500000000000000"/>
    <w:charset w:val="86"/>
    <w:family w:val="auto"/>
    <w:pitch w:val="default"/>
    <w:sig w:usb0="800002BF" w:usb1="18CF7CF8" w:usb2="00000016" w:usb3="00000000" w:csb0="0004000F" w:csb1="00000000"/>
  </w:font>
  <w:font w:name="CESI黑体-GB13000">
    <w:panose1 w:val="02000500000000000000"/>
    <w:charset w:val="86"/>
    <w:family w:val="auto"/>
    <w:pitch w:val="default"/>
    <w:sig w:usb0="800002BF" w:usb1="38CF7CF8" w:usb2="00000016" w:usb3="00000000" w:csb0="0004000F" w:csb1="00000000"/>
  </w:font>
  <w:font w:name="华文仿宋">
    <w:panose1 w:val="02010600040101010101"/>
    <w:charset w:val="86"/>
    <w:family w:val="auto"/>
    <w:pitch w:val="default"/>
    <w:sig w:usb0="00000287" w:usb1="080F0000" w:usb2="00000000" w:usb3="00000000" w:csb0="0004009F" w:csb1="DFD70000"/>
  </w:font>
  <w:font w:name="方正黑体_GBK">
    <w:panose1 w:val="02000000000000000000"/>
    <w:charset w:val="86"/>
    <w:family w:val="auto"/>
    <w:pitch w:val="default"/>
    <w:sig w:usb0="A00002BF" w:usb1="38CF7CFA" w:usb2="00082016" w:usb3="00000000" w:csb0="00040001" w:csb1="00000000"/>
  </w:font>
  <w:font w:name="方正宋体S-超大字符集(SIP)">
    <w:panose1 w:val="03000509000000000000"/>
    <w:charset w:val="86"/>
    <w:family w:val="auto"/>
    <w:pitch w:val="default"/>
    <w:sig w:usb0="00000003" w:usb1="0A0E08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3MWUzNWU0YTk5ZTdkMzdiNjY0YzI0YzZkZjQ2YWUifQ=="/>
  </w:docVars>
  <w:rsids>
    <w:rsidRoot w:val="063977E7"/>
    <w:rsid w:val="063977E7"/>
    <w:rsid w:val="0D2F01B1"/>
    <w:rsid w:val="1BD1392C"/>
    <w:rsid w:val="1FFEDC50"/>
    <w:rsid w:val="2D3A7792"/>
    <w:rsid w:val="2F805A94"/>
    <w:rsid w:val="301729F2"/>
    <w:rsid w:val="3C5D3DE5"/>
    <w:rsid w:val="401E2F1A"/>
    <w:rsid w:val="40E47D03"/>
    <w:rsid w:val="4242468C"/>
    <w:rsid w:val="4C905CCA"/>
    <w:rsid w:val="4DABD22A"/>
    <w:rsid w:val="55DF5BF0"/>
    <w:rsid w:val="56FB7981"/>
    <w:rsid w:val="58D00F8B"/>
    <w:rsid w:val="5BEED5EE"/>
    <w:rsid w:val="62CF768B"/>
    <w:rsid w:val="6EF70438"/>
    <w:rsid w:val="70B14239"/>
    <w:rsid w:val="75BFFDE9"/>
    <w:rsid w:val="7BB941FD"/>
    <w:rsid w:val="7BEF3570"/>
    <w:rsid w:val="7FFF0E4E"/>
    <w:rsid w:val="7FFF6CA7"/>
    <w:rsid w:val="AA0FF67F"/>
    <w:rsid w:val="CFB596D1"/>
    <w:rsid w:val="DF9A6DE6"/>
    <w:rsid w:val="DFA29354"/>
    <w:rsid w:val="DFDB8EF5"/>
    <w:rsid w:val="EA3F74AD"/>
    <w:rsid w:val="EFBFE64C"/>
    <w:rsid w:val="FBFCBBEC"/>
    <w:rsid w:val="FCEE9188"/>
    <w:rsid w:val="FDAD1955"/>
    <w:rsid w:val="FEF9287A"/>
    <w:rsid w:val="FF1D6F5B"/>
    <w:rsid w:val="FFAB8D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2471</Words>
  <Characters>2547</Characters>
  <Lines>0</Lines>
  <Paragraphs>0</Paragraphs>
  <TotalTime>11</TotalTime>
  <ScaleCrop>false</ScaleCrop>
  <LinksUpToDate>false</LinksUpToDate>
  <CharactersWithSpaces>2581</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2022-01-07T15:29:00Z</dcterms:created>
  <dc:creator>Administrator</dc:creator>
  <cp:lastModifiedBy>李</cp:lastModifiedBy>
  <cp:lastPrinted>2025-01-14T16:58:46Z</cp:lastPrinted>
  <dcterms:modified xsi:type="dcterms:W3CDTF">2025-01-14T17:31:28Z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1157CE926B71424ABCEDD46E97C11597</vt:lpwstr>
  </property>
  <property fmtid="{D5CDD505-2E9C-101B-9397-08002B2CF9AE}" pid="4" name="KSOTemplateDocerSaveRecord">
    <vt:lpwstr>eyJoZGlkIjoiZGRhMTc0ODg5YWIwMjZhN2M0OTNjY2FkYzNiMGU3MDMiLCJ1c2VySWQiOiI1MDE3NTE4NjAifQ==</vt:lpwstr>
  </property>
</Properties>
</file>