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700" w:lineRule="exact"/>
        <w:ind w:right="0"/>
        <w:jc w:val="center"/>
        <w:textAlignment w:val="auto"/>
        <w:rPr>
          <w:rFonts w:hint="eastAsia" w:ascii="方正小标宋简体" w:hAnsi="方正小标宋简体" w:eastAsia="方正小标宋简体" w:cs="方正小标宋简体"/>
          <w:kern w:val="2"/>
          <w:sz w:val="44"/>
          <w:szCs w:val="52"/>
          <w:lang w:val="en-US" w:eastAsia="zh-CN" w:bidi="ar-SA"/>
        </w:rPr>
      </w:pPr>
      <w:r>
        <w:rPr>
          <w:rFonts w:hint="eastAsia" w:ascii="方正小标宋简体" w:hAnsi="方正小标宋简体" w:eastAsia="方正小标宋简体" w:cs="方正小标宋简体"/>
          <w:kern w:val="2"/>
          <w:sz w:val="44"/>
          <w:szCs w:val="52"/>
          <w:lang w:val="en-US" w:eastAsia="zh-CN" w:bidi="ar-SA"/>
        </w:rPr>
        <w:t>宁晋县供销合作社</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700" w:lineRule="exact"/>
        <w:ind w:right="0"/>
        <w:jc w:val="center"/>
        <w:textAlignment w:val="auto"/>
        <w:rPr>
          <w:rFonts w:hint="eastAsia" w:ascii="方正小标宋简体" w:hAnsi="方正小标宋简体" w:eastAsia="方正小标宋简体" w:cs="方正小标宋简体"/>
          <w:kern w:val="2"/>
          <w:sz w:val="44"/>
          <w:szCs w:val="52"/>
          <w:lang w:val="en-US" w:eastAsia="zh-CN" w:bidi="ar-SA"/>
        </w:rPr>
      </w:pPr>
      <w:r>
        <w:rPr>
          <w:rFonts w:hint="eastAsia" w:ascii="方正小标宋简体" w:hAnsi="方正小标宋简体" w:eastAsia="方正小标宋简体" w:cs="方正小标宋简体"/>
          <w:kern w:val="2"/>
          <w:sz w:val="44"/>
          <w:szCs w:val="52"/>
          <w:lang w:val="en-US" w:eastAsia="zh-CN" w:bidi="ar-SA"/>
        </w:rPr>
        <w:t>2024年政府信息公开工作年度报告</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方正小标宋简体" w:hAnsi="方正小标宋简体" w:eastAsia="方正小标宋简体" w:cs="方正小标宋简体"/>
          <w:kern w:val="2"/>
          <w:sz w:val="32"/>
          <w:szCs w:val="40"/>
          <w:lang w:val="en-US" w:eastAsia="zh-CN" w:bidi="ar-SA"/>
        </w:rPr>
      </w:pPr>
      <w:r>
        <w:rPr>
          <w:rFonts w:hint="eastAsia" w:ascii="仿宋" w:hAnsi="仿宋" w:eastAsia="仿宋" w:cs="仿宋"/>
          <w:kern w:val="2"/>
          <w:sz w:val="32"/>
          <w:szCs w:val="40"/>
          <w:lang w:val="en-US" w:eastAsia="zh-CN" w:bidi="ar-SA"/>
        </w:rPr>
        <w:t>本年度报告依据《中华人民共和国政府信息公开条例》、《中华人民共和国政府信息公开工作年度报告格式》和省、市、县政务公开工作要求，由宁晋县供销合作社编制而成。全文包括总体情况、主动公开政府信息情况、收到和处理政府信息公开申请情况、政府信息公开行政复议和行政诉讼情况、存在的主要问题及改进情况、其他需要报告的事项等内容。本年报中所列数据的统计期限为2024年1月1日至12月31日。</w:t>
      </w:r>
    </w:p>
    <w:p>
      <w:pPr>
        <w:ind w:firstLine="640" w:firstLineChars="200"/>
        <w:rPr>
          <w:rFonts w:hint="eastAsia" w:ascii="黑体" w:hAnsi="黑体" w:eastAsia="黑体" w:cs="黑体"/>
          <w:sz w:val="32"/>
          <w:szCs w:val="40"/>
          <w:lang w:val="en-US" w:eastAsia="zh-CN"/>
        </w:rPr>
      </w:pPr>
      <w:r>
        <w:rPr>
          <w:rFonts w:hint="eastAsia" w:ascii="黑体" w:hAnsi="黑体" w:eastAsia="黑体" w:cs="黑体"/>
          <w:sz w:val="32"/>
          <w:szCs w:val="40"/>
          <w:lang w:val="en-US" w:eastAsia="zh-CN"/>
        </w:rPr>
        <w:t>一、总体情况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仿宋" w:hAnsi="仿宋" w:eastAsia="仿宋" w:cs="仿宋"/>
          <w:kern w:val="2"/>
          <w:sz w:val="32"/>
          <w:szCs w:val="40"/>
          <w:lang w:val="en-US" w:eastAsia="zh-CN" w:bidi="ar-SA"/>
        </w:rPr>
      </w:pPr>
      <w:r>
        <w:rPr>
          <w:rFonts w:hint="eastAsia" w:ascii="仿宋" w:hAnsi="仿宋" w:eastAsia="仿宋" w:cs="仿宋"/>
          <w:kern w:val="2"/>
          <w:sz w:val="32"/>
          <w:szCs w:val="40"/>
          <w:lang w:val="en-US" w:eastAsia="zh-CN" w:bidi="ar-SA"/>
        </w:rPr>
        <w:t>今年以来我社严格落实《条例》和省、市、县信息公开相关文件要求，切实加强政府信息公开工作的组织建设和宣传管理，促进机关政务公开工作向制度化、规范化发展，全面引导和推进政府信息公开工作纵深发展，不断增强政府信息公开实效。</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楷体" w:hAnsi="楷体" w:eastAsia="楷体" w:cs="楷体"/>
          <w:kern w:val="2"/>
          <w:sz w:val="32"/>
          <w:szCs w:val="40"/>
          <w:lang w:val="en-US" w:eastAsia="zh-CN" w:bidi="ar-SA"/>
        </w:rPr>
      </w:pPr>
      <w:r>
        <w:rPr>
          <w:rFonts w:hint="eastAsia" w:ascii="楷体" w:hAnsi="楷体" w:eastAsia="楷体" w:cs="楷体"/>
          <w:kern w:val="2"/>
          <w:sz w:val="32"/>
          <w:szCs w:val="40"/>
          <w:lang w:val="en-US" w:eastAsia="zh-CN" w:bidi="ar-SA"/>
        </w:rPr>
        <w:t>（一）主动公开政府信息情况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3" w:firstLineChars="200"/>
        <w:jc w:val="both"/>
        <w:textAlignment w:val="auto"/>
        <w:rPr>
          <w:rFonts w:hint="eastAsia" w:ascii="仿宋" w:hAnsi="仿宋" w:eastAsia="仿宋" w:cs="仿宋"/>
          <w:b/>
          <w:bCs/>
          <w:kern w:val="2"/>
          <w:sz w:val="32"/>
          <w:szCs w:val="40"/>
          <w:lang w:val="en-US" w:eastAsia="zh-CN" w:bidi="ar-SA"/>
        </w:rPr>
      </w:pPr>
      <w:r>
        <w:rPr>
          <w:rFonts w:hint="eastAsia" w:ascii="仿宋" w:hAnsi="仿宋" w:eastAsia="仿宋" w:cs="仿宋"/>
          <w:b/>
          <w:bCs/>
          <w:kern w:val="2"/>
          <w:sz w:val="32"/>
          <w:szCs w:val="40"/>
          <w:lang w:val="en-US" w:eastAsia="zh-CN" w:bidi="ar-SA"/>
        </w:rPr>
        <w:t>1.主动公开政府信息的数量</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仿宋" w:hAnsi="仿宋" w:eastAsia="仿宋" w:cs="仿宋"/>
          <w:kern w:val="2"/>
          <w:sz w:val="32"/>
          <w:szCs w:val="40"/>
          <w:lang w:val="en-US" w:eastAsia="zh-CN" w:bidi="ar-SA"/>
        </w:rPr>
      </w:pPr>
      <w:r>
        <w:rPr>
          <w:rFonts w:hint="eastAsia" w:ascii="仿宋" w:hAnsi="仿宋" w:eastAsia="仿宋" w:cs="仿宋"/>
          <w:kern w:val="2"/>
          <w:sz w:val="32"/>
          <w:szCs w:val="40"/>
          <w:lang w:val="en-US" w:eastAsia="zh-CN" w:bidi="ar-SA"/>
        </w:rPr>
        <w:t>2024年我社主动更新发布政府信息2条。</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3" w:firstLineChars="200"/>
        <w:jc w:val="both"/>
        <w:textAlignment w:val="auto"/>
        <w:rPr>
          <w:rFonts w:hint="eastAsia" w:ascii="仿宋" w:hAnsi="仿宋" w:eastAsia="仿宋" w:cs="仿宋"/>
          <w:b/>
          <w:bCs/>
          <w:kern w:val="2"/>
          <w:sz w:val="32"/>
          <w:szCs w:val="40"/>
          <w:u w:val="none"/>
          <w:lang w:val="en-US" w:eastAsia="zh-CN" w:bidi="ar-SA"/>
        </w:rPr>
      </w:pPr>
      <w:r>
        <w:rPr>
          <w:rFonts w:hint="eastAsia" w:ascii="仿宋" w:hAnsi="仿宋" w:eastAsia="仿宋" w:cs="仿宋"/>
          <w:b/>
          <w:bCs/>
          <w:kern w:val="2"/>
          <w:sz w:val="32"/>
          <w:szCs w:val="40"/>
          <w:u w:val="none"/>
          <w:lang w:val="en-US" w:eastAsia="zh-CN" w:bidi="ar-SA"/>
        </w:rPr>
        <w:t>2.主动公开政府信息内容</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仿宋" w:hAnsi="仿宋" w:eastAsia="仿宋" w:cs="仿宋"/>
          <w:kern w:val="2"/>
          <w:sz w:val="32"/>
          <w:szCs w:val="40"/>
          <w:lang w:val="en-US" w:eastAsia="zh-CN" w:bidi="ar-SA"/>
        </w:rPr>
      </w:pPr>
      <w:r>
        <w:rPr>
          <w:rFonts w:hint="eastAsia" w:ascii="仿宋" w:hAnsi="仿宋" w:eastAsia="仿宋" w:cs="仿宋"/>
          <w:kern w:val="2"/>
          <w:sz w:val="32"/>
          <w:szCs w:val="40"/>
          <w:lang w:val="en-US" w:eastAsia="zh-CN" w:bidi="ar-SA"/>
        </w:rPr>
        <w:t>及时公开涉及的乡村振兴战略和供销社综合改革的信息，被《宁晋快报》采用2篇。通过宁晋县农村产权交易中心公众号及时公开农村产权交易信息500条，利用河北省农村产权交易中心网站发布信息9368条，做好服务“三农”的信息发布工作。</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楷体" w:hAnsi="楷体" w:eastAsia="楷体" w:cs="楷体"/>
          <w:kern w:val="2"/>
          <w:sz w:val="32"/>
          <w:szCs w:val="40"/>
          <w:lang w:val="en-US" w:eastAsia="zh-CN" w:bidi="ar-SA"/>
        </w:rPr>
      </w:pPr>
      <w:r>
        <w:rPr>
          <w:rFonts w:hint="eastAsia" w:ascii="楷体" w:hAnsi="楷体" w:eastAsia="楷体" w:cs="楷体"/>
          <w:kern w:val="2"/>
          <w:sz w:val="32"/>
          <w:szCs w:val="40"/>
          <w:lang w:val="en-US" w:eastAsia="zh-CN" w:bidi="ar-SA"/>
        </w:rPr>
        <w:t>（二）政府信息依申请公开办理情况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仿宋" w:hAnsi="仿宋" w:eastAsia="仿宋" w:cs="仿宋"/>
          <w:kern w:val="2"/>
          <w:sz w:val="32"/>
          <w:szCs w:val="40"/>
          <w:lang w:val="en-US" w:eastAsia="zh-CN" w:bidi="ar-SA"/>
        </w:rPr>
      </w:pPr>
      <w:r>
        <w:rPr>
          <w:rFonts w:hint="eastAsia" w:ascii="仿宋" w:hAnsi="仿宋" w:eastAsia="仿宋" w:cs="仿宋"/>
          <w:kern w:val="2"/>
          <w:sz w:val="32"/>
          <w:szCs w:val="40"/>
          <w:lang w:val="en-US" w:eastAsia="zh-CN" w:bidi="ar-SA"/>
        </w:rPr>
        <w:t>本年度我社未收到关于依申请公开政府信息的申请。</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楷体" w:hAnsi="楷体" w:eastAsia="楷体" w:cs="楷体"/>
          <w:kern w:val="2"/>
          <w:sz w:val="32"/>
          <w:szCs w:val="40"/>
          <w:lang w:val="en-US" w:eastAsia="zh-CN" w:bidi="ar-SA"/>
        </w:rPr>
      </w:pPr>
      <w:r>
        <w:rPr>
          <w:rFonts w:hint="eastAsia" w:ascii="楷体" w:hAnsi="楷体" w:eastAsia="楷体" w:cs="楷体"/>
          <w:kern w:val="2"/>
          <w:sz w:val="32"/>
          <w:szCs w:val="40"/>
          <w:lang w:val="en-US" w:eastAsia="zh-CN" w:bidi="ar-SA"/>
        </w:rPr>
        <w:t>（三）政府信息管理情况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仿宋" w:hAnsi="仿宋" w:eastAsia="仿宋" w:cs="仿宋"/>
          <w:kern w:val="2"/>
          <w:sz w:val="32"/>
          <w:szCs w:val="40"/>
          <w:lang w:val="en-US" w:eastAsia="zh-CN" w:bidi="ar-SA"/>
        </w:rPr>
      </w:pPr>
      <w:r>
        <w:rPr>
          <w:rFonts w:hint="eastAsia" w:ascii="仿宋" w:hAnsi="仿宋" w:eastAsia="仿宋" w:cs="仿宋"/>
          <w:kern w:val="2"/>
          <w:sz w:val="32"/>
          <w:szCs w:val="40"/>
          <w:lang w:val="en-US" w:eastAsia="zh-CN" w:bidi="ar-SA"/>
        </w:rPr>
        <w:t>为有效促进政务公开政府信息公开工作开展，确保工作规范、有序、有效进行，指定办公室为信息公开工作主管科室，并指定专门人员管理此项工作，负责督促、协调、监督信息公开工作，积极与各科室联系沟通，盯紧热点信息、及时获悉、及时公开发布，确保政府信息公开工作有序稳步顺利推进。</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楷体" w:hAnsi="楷体" w:eastAsia="楷体" w:cs="楷体"/>
          <w:kern w:val="2"/>
          <w:sz w:val="32"/>
          <w:szCs w:val="40"/>
          <w:lang w:val="en-US" w:eastAsia="zh-CN" w:bidi="ar-SA"/>
        </w:rPr>
      </w:pPr>
      <w:r>
        <w:rPr>
          <w:rFonts w:hint="eastAsia" w:ascii="楷体" w:hAnsi="楷体" w:eastAsia="楷体" w:cs="楷体"/>
          <w:kern w:val="2"/>
          <w:sz w:val="32"/>
          <w:szCs w:val="40"/>
          <w:lang w:val="en-US" w:eastAsia="zh-CN" w:bidi="ar-SA"/>
        </w:rPr>
        <w:t>（四）政府信息公开平台建设</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仿宋" w:hAnsi="仿宋" w:eastAsia="仿宋" w:cs="仿宋"/>
          <w:kern w:val="2"/>
          <w:sz w:val="32"/>
          <w:szCs w:val="40"/>
          <w:lang w:val="en-US" w:eastAsia="zh-CN" w:bidi="ar-SA"/>
        </w:rPr>
      </w:pPr>
      <w:r>
        <w:rPr>
          <w:rFonts w:hint="eastAsia" w:ascii="仿宋" w:hAnsi="仿宋" w:eastAsia="仿宋" w:cs="仿宋"/>
          <w:kern w:val="2"/>
          <w:sz w:val="32"/>
          <w:szCs w:val="40"/>
          <w:lang w:val="en-US" w:eastAsia="zh-CN" w:bidi="ar-SA"/>
        </w:rPr>
        <w:t>我社无政府信息公开平台建设。</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楷体" w:hAnsi="楷体" w:eastAsia="楷体" w:cs="楷体"/>
          <w:kern w:val="2"/>
          <w:sz w:val="32"/>
          <w:szCs w:val="40"/>
          <w:lang w:val="en-US" w:eastAsia="zh-CN" w:bidi="ar-SA"/>
        </w:rPr>
      </w:pPr>
      <w:r>
        <w:rPr>
          <w:rFonts w:hint="eastAsia" w:ascii="楷体" w:hAnsi="楷体" w:eastAsia="楷体" w:cs="楷体"/>
          <w:kern w:val="2"/>
          <w:sz w:val="32"/>
          <w:szCs w:val="40"/>
          <w:lang w:val="en-US" w:eastAsia="zh-CN" w:bidi="ar-SA"/>
        </w:rPr>
        <w:t>（五）政府信息公开工作的监督保障情况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仿宋" w:hAnsi="仿宋" w:eastAsia="仿宋" w:cs="仿宋"/>
          <w:kern w:val="2"/>
          <w:sz w:val="32"/>
          <w:szCs w:val="40"/>
          <w:lang w:val="en-US" w:eastAsia="zh-CN" w:bidi="ar-SA"/>
        </w:rPr>
      </w:pPr>
      <w:r>
        <w:rPr>
          <w:rFonts w:hint="eastAsia" w:ascii="仿宋" w:hAnsi="仿宋" w:eastAsia="仿宋" w:cs="仿宋"/>
          <w:kern w:val="2"/>
          <w:sz w:val="32"/>
          <w:szCs w:val="40"/>
          <w:lang w:val="en-US" w:eastAsia="zh-CN" w:bidi="ar-SA"/>
        </w:rPr>
        <w:t>1.安排专人负责，对应该主动公开的信息在规定时限内及时公开，公开的时间与公开的内容相适应，经常性工作定期公开，阶段性工作逐段公开，临时性工作随时公开。</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仿宋" w:hAnsi="仿宋" w:eastAsia="仿宋" w:cs="仿宋"/>
          <w:kern w:val="2"/>
          <w:sz w:val="32"/>
          <w:szCs w:val="40"/>
          <w:lang w:val="en-US" w:eastAsia="zh-CN" w:bidi="ar-SA"/>
        </w:rPr>
      </w:pPr>
      <w:r>
        <w:rPr>
          <w:rFonts w:hint="eastAsia" w:ascii="仿宋" w:hAnsi="仿宋" w:eastAsia="仿宋" w:cs="仿宋"/>
          <w:kern w:val="2"/>
          <w:sz w:val="32"/>
          <w:szCs w:val="40"/>
          <w:lang w:val="en-US" w:eastAsia="zh-CN" w:bidi="ar-SA"/>
        </w:rPr>
        <w:t>2.加强人员专业培训，结合国务院相关主管部门制定或者修订的政府信息公开行政复议案件审理规范、《河北省政府信息公开申请办理规范》和年度报格式，重点对依申请公开办理和政府信息公开年度报告编制等进行培训，提升业务人员操作技能，夯实业务基础，提升政务公开工作水平。</w:t>
      </w:r>
    </w:p>
    <w:p>
      <w:pPr>
        <w:ind w:firstLine="640" w:firstLineChars="200"/>
        <w:rPr>
          <w:rFonts w:hint="eastAsia" w:ascii="黑体" w:hAnsi="黑体" w:eastAsia="黑体" w:cs="黑体"/>
          <w:sz w:val="32"/>
          <w:szCs w:val="40"/>
          <w:lang w:val="en-US" w:eastAsia="zh-CN"/>
        </w:rPr>
      </w:pPr>
    </w:p>
    <w:p>
      <w:pPr>
        <w:ind w:firstLine="640" w:firstLineChars="200"/>
        <w:rPr>
          <w:rFonts w:hint="eastAsia" w:ascii="黑体" w:hAnsi="黑体" w:eastAsia="黑体" w:cs="黑体"/>
          <w:sz w:val="32"/>
          <w:szCs w:val="40"/>
          <w:lang w:val="en-US" w:eastAsia="zh-CN"/>
        </w:rPr>
      </w:pPr>
      <w:r>
        <w:rPr>
          <w:rFonts w:hint="eastAsia" w:ascii="黑体" w:hAnsi="黑体" w:eastAsia="黑体" w:cs="黑体"/>
          <w:sz w:val="32"/>
          <w:szCs w:val="40"/>
          <w:lang w:val="en-US" w:eastAsia="zh-CN"/>
        </w:rPr>
        <w:t>二、主动公开政府信息情况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tbl>
      <w:tblPr>
        <w:tblStyle w:val="3"/>
        <w:tblW w:w="97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2435"/>
        <w:gridCol w:w="2435"/>
        <w:gridCol w:w="2435"/>
        <w:gridCol w:w="24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eastAsiaTheme="minorEastAsia"/>
                <w:lang w:val="en-US" w:eastAsia="zh-CN"/>
              </w:rPr>
            </w:pPr>
            <w:r>
              <w:rPr>
                <w:rFonts w:hint="eastAsia"/>
                <w:lang w:val="en-US" w:eastAsia="zh-CN"/>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eastAsia="zh-CN"/>
              </w:rPr>
            </w:pPr>
            <w:r>
              <w:rPr>
                <w:rFonts w:hint="eastAsia"/>
                <w:lang w:val="en-US" w:eastAsia="zh-CN"/>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eastAsia="zh-CN"/>
              </w:rPr>
            </w:pPr>
            <w:r>
              <w:rPr>
                <w:rFonts w:hint="eastAsia"/>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lang w:val="en-US" w:eastAsia="zh-CN"/>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eastAsia="zh-CN"/>
              </w:rPr>
            </w:pPr>
            <w:r>
              <w:rPr>
                <w:rFonts w:hint="eastAsia"/>
                <w:lang w:val="en-US" w:eastAsia="zh-CN"/>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eastAsia="zh-CN"/>
              </w:rPr>
            </w:pPr>
            <w:r>
              <w:rPr>
                <w:rFonts w:hint="eastAsia"/>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jc w:val="center"/>
              <w:rPr>
                <w:rFonts w:hint="eastAsia" w:ascii="宋体" w:eastAsiaTheme="minorEastAsia"/>
                <w:sz w:val="24"/>
                <w:szCs w:val="24"/>
                <w:lang w:val="en-US" w:eastAsia="zh-CN"/>
              </w:rPr>
            </w:pPr>
            <w:r>
              <w:rPr>
                <w:rFonts w:hint="eastAsia"/>
                <w:lang w:val="en-US" w:eastAsia="zh-CN"/>
              </w:rPr>
              <w:t>0</w:t>
            </w:r>
          </w:p>
        </w:tc>
      </w:tr>
    </w:tbl>
    <w:p>
      <w:pPr>
        <w:ind w:firstLine="640" w:firstLineChars="200"/>
        <w:rPr>
          <w:rFonts w:hint="eastAsia" w:ascii="黑体" w:hAnsi="黑体" w:eastAsia="黑体" w:cs="黑体"/>
          <w:sz w:val="32"/>
          <w:szCs w:val="40"/>
          <w:lang w:val="en-US" w:eastAsia="zh-CN"/>
        </w:rPr>
      </w:pPr>
      <w:r>
        <w:rPr>
          <w:rFonts w:hint="eastAsia" w:ascii="黑体" w:hAnsi="黑体" w:eastAsia="黑体" w:cs="黑体"/>
          <w:sz w:val="32"/>
          <w:szCs w:val="40"/>
          <w:lang w:val="en-US" w:eastAsia="zh-CN"/>
        </w:rPr>
        <w:t>三、收到和处理政府信息公开申请情况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tbl>
      <w:tblPr>
        <w:tblStyle w:val="3"/>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768"/>
        <w:gridCol w:w="943"/>
        <w:gridCol w:w="3220"/>
        <w:gridCol w:w="688"/>
        <w:gridCol w:w="688"/>
        <w:gridCol w:w="688"/>
        <w:gridCol w:w="688"/>
        <w:gridCol w:w="688"/>
        <w:gridCol w:w="688"/>
        <w:gridCol w:w="689"/>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817"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8"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44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689"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8"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商业</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企业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科研</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689"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default"/>
                <w:lang w:val="en-US" w:eastAsia="zh-CN"/>
              </w:rPr>
            </w:pPr>
            <w:r>
              <w:rPr>
                <w:rFonts w:hint="eastAsia"/>
                <w:lang w:val="en-US" w:eastAsia="zh-CN"/>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default"/>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default"/>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default"/>
                <w:lang w:val="en-US" w:eastAsia="zh-CN"/>
              </w:rPr>
            </w:pPr>
            <w:r>
              <w:rPr>
                <w:rFonts w:hint="eastAsia"/>
                <w:lang w:val="en-US" w:eastAsia="zh-CN"/>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jc w:val="center"/>
              <w:rPr>
                <w:rFonts w:hint="default"/>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default"/>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1.属于国家秘密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default"/>
                <w:lang w:val="en-US" w:eastAsia="zh-CN"/>
              </w:rPr>
            </w:pPr>
            <w:r>
              <w:rPr>
                <w:rFonts w:hint="eastAsia"/>
                <w:lang w:val="en-US" w:eastAsia="zh-CN"/>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jc w:val="center"/>
              <w:rPr>
                <w:rFonts w:hint="default"/>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2.其他法律行政法规禁止公开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3.危及“三安全一稳定”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default"/>
                <w:lang w:val="en-US" w:eastAsia="zh-CN"/>
              </w:rPr>
            </w:pPr>
            <w:r>
              <w:rPr>
                <w:rFonts w:hint="eastAsia"/>
                <w:lang w:val="en-US" w:eastAsia="zh-CN"/>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4.保护第三方合法权益</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default"/>
                <w:lang w:val="en-US" w:eastAsia="zh-CN"/>
              </w:rPr>
            </w:pPr>
            <w:r>
              <w:rPr>
                <w:rFonts w:hint="eastAsia"/>
                <w:lang w:val="en-US" w:eastAsia="zh-CN"/>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default"/>
                <w:lang w:val="en-US" w:eastAsia="zh-CN"/>
              </w:rPr>
            </w:pPr>
            <w:r>
              <w:rPr>
                <w:rFonts w:hint="eastAsia"/>
                <w:lang w:val="en-US" w:eastAsia="zh-CN"/>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default"/>
                <w:lang w:val="en-US" w:eastAsia="zh-CN"/>
              </w:rPr>
            </w:pPr>
            <w:r>
              <w:rPr>
                <w:rFonts w:hint="eastAsia"/>
                <w:lang w:val="en-US" w:eastAsia="zh-CN"/>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default"/>
                <w:lang w:val="en-US" w:eastAsia="zh-CN"/>
              </w:rPr>
            </w:pPr>
            <w:r>
              <w:rPr>
                <w:rFonts w:hint="eastAsia"/>
                <w:lang w:val="en-US" w:eastAsia="zh-CN"/>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default"/>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default"/>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default"/>
                <w:lang w:val="en-US" w:eastAsia="zh-CN"/>
              </w:rPr>
            </w:pPr>
            <w:r>
              <w:rPr>
                <w:rFonts w:hint="eastAsia"/>
                <w:lang w:val="en-US" w:eastAsia="zh-CN"/>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jc w:val="center"/>
              <w:rPr>
                <w:rFonts w:hint="default"/>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79" w:hRule="atLeast"/>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jc w:val="center"/>
              <w:rPr>
                <w:rFonts w:hint="default"/>
                <w:lang w:val="en-US" w:eastAsia="zh-CN"/>
              </w:rPr>
            </w:pPr>
            <w:r>
              <w:rPr>
                <w:rFonts w:hint="eastAsia"/>
                <w:lang w:val="en-US" w:eastAsia="zh-CN"/>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9" w:type="dxa"/>
            <w:tcBorders>
              <w:top w:val="nil"/>
              <w:left w:val="nil"/>
              <w:bottom w:val="outset" w:color="auto" w:sz="8" w:space="0"/>
              <w:right w:val="single" w:color="auto" w:sz="8" w:space="0"/>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default"/>
                <w:lang w:val="en-US" w:eastAsia="zh-CN"/>
              </w:rPr>
            </w:pPr>
            <w:r>
              <w:rPr>
                <w:rFonts w:hint="eastAsia"/>
                <w:lang w:val="en-US" w:eastAsia="zh-CN"/>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default"/>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default"/>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default"/>
                <w:lang w:val="en-US" w:eastAsia="zh-CN"/>
              </w:rPr>
            </w:pPr>
            <w:r>
              <w:rPr>
                <w:rFonts w:hint="eastAsia"/>
                <w:lang w:val="en-US" w:eastAsia="zh-CN"/>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eastAsia"/>
                <w:lang w:val="en-US" w:eastAsia="zh-CN"/>
              </w:rPr>
            </w:pPr>
            <w:r>
              <w:rPr>
                <w:rFonts w:hint="eastAsia"/>
                <w:lang w:val="en-US" w:eastAsia="zh-CN"/>
              </w:rPr>
              <w:t>0</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黑体" w:hAnsi="黑体" w:eastAsia="黑体" w:cs="黑体"/>
          <w:b w:val="0"/>
          <w:bCs w:val="0"/>
          <w:i w:val="0"/>
          <w:iCs w:val="0"/>
          <w:caps w:val="0"/>
          <w:color w:val="333333"/>
          <w:spacing w:val="0"/>
          <w:sz w:val="32"/>
          <w:szCs w:val="32"/>
          <w:shd w:val="clear" w:fill="FFFFFF"/>
        </w:rPr>
      </w:pPr>
      <w:r>
        <w:rPr>
          <w:rFonts w:hint="eastAsia" w:ascii="黑体" w:hAnsi="黑体" w:eastAsia="黑体" w:cs="黑体"/>
          <w:kern w:val="2"/>
          <w:sz w:val="32"/>
          <w:szCs w:val="40"/>
          <w:lang w:val="en-US" w:eastAsia="zh-CN" w:bidi="ar-SA"/>
        </w:rPr>
        <w:t>四、政府信息公开行政复议、行政诉讼情况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tbl>
      <w:tblPr>
        <w:tblStyle w:val="3"/>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324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503"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9"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9"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48"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25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649"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其他</w:t>
            </w:r>
            <w:r>
              <w:rPr>
                <w:rFonts w:hint="eastAsia" w:ascii="宋体" w:hAnsi="宋体" w:eastAsia="宋体" w:cs="宋体"/>
                <w:color w:val="000000"/>
                <w:kern w:val="0"/>
                <w:sz w:val="20"/>
                <w:szCs w:val="20"/>
                <w:lang w:val="en-US" w:eastAsia="zh-CN" w:bidi="ar"/>
              </w:rPr>
              <w:br w:type="textWrapping"/>
            </w:r>
            <w:r>
              <w:rPr>
                <w:rFonts w:hint="eastAsia" w:ascii="宋体" w:hAnsi="宋体" w:eastAsia="宋体" w:cs="宋体"/>
                <w:color w:val="000000"/>
                <w:kern w:val="0"/>
                <w:sz w:val="20"/>
                <w:szCs w:val="20"/>
                <w:lang w:val="en-US" w:eastAsia="zh-CN" w:bidi="ar"/>
              </w:rPr>
              <w:t>结果</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72" w:hRule="atLeast"/>
          <w:jc w:val="center"/>
        </w:trPr>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jc w:val="center"/>
              <w:rPr>
                <w:rFonts w:hint="eastAsia"/>
                <w:lang w:val="en-US" w:eastAsia="zh-CN"/>
              </w:rPr>
            </w:pPr>
            <w:r>
              <w:rPr>
                <w:rFonts w:hint="eastAsia"/>
                <w:lang w:val="en-US" w:eastAsia="zh-CN"/>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jc w:val="center"/>
              <w:rPr>
                <w:rFonts w:hint="default"/>
                <w:lang w:val="en-US" w:eastAsia="zh-CN"/>
              </w:rPr>
            </w:pPr>
            <w:r>
              <w:rPr>
                <w:rFonts w:hint="eastAsia"/>
                <w:lang w:val="en-US" w:eastAsia="zh-CN"/>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jc w:val="center"/>
              <w:rPr>
                <w:rFonts w:hint="default"/>
                <w:lang w:val="en-US" w:eastAsia="zh-CN"/>
              </w:rPr>
            </w:pPr>
            <w:r>
              <w:rPr>
                <w:rFonts w:hint="eastAsia"/>
                <w:lang w:val="en-US" w:eastAsia="zh-CN"/>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jc w:val="center"/>
              <w:rPr>
                <w:rFonts w:hint="default"/>
                <w:lang w:val="en-US" w:eastAsia="zh-CN"/>
              </w:rPr>
            </w:pPr>
            <w:r>
              <w:rPr>
                <w:rFonts w:hint="eastAsia"/>
                <w:lang w:val="en-US" w:eastAsia="zh-CN"/>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jc w:val="center"/>
              <w:rPr>
                <w:rFonts w:hint="default"/>
                <w:lang w:val="en-US" w:eastAsia="zh-CN"/>
              </w:rPr>
            </w:pPr>
            <w:r>
              <w:rPr>
                <w:rFonts w:hint="eastAsia"/>
                <w:lang w:val="en-US" w:eastAsia="zh-CN"/>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jc w:val="center"/>
              <w:rPr>
                <w:rFonts w:hint="eastAsia"/>
                <w:lang w:val="en-US" w:eastAsia="zh-CN"/>
              </w:rPr>
            </w:pPr>
            <w:r>
              <w:rPr>
                <w:rFonts w:hint="eastAsia"/>
                <w:lang w:val="en-US" w:eastAsia="zh-CN"/>
              </w:rPr>
              <w:t>0 </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jc w:val="center"/>
              <w:rPr>
                <w:rFonts w:hint="eastAsia"/>
                <w:lang w:val="en-US" w:eastAsia="zh-CN"/>
              </w:rPr>
            </w:pPr>
            <w:r>
              <w:rPr>
                <w:rFonts w:hint="eastAsia"/>
                <w:lang w:val="en-US" w:eastAsia="zh-CN"/>
              </w:rPr>
              <w:t>0 </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jc w:val="center"/>
              <w:rPr>
                <w:rFonts w:hint="eastAsia"/>
                <w:lang w:val="en-US" w:eastAsia="zh-CN"/>
              </w:rPr>
            </w:pPr>
            <w:r>
              <w:rPr>
                <w:rFonts w:hint="eastAsia"/>
                <w:lang w:val="en-US" w:eastAsia="zh-CN"/>
              </w:rPr>
              <w:t>0 </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jc w:val="center"/>
              <w:rPr>
                <w:rFonts w:hint="eastAsia"/>
                <w:lang w:val="en-US" w:eastAsia="zh-CN"/>
              </w:rPr>
            </w:pPr>
            <w:r>
              <w:rPr>
                <w:rFonts w:hint="eastAsia"/>
                <w:lang w:val="en-US" w:eastAsia="zh-CN"/>
              </w:rPr>
              <w:t>0 </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jc w:val="center"/>
              <w:rPr>
                <w:rFonts w:hint="default"/>
                <w:lang w:val="en-US" w:eastAsia="zh-CN"/>
              </w:rPr>
            </w:pPr>
            <w:r>
              <w:rPr>
                <w:rFonts w:hint="eastAsia"/>
                <w:lang w:val="en-US" w:eastAsia="zh-CN"/>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jc w:val="center"/>
              <w:rPr>
                <w:rFonts w:hint="default"/>
                <w:lang w:val="en-US" w:eastAsia="zh-CN"/>
              </w:rPr>
            </w:pPr>
            <w:r>
              <w:rPr>
                <w:rFonts w:hint="eastAsia"/>
                <w:lang w:val="en-US" w:eastAsia="zh-CN"/>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jc w:val="center"/>
              <w:rPr>
                <w:rFonts w:hint="default"/>
                <w:lang w:val="en-US" w:eastAsia="zh-CN"/>
              </w:rPr>
            </w:pPr>
            <w:r>
              <w:rPr>
                <w:rFonts w:hint="eastAsia"/>
                <w:lang w:val="en-US" w:eastAsia="zh-CN"/>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jc w:val="center"/>
              <w:rPr>
                <w:rFonts w:hint="eastAsia"/>
                <w:lang w:val="en-US" w:eastAsia="zh-CN"/>
              </w:rPr>
            </w:pPr>
            <w:r>
              <w:rPr>
                <w:rFonts w:hint="eastAsia"/>
                <w:lang w:val="en-US" w:eastAsia="zh-CN"/>
              </w:rPr>
              <w:t>0 </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jc w:val="center"/>
              <w:rPr>
                <w:rFonts w:hint="eastAsia"/>
                <w:lang w:val="en-US" w:eastAsia="zh-CN"/>
              </w:rPr>
            </w:pPr>
            <w:r>
              <w:rPr>
                <w:rFonts w:hint="eastAsia"/>
                <w:lang w:val="en-US" w:eastAsia="zh-CN"/>
              </w:rPr>
              <w:t>0 </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jc w:val="center"/>
              <w:rPr>
                <w:rFonts w:hint="eastAsia"/>
                <w:lang w:val="en-US" w:eastAsia="zh-CN"/>
              </w:rPr>
            </w:pPr>
            <w:r>
              <w:rPr>
                <w:rFonts w:hint="eastAsia"/>
                <w:lang w:val="en-US" w:eastAsia="zh-CN"/>
              </w:rPr>
              <w:t>0</w:t>
            </w:r>
          </w:p>
        </w:tc>
      </w:tr>
    </w:tbl>
    <w:p>
      <w:pPr>
        <w:ind w:firstLine="640" w:firstLineChars="200"/>
        <w:rPr>
          <w:rFonts w:hint="eastAsia" w:ascii="黑体" w:hAnsi="黑体" w:eastAsia="黑体" w:cs="黑体"/>
          <w:sz w:val="32"/>
          <w:szCs w:val="40"/>
          <w:lang w:val="en-US" w:eastAsia="zh-CN"/>
        </w:rPr>
      </w:pPr>
      <w:r>
        <w:rPr>
          <w:rFonts w:hint="eastAsia" w:ascii="黑体" w:hAnsi="黑体" w:eastAsia="黑体" w:cs="黑体"/>
          <w:sz w:val="32"/>
          <w:szCs w:val="40"/>
          <w:lang w:val="en-US" w:eastAsia="zh-CN"/>
        </w:rPr>
        <w:t>五、存在的主要问题及改进情况</w:t>
      </w:r>
    </w:p>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b w:val="0"/>
          <w:bCs w:val="0"/>
          <w:kern w:val="2"/>
          <w:sz w:val="32"/>
          <w:szCs w:val="32"/>
          <w:lang w:val="en-US" w:eastAsia="zh-CN" w:bidi="ar-SA"/>
        </w:rPr>
        <w:t>我社的信息公开工作</w:t>
      </w:r>
      <w:bookmarkStart w:id="0" w:name="_GoBack"/>
      <w:bookmarkEnd w:id="0"/>
      <w:r>
        <w:rPr>
          <w:rFonts w:hint="eastAsia" w:ascii="仿宋" w:hAnsi="仿宋" w:eastAsia="仿宋" w:cs="仿宋"/>
          <w:b w:val="0"/>
          <w:bCs w:val="0"/>
          <w:kern w:val="2"/>
          <w:sz w:val="32"/>
          <w:szCs w:val="32"/>
          <w:lang w:val="en-US" w:eastAsia="zh-CN" w:bidi="ar-SA"/>
        </w:rPr>
        <w:t>取得了一定成效，同时公开工作还存在些许不足，公开的内容不够全面还需要进一步丰富，信息公开数量不够多，在今后的工作中，我们将对公开工作进行总结、规范和提升，深入扎实推进，不断扩大和巩固公开工作成果，进一步完善政府信息公开操作细则，丰富公开内容，提高公开效率。确保需要主动公开的政府信息得以及时公开，全面提升政府信息公开工作水平。</w:t>
      </w:r>
    </w:p>
    <w:p>
      <w:pPr>
        <w:ind w:firstLine="640" w:firstLineChars="200"/>
        <w:rPr>
          <w:rFonts w:hint="eastAsia" w:ascii="黑体" w:hAnsi="黑体" w:eastAsia="黑体" w:cs="黑体"/>
          <w:sz w:val="32"/>
          <w:szCs w:val="40"/>
          <w:lang w:val="en-US" w:eastAsia="zh-CN"/>
        </w:rPr>
      </w:pPr>
      <w:r>
        <w:rPr>
          <w:rFonts w:hint="eastAsia" w:ascii="黑体" w:hAnsi="黑体" w:eastAsia="黑体" w:cs="黑体"/>
          <w:sz w:val="32"/>
          <w:szCs w:val="40"/>
          <w:lang w:val="en-US" w:eastAsia="zh-CN"/>
        </w:rPr>
        <w:t>六、其他需要报告的事项</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2024年，宁晋县供销合作社没有收取信息处理费，无其他需要报告事项。</w:t>
      </w:r>
    </w:p>
    <w:p>
      <w:pPr>
        <w:rPr>
          <w:rFonts w:hint="eastAsia" w:ascii="黑体" w:hAnsi="黑体" w:eastAsia="黑体" w:cs="黑体"/>
          <w:sz w:val="32"/>
          <w:szCs w:val="40"/>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QyODQ4M2E5MTJjMmI5MWNmMzZkOTBjNmY4NWJjMzMifQ=="/>
  </w:docVars>
  <w:rsids>
    <w:rsidRoot w:val="063977E7"/>
    <w:rsid w:val="00D07A50"/>
    <w:rsid w:val="00FB60AC"/>
    <w:rsid w:val="063977E7"/>
    <w:rsid w:val="07B40DC4"/>
    <w:rsid w:val="088665DB"/>
    <w:rsid w:val="0AAA2F9A"/>
    <w:rsid w:val="0CA7192D"/>
    <w:rsid w:val="0D2F01B1"/>
    <w:rsid w:val="0FF923AE"/>
    <w:rsid w:val="1099792F"/>
    <w:rsid w:val="11ED3873"/>
    <w:rsid w:val="1439793E"/>
    <w:rsid w:val="18C54754"/>
    <w:rsid w:val="18D92F68"/>
    <w:rsid w:val="1BD1392C"/>
    <w:rsid w:val="1D4C3502"/>
    <w:rsid w:val="20C35E6F"/>
    <w:rsid w:val="21635AC5"/>
    <w:rsid w:val="2205092A"/>
    <w:rsid w:val="22F10EAE"/>
    <w:rsid w:val="238B30B1"/>
    <w:rsid w:val="24FA6F06"/>
    <w:rsid w:val="283F5927"/>
    <w:rsid w:val="2B470185"/>
    <w:rsid w:val="2D3A7792"/>
    <w:rsid w:val="2F673306"/>
    <w:rsid w:val="301729F2"/>
    <w:rsid w:val="348338B6"/>
    <w:rsid w:val="3C5D3DE5"/>
    <w:rsid w:val="401E2F1A"/>
    <w:rsid w:val="40E47D03"/>
    <w:rsid w:val="4EA1066C"/>
    <w:rsid w:val="56D3069F"/>
    <w:rsid w:val="56FB7981"/>
    <w:rsid w:val="58D00F8B"/>
    <w:rsid w:val="59781DF7"/>
    <w:rsid w:val="5C5907EA"/>
    <w:rsid w:val="623B090A"/>
    <w:rsid w:val="67726A61"/>
    <w:rsid w:val="6DD82714"/>
    <w:rsid w:val="74D26BA6"/>
    <w:rsid w:val="763D780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2022</Words>
  <Characters>2064</Characters>
  <Lines>0</Lines>
  <Paragraphs>0</Paragraphs>
  <TotalTime>62</TotalTime>
  <ScaleCrop>false</ScaleCrop>
  <LinksUpToDate>false</LinksUpToDate>
  <CharactersWithSpaces>2070</CharactersWithSpaces>
  <Application>WPS Office_11.8.2.12195_F1E327BC-269C-435d-A152-05C5408002CA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2022-01-06T07:29:00Z</dcterms:created>
  <dc:creator>Administrator</dc:creator>
  <cp:lastModifiedBy>xs580</cp:lastModifiedBy>
  <dcterms:modified xsi:type="dcterms:W3CDTF">2025-01-15T03:22:32Z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1157CE926B71424ABCEDD46E97C11597</vt:lpwstr>
  </property>
</Properties>
</file>