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146999B">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i w:val="0"/>
          <w:caps w:val="0"/>
          <w:color w:val="333333"/>
          <w:spacing w:val="0"/>
          <w:sz w:val="44"/>
          <w:szCs w:val="44"/>
          <w:u w:val="none"/>
          <w:shd w:val="clear" w:fill="FFFFFF"/>
          <w:lang w:val="en-US" w:eastAsia="zh-CN"/>
        </w:rPr>
      </w:pPr>
      <w:r>
        <w:rPr>
          <w:rFonts w:hint="eastAsia" w:ascii="方正小标宋简体" w:hAnsi="方正小标宋简体" w:eastAsia="方正小标宋简体" w:cs="方正小标宋简体"/>
          <w:b w:val="0"/>
          <w:bCs/>
          <w:i w:val="0"/>
          <w:caps w:val="0"/>
          <w:color w:val="333333"/>
          <w:spacing w:val="0"/>
          <w:sz w:val="44"/>
          <w:szCs w:val="44"/>
          <w:u w:val="none"/>
          <w:shd w:val="clear" w:fill="FFFFFF"/>
        </w:rPr>
        <w:t>宁晋县宁北街道</w:t>
      </w:r>
      <w:r>
        <w:rPr>
          <w:rFonts w:hint="eastAsia" w:ascii="方正小标宋简体" w:hAnsi="方正小标宋简体" w:eastAsia="方正小标宋简体" w:cs="方正小标宋简体"/>
          <w:b w:val="0"/>
          <w:bCs/>
          <w:i w:val="0"/>
          <w:caps w:val="0"/>
          <w:color w:val="333333"/>
          <w:spacing w:val="0"/>
          <w:sz w:val="44"/>
          <w:szCs w:val="44"/>
          <w:u w:val="none"/>
          <w:shd w:val="clear" w:fill="FFFFFF"/>
          <w:lang w:val="en-US" w:eastAsia="zh-CN"/>
        </w:rPr>
        <w:t>办事处</w:t>
      </w:r>
    </w:p>
    <w:p w14:paraId="1C614AE1">
      <w:pPr>
        <w:pStyle w:val="2"/>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right="0"/>
        <w:jc w:val="center"/>
        <w:textAlignment w:val="auto"/>
        <w:rPr>
          <w:rFonts w:hint="eastAsia" w:ascii="方正小标宋简体" w:hAnsi="方正小标宋简体" w:eastAsia="方正小标宋简体" w:cs="方正小标宋简体"/>
          <w:b w:val="0"/>
          <w:bCs/>
          <w:i w:val="0"/>
          <w:color w:val="333333"/>
          <w:sz w:val="44"/>
          <w:szCs w:val="44"/>
          <w:u w:val="none"/>
        </w:rPr>
      </w:pPr>
      <w:r>
        <w:rPr>
          <w:rFonts w:hint="eastAsia" w:ascii="方正小标宋简体" w:hAnsi="方正小标宋简体" w:eastAsia="方正小标宋简体" w:cs="方正小标宋简体"/>
          <w:b w:val="0"/>
          <w:bCs/>
          <w:i w:val="0"/>
          <w:caps w:val="0"/>
          <w:color w:val="333333"/>
          <w:spacing w:val="0"/>
          <w:sz w:val="44"/>
          <w:szCs w:val="44"/>
          <w:u w:val="none"/>
          <w:shd w:val="clear" w:fill="FFFFFF"/>
        </w:rPr>
        <w:t>202</w:t>
      </w:r>
      <w:r>
        <w:rPr>
          <w:rFonts w:hint="eastAsia" w:ascii="方正小标宋简体" w:hAnsi="方正小标宋简体" w:eastAsia="方正小标宋简体" w:cs="方正小标宋简体"/>
          <w:b w:val="0"/>
          <w:bCs/>
          <w:i w:val="0"/>
          <w:caps w:val="0"/>
          <w:color w:val="333333"/>
          <w:spacing w:val="0"/>
          <w:sz w:val="44"/>
          <w:szCs w:val="44"/>
          <w:u w:val="none"/>
          <w:shd w:val="clear" w:fill="FFFFFF"/>
          <w:lang w:val="en-US" w:eastAsia="zh-CN"/>
        </w:rPr>
        <w:t>4</w:t>
      </w:r>
      <w:r>
        <w:rPr>
          <w:rFonts w:hint="eastAsia" w:ascii="方正小标宋简体" w:hAnsi="方正小标宋简体" w:eastAsia="方正小标宋简体" w:cs="方正小标宋简体"/>
          <w:b w:val="0"/>
          <w:bCs/>
          <w:i w:val="0"/>
          <w:caps w:val="0"/>
          <w:color w:val="333333"/>
          <w:spacing w:val="0"/>
          <w:sz w:val="44"/>
          <w:szCs w:val="44"/>
          <w:u w:val="none"/>
          <w:shd w:val="clear" w:fill="FFFFFF"/>
        </w:rPr>
        <w:t>年政府信息公开工作年度报告</w:t>
      </w:r>
    </w:p>
    <w:p w14:paraId="1C8A0498">
      <w:pPr>
        <w:ind w:firstLine="560" w:firstLineChars="200"/>
        <w:rPr>
          <w:rFonts w:hint="eastAsia" w:ascii="仿宋" w:hAnsi="仿宋" w:eastAsia="仿宋" w:cs="仿宋"/>
          <w:sz w:val="28"/>
          <w:szCs w:val="28"/>
          <w:lang w:val="en-US" w:eastAsia="zh-CN"/>
        </w:rPr>
      </w:pPr>
    </w:p>
    <w:p w14:paraId="156FCDCA">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lang w:val="en-US" w:eastAsia="zh-CN"/>
        </w:rPr>
      </w:pPr>
      <w:r>
        <w:rPr>
          <w:rFonts w:hint="eastAsia" w:ascii="仿宋_GB2312" w:hAnsi="仿宋_GB2312" w:eastAsia="仿宋_GB2312" w:cs="仿宋_GB2312"/>
          <w:sz w:val="30"/>
          <w:szCs w:val="30"/>
          <w:lang w:val="en-US" w:eastAsia="zh-CN"/>
        </w:rPr>
        <w:t>本年度报告依据《中华人民共和国政府信息公开条例》、《中华人民共和国政府信息公开工作年度报告格式》和省、市政务公开工作要求，由宁晋县宁北街道办事处办公室编制而成。全文包括总体情况、主动公开政府信息情况、收到和处理政府信息公开申请情况、政府信息公开行政复议和行政诉讼情况、存在的主要问题及改进情况、其他需要报告的事项等内容。本年报中所列数据的统计期限为2024年1月1日至12月31日。本年报的电子版可在宁晋县人民政府网站（https://www.ningjin.gov.cn/）下载。如对本年报有任何疑问，请与宁晋县宁北街道办事处办公室联系，联系电话：0319-5811139。</w:t>
      </w:r>
    </w:p>
    <w:p w14:paraId="526F38DF">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黑体" w:hAnsi="黑体" w:eastAsia="黑体" w:cs="黑体"/>
          <w:sz w:val="30"/>
          <w:szCs w:val="30"/>
          <w:lang w:val="en-US" w:eastAsia="zh-CN"/>
        </w:rPr>
      </w:pPr>
      <w:r>
        <w:rPr>
          <w:rFonts w:hint="eastAsia" w:ascii="黑体" w:hAnsi="黑体" w:eastAsia="黑体" w:cs="黑体"/>
          <w:sz w:val="30"/>
          <w:szCs w:val="30"/>
          <w:lang w:val="en-US" w:eastAsia="zh-CN"/>
        </w:rPr>
        <w:t>一、总体情况</w:t>
      </w:r>
    </w:p>
    <w:p w14:paraId="360E5EA2">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仿宋_GB2312" w:hAnsi="仿宋_GB2312" w:eastAsia="仿宋_GB2312" w:cs="仿宋_GB2312"/>
          <w:sz w:val="30"/>
          <w:szCs w:val="30"/>
          <w:lang w:val="en-US" w:eastAsia="zh-CN"/>
        </w:rPr>
        <w:t>2024年，宁晋县宁北街道办事处坚持以习近平新时代中国特色社会主义思想为指导，全面贯彻落实党中央、国务院关于政务公开决策部署和省委、省政府、市委、市政府以及县委、县政府工作安排，</w:t>
      </w:r>
      <w:r>
        <w:rPr>
          <w:rFonts w:hint="eastAsia" w:ascii="仿宋_GB2312" w:hAnsi="仿宋_GB2312" w:eastAsia="仿宋_GB2312" w:cs="仿宋_GB2312"/>
          <w:sz w:val="30"/>
          <w:szCs w:val="30"/>
          <w:highlight w:val="none"/>
          <w:lang w:val="en-US" w:eastAsia="zh-CN"/>
        </w:rPr>
        <w:t>在县委、县政府的统一领导和部署下，我办</w:t>
      </w:r>
      <w:r>
        <w:rPr>
          <w:rFonts w:hint="eastAsia" w:ascii="仿宋_GB2312" w:hAnsi="仿宋_GB2312" w:eastAsia="仿宋_GB2312" w:cs="仿宋_GB2312"/>
          <w:sz w:val="30"/>
          <w:szCs w:val="30"/>
          <w:lang w:val="en-US" w:eastAsia="zh-CN"/>
        </w:rPr>
        <w:t>紧紧围绕主动公开、依申请公开、政府信息管理、政府信息公开平台建设、监督保障等方面的内容，积极督导、推进政务公开工作顺利开展，为加快建设经济强县、美丽宁晋打造了良好的生态环境。</w:t>
      </w:r>
    </w:p>
    <w:p w14:paraId="1A36504B">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仿宋_GB2312" w:hAnsi="仿宋_GB2312" w:eastAsia="仿宋_GB2312" w:cs="仿宋_GB2312"/>
          <w:sz w:val="30"/>
          <w:szCs w:val="30"/>
          <w:lang w:val="en-US" w:eastAsia="zh-CN"/>
        </w:rPr>
      </w:pPr>
      <w:r>
        <w:rPr>
          <w:rFonts w:hint="eastAsia" w:ascii="楷体_GB2312" w:hAnsi="楷体_GB2312" w:eastAsia="楷体_GB2312" w:cs="楷体_GB2312"/>
          <w:b w:val="0"/>
          <w:bCs w:val="0"/>
          <w:sz w:val="30"/>
          <w:szCs w:val="30"/>
          <w:lang w:val="en-US" w:eastAsia="zh-CN"/>
        </w:rPr>
        <w:t>（一）主动公开情况。</w:t>
      </w:r>
      <w:r>
        <w:rPr>
          <w:rFonts w:hint="eastAsia" w:ascii="仿宋_GB2312" w:hAnsi="仿宋_GB2312" w:eastAsia="仿宋_GB2312" w:cs="仿宋_GB2312"/>
          <w:sz w:val="30"/>
          <w:szCs w:val="30"/>
          <w:lang w:val="en-US" w:eastAsia="zh-CN"/>
        </w:rPr>
        <w:t>2024年，通过宁晋县政府网站和政府信息公开平台发布工作部署乡镇动态、行政执法、预算决算、公共服务清单等各类政府信息</w:t>
      </w:r>
      <w:r>
        <w:rPr>
          <w:rFonts w:hint="eastAsia" w:ascii="仿宋_GB2312" w:hAnsi="仿宋_GB2312" w:eastAsia="仿宋_GB2312" w:cs="仿宋_GB2312"/>
          <w:sz w:val="30"/>
          <w:szCs w:val="30"/>
          <w:highlight w:val="none"/>
          <w:lang w:val="en-US" w:eastAsia="zh-CN"/>
        </w:rPr>
        <w:t>180</w:t>
      </w:r>
      <w:r>
        <w:rPr>
          <w:rFonts w:hint="eastAsia" w:ascii="仿宋_GB2312" w:hAnsi="仿宋_GB2312" w:eastAsia="仿宋_GB2312" w:cs="仿宋_GB2312"/>
          <w:sz w:val="30"/>
          <w:szCs w:val="30"/>
          <w:lang w:val="en-US" w:eastAsia="zh-CN"/>
        </w:rPr>
        <w:t>余条。</w:t>
      </w:r>
    </w:p>
    <w:p w14:paraId="441BAC5B">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仿宋_GB2312" w:hAnsi="仿宋_GB2312" w:eastAsia="仿宋_GB2312" w:cs="仿宋_GB2312"/>
          <w:sz w:val="30"/>
          <w:szCs w:val="30"/>
          <w:lang w:val="en-US" w:eastAsia="zh-CN"/>
        </w:rPr>
      </w:pPr>
      <w:r>
        <w:rPr>
          <w:rFonts w:hint="eastAsia" w:ascii="楷体_GB2312" w:hAnsi="楷体_GB2312" w:eastAsia="楷体_GB2312" w:cs="楷体_GB2312"/>
          <w:b w:val="0"/>
          <w:bCs w:val="0"/>
          <w:sz w:val="30"/>
          <w:szCs w:val="30"/>
          <w:lang w:val="en-US" w:eastAsia="zh-CN"/>
        </w:rPr>
        <w:t>（二）依申请公开情况。</w:t>
      </w:r>
      <w:r>
        <w:rPr>
          <w:rFonts w:hint="eastAsia" w:ascii="仿宋_GB2312" w:hAnsi="仿宋_GB2312" w:eastAsia="仿宋_GB2312" w:cs="仿宋_GB2312"/>
          <w:sz w:val="30"/>
          <w:szCs w:val="30"/>
          <w:lang w:val="en-US" w:eastAsia="zh-CN"/>
        </w:rPr>
        <w:t>2024年我办因政府信息依申请公开引起的</w:t>
      </w:r>
      <w:r>
        <w:rPr>
          <w:rFonts w:hint="eastAsia" w:ascii="仿宋_GB2312" w:hAnsi="仿宋_GB2312" w:eastAsia="仿宋_GB2312" w:cs="仿宋_GB2312"/>
          <w:sz w:val="30"/>
          <w:szCs w:val="30"/>
          <w:highlight w:val="none"/>
          <w:lang w:val="en-US" w:eastAsia="zh-CN"/>
        </w:rPr>
        <w:t>行政复议1件，</w:t>
      </w:r>
      <w:r>
        <w:rPr>
          <w:rFonts w:hint="eastAsia" w:ascii="仿宋_GB2312" w:hAnsi="仿宋_GB2312" w:eastAsia="仿宋_GB2312" w:cs="仿宋_GB2312"/>
          <w:sz w:val="30"/>
          <w:szCs w:val="30"/>
          <w:lang w:val="en-US" w:eastAsia="zh-CN"/>
        </w:rPr>
        <w:t>行政复议依法依规进行了处理，未发生诉讼及相关公开和咨询情况。</w:t>
      </w:r>
    </w:p>
    <w:p w14:paraId="576662CA">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eastAsia" w:ascii="仿宋" w:hAnsi="仿宋" w:eastAsia="仿宋" w:cs="仿宋"/>
          <w:sz w:val="30"/>
          <w:szCs w:val="30"/>
          <w:lang w:val="en-US" w:eastAsia="zh-CN"/>
        </w:rPr>
      </w:pPr>
      <w:r>
        <w:rPr>
          <w:rFonts w:hint="eastAsia" w:ascii="楷体_GB2312" w:hAnsi="楷体_GB2312" w:eastAsia="楷体_GB2312" w:cs="楷体_GB2312"/>
          <w:b w:val="0"/>
          <w:bCs w:val="0"/>
          <w:sz w:val="30"/>
          <w:szCs w:val="30"/>
          <w:lang w:val="en-US" w:eastAsia="zh-CN"/>
        </w:rPr>
        <w:t>（三）政府信息管理。</w:t>
      </w:r>
      <w:r>
        <w:rPr>
          <w:rFonts w:hint="eastAsia" w:ascii="仿宋_GB2312" w:hAnsi="仿宋_GB2312" w:eastAsia="仿宋_GB2312" w:cs="仿宋_GB2312"/>
          <w:sz w:val="30"/>
          <w:szCs w:val="30"/>
          <w:highlight w:val="none"/>
          <w:lang w:val="en-US" w:eastAsia="zh-CN"/>
        </w:rPr>
        <w:t>我办严格落实各项信息管理机制，结合本单位实际情况，建立健全相关政府信息公开工作制度，并指定专人管理此项工作，时刻关注热点信息，及时公开发布，确保政府信息公开工作规范、有序地开展。</w:t>
      </w:r>
    </w:p>
    <w:p w14:paraId="3DF01C3E">
      <w:pPr>
        <w:keepNext w:val="0"/>
        <w:keepLines w:val="0"/>
        <w:pageBreakBefore w:val="0"/>
        <w:kinsoku/>
        <w:wordWrap/>
        <w:overflowPunct/>
        <w:topLinePunct w:val="0"/>
        <w:autoSpaceDE/>
        <w:autoSpaceDN/>
        <w:bidi w:val="0"/>
        <w:adjustRightInd/>
        <w:snapToGrid/>
        <w:spacing w:line="560" w:lineRule="exact"/>
        <w:ind w:firstLine="600" w:firstLineChars="200"/>
        <w:jc w:val="both"/>
        <w:textAlignment w:val="auto"/>
        <w:rPr>
          <w:rFonts w:hint="default" w:ascii="仿宋" w:hAnsi="仿宋" w:eastAsia="仿宋" w:cs="仿宋"/>
          <w:sz w:val="30"/>
          <w:szCs w:val="30"/>
          <w:lang w:val="en-US" w:eastAsia="zh-CN"/>
        </w:rPr>
      </w:pPr>
      <w:r>
        <w:rPr>
          <w:rFonts w:hint="eastAsia" w:ascii="楷体_GB2312" w:hAnsi="楷体_GB2312" w:eastAsia="楷体_GB2312" w:cs="楷体_GB2312"/>
          <w:b w:val="0"/>
          <w:bCs w:val="0"/>
          <w:sz w:val="30"/>
          <w:szCs w:val="30"/>
          <w:lang w:val="en-US" w:eastAsia="zh-CN"/>
        </w:rPr>
        <w:t>（四）政府信息公开平台建设。</w:t>
      </w:r>
      <w:r>
        <w:rPr>
          <w:rFonts w:hint="eastAsia" w:ascii="仿宋_GB2312" w:hAnsi="仿宋_GB2312" w:eastAsia="仿宋_GB2312" w:cs="仿宋_GB2312"/>
          <w:sz w:val="30"/>
          <w:szCs w:val="30"/>
          <w:lang w:val="en-US" w:eastAsia="zh-CN"/>
        </w:rPr>
        <w:t>我办严格遵守政府信息公开平台建设各项工作条例，</w:t>
      </w:r>
      <w:r>
        <w:rPr>
          <w:rFonts w:hint="eastAsia" w:ascii="仿宋_GB2312" w:hAnsi="仿宋_GB2312" w:eastAsia="仿宋_GB2312" w:cs="仿宋_GB2312"/>
          <w:sz w:val="30"/>
          <w:szCs w:val="30"/>
          <w:highlight w:val="none"/>
          <w:lang w:val="en-US" w:eastAsia="zh-CN"/>
        </w:rPr>
        <w:t>主动通过政府网站乡镇动态专栏渠道加强政府信息公开平台宣传，及时更新时事热点，积极打造新媒体网络宣传阵地，为政府信息公开平台建设贡献力量。</w:t>
      </w:r>
    </w:p>
    <w:p w14:paraId="37EAB098">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仿宋_GB2312" w:hAnsi="仿宋_GB2312" w:eastAsia="仿宋_GB2312" w:cs="仿宋_GB2312"/>
          <w:sz w:val="30"/>
          <w:szCs w:val="30"/>
          <w:lang w:val="en-US" w:eastAsia="zh-CN"/>
        </w:rPr>
      </w:pPr>
      <w:r>
        <w:rPr>
          <w:rFonts w:hint="eastAsia" w:ascii="楷体_GB2312" w:hAnsi="楷体_GB2312" w:eastAsia="楷体_GB2312" w:cs="楷体_GB2312"/>
          <w:b w:val="0"/>
          <w:bCs w:val="0"/>
          <w:sz w:val="30"/>
          <w:szCs w:val="30"/>
          <w:lang w:val="en-US" w:eastAsia="zh-CN"/>
        </w:rPr>
        <w:t>（五）监督保障。</w:t>
      </w:r>
      <w:r>
        <w:rPr>
          <w:rFonts w:hint="eastAsia" w:ascii="仿宋_GB2312" w:hAnsi="仿宋_GB2312" w:eastAsia="仿宋_GB2312" w:cs="仿宋_GB2312"/>
          <w:sz w:val="30"/>
          <w:szCs w:val="30"/>
          <w:lang w:val="en-US" w:eastAsia="zh-CN"/>
        </w:rPr>
        <w:t>积极落实信息公开制度，严格信息审查机制，加大网上巡查力度，对未按照要求公开政府信息及时进行整改到位。</w:t>
      </w:r>
    </w:p>
    <w:p w14:paraId="5A4F2F6C">
      <w:pPr>
        <w:keepNext w:val="0"/>
        <w:keepLines w:val="0"/>
        <w:pageBreakBefore w:val="0"/>
        <w:widowControl w:val="0"/>
        <w:kinsoku/>
        <w:wordWrap/>
        <w:overflowPunct/>
        <w:topLinePunct w:val="0"/>
        <w:autoSpaceDE/>
        <w:autoSpaceDN/>
        <w:bidi w:val="0"/>
        <w:adjustRightInd/>
        <w:snapToGrid/>
        <w:spacing w:line="560" w:lineRule="exact"/>
        <w:ind w:firstLine="600" w:firstLineChars="200"/>
        <w:jc w:val="both"/>
        <w:textAlignment w:val="auto"/>
        <w:rPr>
          <w:rFonts w:hint="eastAsia" w:ascii="黑体" w:hAnsi="黑体" w:eastAsia="黑体" w:cs="黑体"/>
          <w:sz w:val="30"/>
          <w:szCs w:val="30"/>
          <w:lang w:val="en-US" w:eastAsia="zh-CN"/>
        </w:rPr>
      </w:pPr>
      <w:r>
        <w:rPr>
          <w:rFonts w:hint="eastAsia" w:ascii="黑体" w:hAnsi="黑体" w:eastAsia="黑体" w:cs="黑体"/>
          <w:sz w:val="30"/>
          <w:szCs w:val="30"/>
          <w:lang w:val="en-US" w:eastAsia="zh-CN"/>
        </w:rPr>
        <w:t>二、主动公开政府信息情况</w:t>
      </w:r>
    </w:p>
    <w:p w14:paraId="7B4A24E1">
      <w:pPr>
        <w:keepNext w:val="0"/>
        <w:keepLines w:val="0"/>
        <w:pageBreakBefore w:val="0"/>
        <w:widowControl w:val="0"/>
        <w:kinsoku/>
        <w:wordWrap/>
        <w:overflowPunct/>
        <w:topLinePunct w:val="0"/>
        <w:autoSpaceDE/>
        <w:autoSpaceDN/>
        <w:bidi w:val="0"/>
        <w:adjustRightInd/>
        <w:snapToGrid/>
        <w:spacing w:line="240" w:lineRule="exact"/>
        <w:ind w:firstLine="600" w:firstLineChars="200"/>
        <w:jc w:val="both"/>
        <w:textAlignment w:val="auto"/>
        <w:rPr>
          <w:rFonts w:hint="default" w:ascii="仿宋_GB2312" w:hAnsi="仿宋_GB2312" w:eastAsia="仿宋_GB2312" w:cs="仿宋_GB2312"/>
          <w:sz w:val="30"/>
          <w:szCs w:val="30"/>
          <w:lang w:val="en-US" w:eastAsia="zh-CN"/>
        </w:rPr>
      </w:pPr>
    </w:p>
    <w:tbl>
      <w:tblPr>
        <w:tblStyle w:val="8"/>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000952F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1890BB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7E864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A52F2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9DF5D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C80EA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ACD51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3188527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769E5A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ABF20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E7149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71102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r>
      <w:tr w14:paraId="3D90B0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2C264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highlight w:val="none"/>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79585B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8A69C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126B12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r>
      <w:tr w14:paraId="2F21D4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EBAD7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469C36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09741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743E77D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751D92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2A40F28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425E7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Times New Roman" w:hAnsi="Times New Roman" w:eastAsia="宋体" w:cs="Times New Roman"/>
                <w:color w:val="000000"/>
                <w:kern w:val="0"/>
                <w:sz w:val="20"/>
                <w:szCs w:val="20"/>
                <w:highlight w:val="none"/>
                <w:lang w:val="en-US" w:eastAsia="zh-CN" w:bidi="ar"/>
              </w:rPr>
              <w:t>171</w:t>
            </w:r>
          </w:p>
        </w:tc>
      </w:tr>
      <w:tr w14:paraId="5B8E1E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4E89D4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3A416C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2FB10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B5BD5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1D53E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1"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20A67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966E5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eastAsia" w:ascii="Times New Roman" w:hAnsi="Times New Roman" w:eastAsia="宋体" w:cs="Times New Roman"/>
                <w:color w:val="000000"/>
                <w:kern w:val="0"/>
                <w:sz w:val="20"/>
                <w:szCs w:val="20"/>
                <w:highlight w:val="none"/>
                <w:shd w:val="clear"/>
                <w:lang w:val="en-US" w:eastAsia="zh-CN" w:bidi="ar"/>
              </w:rPr>
              <w:t>16</w:t>
            </w:r>
          </w:p>
        </w:tc>
      </w:tr>
      <w:tr w14:paraId="65865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2F850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02207FA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eastAsia="宋体" w:cs="Times New Roman"/>
                <w:color w:val="000000"/>
                <w:kern w:val="0"/>
                <w:sz w:val="20"/>
                <w:szCs w:val="20"/>
                <w:lang w:val="en-US" w:eastAsia="zh-CN" w:bidi="ar"/>
              </w:rPr>
              <w:t>0</w:t>
            </w:r>
          </w:p>
        </w:tc>
      </w:tr>
      <w:tr w14:paraId="18132C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6202EA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3703F9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E2719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386372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21770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B7E7C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F02954F">
            <w:pPr>
              <w:jc w:val="center"/>
              <w:rPr>
                <w:rFonts w:hint="eastAsia" w:ascii="宋体" w:eastAsiaTheme="minorEastAsia"/>
                <w:sz w:val="24"/>
                <w:szCs w:val="24"/>
                <w:lang w:val="en-US" w:eastAsia="zh-CN"/>
              </w:rPr>
            </w:pPr>
            <w:r>
              <w:rPr>
                <w:rFonts w:hint="default" w:ascii="Times New Roman" w:hAnsi="Times New Roman" w:cs="Times New Roman"/>
                <w:sz w:val="20"/>
                <w:szCs w:val="20"/>
                <w:lang w:val="en-US" w:eastAsia="zh-CN"/>
              </w:rPr>
              <w:t>0</w:t>
            </w:r>
          </w:p>
        </w:tc>
      </w:tr>
    </w:tbl>
    <w:p w14:paraId="4D283A7D">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240" w:lineRule="exact"/>
        <w:ind w:left="0" w:right="0" w:firstLine="0"/>
        <w:jc w:val="center"/>
        <w:textAlignment w:val="auto"/>
        <w:rPr>
          <w:rFonts w:hint="eastAsia" w:ascii="宋体" w:hAnsi="宋体" w:eastAsia="宋体" w:cs="宋体"/>
          <w:i w:val="0"/>
          <w:iCs w:val="0"/>
          <w:caps w:val="0"/>
          <w:color w:val="333333"/>
          <w:spacing w:val="0"/>
          <w:sz w:val="24"/>
          <w:szCs w:val="24"/>
        </w:rPr>
      </w:pPr>
    </w:p>
    <w:p w14:paraId="10CDD0A7">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val="0"/>
        <w:autoSpaceDN w:val="0"/>
        <w:bidi w:val="0"/>
        <w:adjustRightInd/>
        <w:snapToGrid w:val="0"/>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p>
    <w:p w14:paraId="4276BFA9">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val="0"/>
        <w:autoSpaceDN w:val="0"/>
        <w:bidi w:val="0"/>
        <w:adjustRightInd/>
        <w:snapToGrid w:val="0"/>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p>
    <w:p w14:paraId="48295C64">
      <w:pPr>
        <w:pStyle w:val="6"/>
        <w:keepNext w:val="0"/>
        <w:keepLines w:val="0"/>
        <w:pageBreakBefore w:val="0"/>
        <w:widowControl w:val="0"/>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val="0"/>
        <w:autoSpaceDN w:val="0"/>
        <w:bidi w:val="0"/>
        <w:adjustRightInd/>
        <w:snapToGrid w:val="0"/>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三、收到和处理政府信息公开申请情况</w:t>
      </w:r>
    </w:p>
    <w:p w14:paraId="42394E79">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240" w:lineRule="exact"/>
        <w:ind w:left="0" w:right="0" w:firstLine="0"/>
        <w:jc w:val="center"/>
        <w:textAlignment w:val="auto"/>
        <w:rPr>
          <w:rFonts w:hint="eastAsia" w:ascii="宋体" w:hAnsi="宋体" w:eastAsia="宋体" w:cs="宋体"/>
          <w:i w:val="0"/>
          <w:iCs w:val="0"/>
          <w:caps w:val="0"/>
          <w:color w:val="333333"/>
          <w:spacing w:val="0"/>
          <w:sz w:val="24"/>
          <w:szCs w:val="24"/>
        </w:rPr>
      </w:pPr>
    </w:p>
    <w:tbl>
      <w:tblPr>
        <w:tblStyle w:val="8"/>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043F264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11239215">
            <w:pPr>
              <w:keepNext w:val="0"/>
              <w:keepLines w:val="0"/>
              <w:widowControl/>
              <w:suppressLineNumbers w:val="0"/>
              <w:pBdr>
                <w:top w:val="none" w:color="auto" w:sz="0" w:space="0"/>
                <w:left w:val="none" w:color="auto" w:sz="0" w:space="0"/>
                <w:bottom w:val="none" w:color="auto" w:sz="0" w:space="0"/>
                <w:right w:val="none" w:color="auto" w:sz="0" w:space="0"/>
              </w:pBdr>
              <w:shd w:val="clea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1BF3EA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43A2271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7FE08D88">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392B6F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4D585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6F0B72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08273F5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1FD42473">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736A4D41">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0980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3E5D04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4242E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79AD15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E34ED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0E0C5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EA1AA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445412B1">
            <w:pPr>
              <w:rPr>
                <w:rFonts w:hint="eastAsia" w:ascii="宋体"/>
                <w:sz w:val="24"/>
                <w:szCs w:val="24"/>
              </w:rPr>
            </w:pPr>
          </w:p>
        </w:tc>
      </w:tr>
      <w:tr w14:paraId="5AB2665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553AD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auto"/>
                <w:kern w:val="0"/>
                <w:sz w:val="20"/>
                <w:szCs w:val="20"/>
                <w:highlight w:val="none"/>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8DE61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6480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41DBD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F940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830AC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0ACA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301A0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r>
      <w:tr w14:paraId="11FC454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A48E0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74030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00FE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A850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160B9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957DE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6399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53D35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40EE880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4BAF4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52AEE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6797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FFCC8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87124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4BDD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C019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8D6F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1C2D09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r>
      <w:tr w14:paraId="2F2D740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500DD24">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52A53F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386E7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0E3C6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65BEB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8ED22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EED5B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BFE9F6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68F38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eastAsia="zh-CN"/>
              </w:rPr>
            </w:pPr>
          </w:p>
          <w:p w14:paraId="0A8A82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eastAsia="zh-CN"/>
              </w:rPr>
            </w:pPr>
            <w:r>
              <w:rPr>
                <w:rFonts w:hint="default" w:ascii="Times New Roman" w:hAnsi="Times New Roman" w:cs="Times New Roman"/>
                <w:sz w:val="20"/>
                <w:szCs w:val="20"/>
                <w:lang w:val="en-US" w:eastAsia="zh-CN"/>
              </w:rPr>
              <w:t>0</w:t>
            </w:r>
          </w:p>
          <w:p w14:paraId="1CA228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eastAsia="zh-CN"/>
              </w:rPr>
            </w:pPr>
          </w:p>
        </w:tc>
      </w:tr>
      <w:tr w14:paraId="63F8ABB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A6841C7">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D081B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08FB7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08FD5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AEBD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0147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1C750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ADB36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9AE1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2B7B63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5F735E2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693AF7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1A0BEDA">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3D761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EE350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89E5D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97BBA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C915B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7E0B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F520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D2997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14:paraId="5229BD5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E9A9F4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D0F4E5A">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5DEF2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5265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E521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54218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DE248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46DD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FD4C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53EB1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14:paraId="004BDE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E5B3D25">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7A03062F">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82F0B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77D56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1D77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7B52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45D6D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A273A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A9827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0A515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31B20BD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26ACBE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43A5E20">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17176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AD0C2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42FF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7529A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96348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85BF5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C9EDA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E941E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45E65C8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B4433C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3A50B1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D82980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1AF52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B71FA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E38B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5F6AF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EBEC5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31338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8C3023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14:paraId="69C3EDD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1D7AF6F">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3F218F1">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1BC1E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98607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D8385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47BFC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94863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EDCD4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B820D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4F99D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0E42746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7E02A9B">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DA44484">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3108B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ACF60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C57AB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274C3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199A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C4654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E4FDD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2ECE5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34231A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E6232E">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761452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223564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588A7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6CF5E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A99D7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9286E1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AE164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4033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DA1BC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6CA94F2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56290D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DDBB7C3">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94CB5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29324D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E1790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9B198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BB83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ED24B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E64B3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838C5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14:paraId="687C71A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83A9FF9">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99E642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2A468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163960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DF5C3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CE7BC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6BBD5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4BE0AC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B29EB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07DD0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14:paraId="02E9761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704B362">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307DE6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9D88A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AB833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A9824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B1860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61D6B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3BDDD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9926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C3BDD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14:paraId="3F15FBE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25EF85D">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1396B8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6C7E3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E0DA0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77DC1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C09B5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2DE0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787C5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852B9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36D90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14:paraId="6D44122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331F4F64">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3B6C93EE">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3111C1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E2486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BE307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87192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39B35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962F19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1EC79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CD5A3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2CAB2F9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5C840A58">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BCB92C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609C4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0EAB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9F06F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60E03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7E13A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45269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1B963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1682F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5804D9F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223302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3A3F8E2">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633661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48745F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14:paraId="0C7CE9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703B6EF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14:paraId="72B1AD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7EC34B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14:paraId="546830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37E571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14:paraId="5FC6EA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580B52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14:paraId="3FABE3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top"/>
          </w:tcPr>
          <w:p w14:paraId="06C4F8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14:paraId="29AB48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top"/>
          </w:tcPr>
          <w:p w14:paraId="7D1186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14:paraId="58A7344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409D45B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38A91C3">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1073E6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162AFD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6A40E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59D2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060D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5FDFE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55581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8E58A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947AF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eastAsia="zh-CN"/>
              </w:rPr>
            </w:pPr>
          </w:p>
          <w:p w14:paraId="23CB62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sz w:val="20"/>
                <w:szCs w:val="20"/>
                <w:lang w:val="en-US" w:eastAsia="zh-CN"/>
              </w:rPr>
              <w:t>0</w:t>
            </w:r>
          </w:p>
        </w:tc>
      </w:tr>
      <w:tr w14:paraId="51574AF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CA6931F">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60FF538E">
            <w:pPr>
              <w:rPr>
                <w:rFonts w:hint="eastAsia" w:ascii="宋体"/>
                <w:sz w:val="24"/>
                <w:szCs w:val="24"/>
              </w:rPr>
            </w:pPr>
          </w:p>
        </w:tc>
        <w:tc>
          <w:tcPr>
            <w:tcW w:w="3220"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038AD9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44E144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0F70C21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52AB58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6F3CD7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64C17B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center"/>
          </w:tcPr>
          <w:p w14:paraId="577EAA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single" w:color="auto" w:sz="8" w:space="0"/>
              <w:left w:val="single" w:color="auto" w:sz="8" w:space="0"/>
              <w:bottom w:val="single" w:color="auto" w:sz="8" w:space="0"/>
              <w:right w:val="single" w:color="auto" w:sz="8" w:space="0"/>
            </w:tcBorders>
            <w:shd w:val="clear" w:color="auto" w:fill="auto"/>
            <w:tcMar>
              <w:left w:w="57" w:type="dxa"/>
              <w:right w:w="57" w:type="dxa"/>
            </w:tcMar>
            <w:vAlign w:val="top"/>
          </w:tcPr>
          <w:p w14:paraId="79CFDC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kern w:val="0"/>
                <w:sz w:val="20"/>
                <w:szCs w:val="20"/>
                <w:lang w:val="en-US" w:eastAsia="zh-CN" w:bidi="ar"/>
              </w:rPr>
            </w:pPr>
          </w:p>
          <w:p w14:paraId="3330A9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r>
      <w:tr w14:paraId="7232E68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0193B9A">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6CEF5F0">
            <w:pPr>
              <w:rPr>
                <w:rFonts w:hint="eastAsia" w:ascii="宋体"/>
                <w:sz w:val="24"/>
                <w:szCs w:val="24"/>
              </w:rPr>
            </w:pPr>
          </w:p>
        </w:tc>
        <w:tc>
          <w:tcPr>
            <w:tcW w:w="3220"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DBD2F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2F37C2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C86A9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5B856F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1B0FE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7AE660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EE242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7E2C46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r>
      <w:tr w14:paraId="2BFE0BA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68F3E13">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0F3650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874A3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EE1C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9C274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F80A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645C8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65C7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CDBEAF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1</w:t>
            </w:r>
          </w:p>
        </w:tc>
      </w:tr>
      <w:tr w14:paraId="5FEF719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37F2AAF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CA4CD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63D55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E578B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lang w:val="en-US"/>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8E82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42944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sz w:val="20"/>
                <w:szCs w:val="20"/>
              </w:rPr>
            </w:pPr>
            <w:r>
              <w:rPr>
                <w:rFonts w:hint="default" w:ascii="Times New Roman" w:hAnsi="Times New Roman" w:cs="Times New Roman"/>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14B35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kern w:val="0"/>
                <w:sz w:val="20"/>
                <w:szCs w:val="20"/>
                <w:lang w:val="en-US" w:eastAsia="zh-CN" w:bidi="ar"/>
              </w:rPr>
            </w:pPr>
            <w:r>
              <w:rPr>
                <w:rFonts w:hint="default" w:ascii="Times New Roman" w:hAnsi="Times New Roman" w:cs="Times New Roman" w:eastAsiaTheme="minorEastAsia"/>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C3697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cs="Times New Roman" w:eastAsiaTheme="minorEastAsia"/>
                <w:kern w:val="0"/>
                <w:sz w:val="20"/>
                <w:szCs w:val="20"/>
                <w:lang w:val="en-US" w:eastAsia="zh-CN" w:bidi="ar"/>
              </w:rPr>
            </w:pPr>
            <w:r>
              <w:rPr>
                <w:rFonts w:hint="default" w:ascii="Times New Roman" w:hAnsi="Times New Roman" w:cs="Times New Roman" w:eastAsiaTheme="minorEastAsia"/>
                <w:kern w:val="0"/>
                <w:sz w:val="20"/>
                <w:szCs w:val="20"/>
                <w:lang w:val="en-US" w:eastAsia="zh-CN" w:bidi="ar"/>
              </w:rPr>
              <w:t>0</w:t>
            </w:r>
          </w:p>
        </w:tc>
      </w:tr>
    </w:tbl>
    <w:p w14:paraId="4716C988">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240" w:lineRule="exact"/>
        <w:ind w:left="0" w:right="0" w:firstLine="0"/>
        <w:jc w:val="center"/>
        <w:textAlignment w:val="auto"/>
        <w:rPr>
          <w:rFonts w:hint="eastAsia" w:ascii="宋体" w:hAnsi="宋体" w:eastAsia="宋体" w:cs="宋体"/>
          <w:i w:val="0"/>
          <w:iCs w:val="0"/>
          <w:caps w:val="0"/>
          <w:color w:val="333333"/>
          <w:spacing w:val="0"/>
          <w:sz w:val="24"/>
          <w:szCs w:val="24"/>
        </w:rPr>
      </w:pPr>
    </w:p>
    <w:p w14:paraId="668A2C9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p>
    <w:p w14:paraId="4E99265A">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四、政府信息公开行政复议、行政诉讼情况</w:t>
      </w:r>
    </w:p>
    <w:p w14:paraId="123056DC">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240" w:lineRule="exact"/>
        <w:ind w:left="0" w:right="0" w:firstLine="0"/>
        <w:jc w:val="center"/>
        <w:textAlignment w:val="auto"/>
        <w:rPr>
          <w:rFonts w:hint="eastAsia" w:ascii="宋体" w:hAnsi="宋体" w:eastAsia="宋体" w:cs="宋体"/>
          <w:i w:val="0"/>
          <w:iCs w:val="0"/>
          <w:caps w:val="0"/>
          <w:color w:val="333333"/>
          <w:spacing w:val="0"/>
          <w:sz w:val="24"/>
          <w:szCs w:val="24"/>
        </w:rPr>
      </w:pPr>
    </w:p>
    <w:tbl>
      <w:tblPr>
        <w:tblStyle w:val="8"/>
        <w:tblpPr w:leftFromText="180" w:rightFromText="180" w:vertAnchor="text" w:horzAnchor="page" w:tblpX="1164" w:tblpY="18"/>
        <w:tblOverlap w:val="never"/>
        <w:tblW w:w="9748" w:type="dxa"/>
        <w:tblInd w:w="0" w:type="dxa"/>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272E9A7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c>
          <w:tcPr>
            <w:tcW w:w="324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88EF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503"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83B09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02671A8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5075D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9"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BCA156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24410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B0D2D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9"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AF283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48"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C25C1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5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4B354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7AD42FF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BDD54E5">
            <w:pPr>
              <w:rPr>
                <w:rFonts w:hint="eastAsia" w:ascii="宋体"/>
                <w:sz w:val="24"/>
                <w:szCs w:val="24"/>
              </w:rPr>
            </w:pPr>
          </w:p>
        </w:tc>
        <w:tc>
          <w:tcPr>
            <w:tcW w:w="649"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B8D7520">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9EDB257">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2924EEC">
            <w:pPr>
              <w:rPr>
                <w:rFonts w:hint="eastAsia" w:ascii="宋体"/>
                <w:sz w:val="24"/>
                <w:szCs w:val="24"/>
              </w:rPr>
            </w:pPr>
          </w:p>
        </w:tc>
        <w:tc>
          <w:tcPr>
            <w:tcW w:w="649"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EAD73F6">
            <w:pPr>
              <w:rPr>
                <w:rFonts w:hint="eastAsia" w:ascii="宋体"/>
                <w:sz w:val="24"/>
                <w:szCs w:val="24"/>
              </w:rPr>
            </w:pP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02DEC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2AAF7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DB708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34AEA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0"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780059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CDAD2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3FB01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C0872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6D7BE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51"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262FB9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4CBBE37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672" w:hRule="atLeast"/>
        </w:trPr>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35602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eastAsia" w:ascii="Times New Roman" w:hAnsi="Times New Roman" w:eastAsia="黑体" w:cs="Times New Roman"/>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29B58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eastAsiaTheme="minorEastAsia"/>
                <w:sz w:val="20"/>
                <w:szCs w:val="20"/>
                <w:lang w:val="en-US" w:eastAsia="zh-CN"/>
              </w:rPr>
            </w:pPr>
            <w:r>
              <w:rPr>
                <w:rFonts w:hint="eastAsia" w:ascii="Times New Roman" w:hAnsi="Times New Roman" w:cs="Times New Roman"/>
                <w:sz w:val="20"/>
                <w:szCs w:val="20"/>
                <w:lang w:val="en-US" w:eastAsia="zh-CN"/>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09943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rPr>
            </w:pPr>
            <w:r>
              <w:rPr>
                <w:rFonts w:hint="eastAsia" w:ascii="Times New Roman" w:hAnsi="Times New Roman" w:eastAsia="黑体" w:cs="Times New Roman"/>
                <w:kern w:val="0"/>
                <w:sz w:val="20"/>
                <w:szCs w:val="20"/>
                <w:lang w:val="en-US" w:eastAsia="zh-CN" w:bidi="ar"/>
              </w:rPr>
              <w:t>1</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F5E45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9C7B8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1</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C93D9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49"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72E4D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C961E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A6301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0"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7409C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E2767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A7645F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4A6997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A514BC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ascii="Times New Roman" w:hAnsi="Times New Roman" w:cs="Times New Roman"/>
                <w:sz w:val="20"/>
                <w:szCs w:val="20"/>
                <w:lang w:val="en-US"/>
              </w:rPr>
            </w:pPr>
            <w:r>
              <w:rPr>
                <w:rFonts w:hint="default" w:ascii="Times New Roman" w:hAnsi="Times New Roman" w:eastAsia="黑体" w:cs="Times New Roman"/>
                <w:kern w:val="0"/>
                <w:sz w:val="20"/>
                <w:szCs w:val="20"/>
                <w:lang w:val="en-US" w:eastAsia="zh-CN" w:bidi="ar"/>
              </w:rPr>
              <w:t>0</w:t>
            </w:r>
          </w:p>
        </w:tc>
        <w:tc>
          <w:tcPr>
            <w:tcW w:w="651"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7F59B00">
            <w:pPr>
              <w:jc w:val="center"/>
              <w:rPr>
                <w:rFonts w:hint="default" w:ascii="Times New Roman" w:hAnsi="Times New Roman" w:cs="Times New Roman" w:eastAsiaTheme="minorEastAsia"/>
                <w:sz w:val="20"/>
                <w:szCs w:val="20"/>
                <w:lang w:val="en-US" w:eastAsia="zh-CN"/>
              </w:rPr>
            </w:pPr>
            <w:r>
              <w:rPr>
                <w:rFonts w:hint="default" w:ascii="Times New Roman" w:hAnsi="Times New Roman" w:cs="Times New Roman"/>
                <w:sz w:val="20"/>
                <w:szCs w:val="20"/>
                <w:lang w:val="en-US" w:eastAsia="zh-CN"/>
              </w:rPr>
              <w:t>0</w:t>
            </w:r>
          </w:p>
        </w:tc>
      </w:tr>
    </w:tbl>
    <w:p w14:paraId="115CEF7A">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240" w:lineRule="exact"/>
        <w:ind w:left="0" w:right="0" w:firstLine="0"/>
        <w:jc w:val="center"/>
        <w:textAlignment w:val="auto"/>
        <w:rPr>
          <w:rFonts w:hint="eastAsia" w:ascii="宋体" w:hAnsi="宋体" w:eastAsia="宋体" w:cs="宋体"/>
          <w:i w:val="0"/>
          <w:iCs w:val="0"/>
          <w:caps w:val="0"/>
          <w:color w:val="333333"/>
          <w:spacing w:val="0"/>
          <w:sz w:val="24"/>
          <w:szCs w:val="24"/>
        </w:rPr>
      </w:pPr>
    </w:p>
    <w:p w14:paraId="64AA2EE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五、存在的主要问题及改进情况</w:t>
      </w:r>
    </w:p>
    <w:p w14:paraId="479E7A93">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仿宋_GB2312" w:hAnsi="仿宋_GB2312" w:eastAsia="仿宋_GB2312" w:cs="仿宋_GB2312"/>
          <w:kern w:val="2"/>
          <w:sz w:val="30"/>
          <w:szCs w:val="30"/>
          <w:highlight w:val="none"/>
          <w:lang w:val="en-US" w:eastAsia="zh-CN" w:bidi="ar-SA"/>
        </w:rPr>
      </w:pPr>
      <w:r>
        <w:rPr>
          <w:rFonts w:hint="eastAsia" w:ascii="仿宋_GB2312" w:hAnsi="仿宋_GB2312" w:eastAsia="仿宋_GB2312" w:cs="仿宋_GB2312"/>
          <w:kern w:val="2"/>
          <w:sz w:val="30"/>
          <w:szCs w:val="30"/>
          <w:highlight w:val="none"/>
          <w:lang w:val="en-US" w:eastAsia="zh-CN" w:bidi="ar-SA"/>
        </w:rPr>
        <w:t>虽然我街道在政府信息公开工作上取得一定的进步，但仍存在一些不足，一是信息公开内容较为单一、时效性不强；二是信息公开渠道有待拓宽，信息利用率有待提高；三是信息公开工作人员学习理论为深度和广度有所欠缺。</w:t>
      </w:r>
    </w:p>
    <w:p w14:paraId="0403332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仿宋_GB2312" w:hAnsi="仿宋_GB2312" w:eastAsia="仿宋_GB2312" w:cs="仿宋_GB2312"/>
          <w:kern w:val="2"/>
          <w:sz w:val="30"/>
          <w:szCs w:val="30"/>
          <w:highlight w:val="none"/>
          <w:lang w:val="en-US" w:eastAsia="zh-CN" w:bidi="ar-SA"/>
        </w:rPr>
      </w:pPr>
      <w:bookmarkStart w:id="0" w:name="_GoBack"/>
      <w:bookmarkEnd w:id="0"/>
      <w:r>
        <w:rPr>
          <w:rFonts w:hint="eastAsia" w:ascii="仿宋_GB2312" w:hAnsi="仿宋_GB2312" w:eastAsia="仿宋_GB2312" w:cs="仿宋_GB2312"/>
          <w:kern w:val="2"/>
          <w:sz w:val="30"/>
          <w:szCs w:val="30"/>
          <w:highlight w:val="none"/>
          <w:lang w:val="en-US" w:eastAsia="zh-CN" w:bidi="ar-SA"/>
        </w:rPr>
        <w:t>针对以上问题，2025年宁北街道将重点做好以下工作：</w:t>
      </w:r>
    </w:p>
    <w:p w14:paraId="2F53BA2E">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default" w:ascii="仿宋_GB2312" w:hAnsi="仿宋_GB2312" w:eastAsia="仿宋_GB2312" w:cs="仿宋_GB2312"/>
          <w:kern w:val="2"/>
          <w:sz w:val="30"/>
          <w:szCs w:val="30"/>
          <w:highlight w:val="none"/>
          <w:lang w:val="en-US" w:eastAsia="zh-CN" w:bidi="ar-SA"/>
        </w:rPr>
      </w:pPr>
      <w:r>
        <w:rPr>
          <w:rFonts w:hint="eastAsia" w:ascii="楷体_GB2312" w:hAnsi="楷体_GB2312" w:eastAsia="楷体_GB2312" w:cs="楷体_GB2312"/>
          <w:kern w:val="2"/>
          <w:sz w:val="30"/>
          <w:szCs w:val="30"/>
          <w:highlight w:val="none"/>
          <w:lang w:val="en-US" w:eastAsia="zh-CN" w:bidi="ar-SA"/>
        </w:rPr>
        <w:t>（一）进一步完善政务公开平台管理。</w:t>
      </w:r>
      <w:r>
        <w:rPr>
          <w:rFonts w:hint="eastAsia" w:ascii="仿宋_GB2312" w:hAnsi="仿宋_GB2312" w:eastAsia="仿宋_GB2312" w:cs="仿宋_GB2312"/>
          <w:kern w:val="2"/>
          <w:sz w:val="30"/>
          <w:szCs w:val="30"/>
          <w:highlight w:val="none"/>
          <w:lang w:val="en-US" w:eastAsia="zh-CN" w:bidi="ar-SA"/>
        </w:rPr>
        <w:t>通过规范建账、动态跟进、人员联动、督促检查等措施，健全精细化管理机制，确保信息公开平台有序运行。同时以典型事例为切口挖掘闪光点、信息点、新亮点，拓展信息内容广度。</w:t>
      </w:r>
    </w:p>
    <w:p w14:paraId="4F52079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仿宋_GB2312" w:hAnsi="仿宋_GB2312" w:eastAsia="仿宋_GB2312" w:cs="仿宋_GB2312"/>
          <w:kern w:val="2"/>
          <w:sz w:val="30"/>
          <w:szCs w:val="30"/>
          <w:highlight w:val="yellow"/>
          <w:lang w:val="en-US" w:eastAsia="zh-CN" w:bidi="ar-SA"/>
        </w:rPr>
      </w:pPr>
      <w:r>
        <w:rPr>
          <w:rFonts w:hint="eastAsia" w:ascii="楷体_GB2312" w:hAnsi="楷体_GB2312" w:eastAsia="楷体_GB2312" w:cs="楷体_GB2312"/>
          <w:kern w:val="2"/>
          <w:sz w:val="30"/>
          <w:szCs w:val="30"/>
          <w:highlight w:val="none"/>
          <w:lang w:val="en-US" w:eastAsia="zh-CN" w:bidi="ar-SA"/>
        </w:rPr>
        <w:t>（二）进一步充实政府信息内容。</w:t>
      </w:r>
      <w:r>
        <w:rPr>
          <w:rFonts w:hint="eastAsia" w:ascii="仿宋_GB2312" w:hAnsi="仿宋_GB2312" w:eastAsia="仿宋_GB2312" w:cs="仿宋_GB2312"/>
          <w:kern w:val="2"/>
          <w:sz w:val="30"/>
          <w:szCs w:val="30"/>
          <w:highlight w:val="none"/>
          <w:lang w:val="en-US" w:eastAsia="zh-CN" w:bidi="ar-SA"/>
        </w:rPr>
        <w:t>充实公开栏目和公开指南，挖掘信息资源，增加信息来源，丰富公开的内容，注重运用电话、网络、标语、宣传栏等形式和方法，加大信息沟通，提高信息利用率。</w:t>
      </w:r>
    </w:p>
    <w:p w14:paraId="7BDD1742">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default" w:ascii="仿宋_GB2312" w:hAnsi="仿宋_GB2312" w:eastAsia="仿宋_GB2312" w:cs="仿宋_GB2312"/>
          <w:kern w:val="2"/>
          <w:sz w:val="30"/>
          <w:szCs w:val="30"/>
          <w:highlight w:val="none"/>
          <w:lang w:val="en-US" w:eastAsia="zh-CN" w:bidi="ar-SA"/>
        </w:rPr>
      </w:pPr>
      <w:r>
        <w:rPr>
          <w:rFonts w:hint="eastAsia" w:ascii="楷体_GB2312" w:hAnsi="楷体_GB2312" w:eastAsia="楷体_GB2312" w:cs="楷体_GB2312"/>
          <w:kern w:val="2"/>
          <w:sz w:val="30"/>
          <w:szCs w:val="30"/>
          <w:highlight w:val="none"/>
          <w:lang w:val="en-US" w:eastAsia="zh-CN" w:bidi="ar-SA"/>
        </w:rPr>
        <w:t>（三）进一步加强政务公开队伍建设。</w:t>
      </w:r>
      <w:r>
        <w:rPr>
          <w:rFonts w:hint="eastAsia" w:ascii="仿宋_GB2312" w:hAnsi="仿宋_GB2312" w:eastAsia="仿宋_GB2312" w:cs="仿宋_GB2312"/>
          <w:kern w:val="2"/>
          <w:sz w:val="30"/>
          <w:szCs w:val="30"/>
          <w:highlight w:val="none"/>
          <w:lang w:val="en-US" w:eastAsia="zh-CN" w:bidi="ar-SA"/>
        </w:rPr>
        <w:t>以点对点指导为主，结合集中培训等多种方式，增强各部门对政务公开工作的重视程度，提高专责工作人员的专业知识和技能，全面提升政务公开工作水平。</w:t>
      </w:r>
    </w:p>
    <w:p w14:paraId="0AB8E595">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eastAsia" w:ascii="黑体" w:hAnsi="黑体" w:eastAsia="黑体" w:cs="黑体"/>
          <w:b w:val="0"/>
          <w:bCs w:val="0"/>
          <w:i w:val="0"/>
          <w:iCs w:val="0"/>
          <w:caps w:val="0"/>
          <w:color w:val="333333"/>
          <w:spacing w:val="0"/>
          <w:sz w:val="30"/>
          <w:szCs w:val="30"/>
          <w:shd w:val="clear" w:fill="FFFFFF"/>
        </w:rPr>
      </w:pPr>
      <w:r>
        <w:rPr>
          <w:rFonts w:hint="eastAsia" w:ascii="黑体" w:hAnsi="黑体" w:eastAsia="黑体" w:cs="黑体"/>
          <w:b w:val="0"/>
          <w:bCs w:val="0"/>
          <w:i w:val="0"/>
          <w:iCs w:val="0"/>
          <w:caps w:val="0"/>
          <w:color w:val="333333"/>
          <w:spacing w:val="0"/>
          <w:sz w:val="30"/>
          <w:szCs w:val="30"/>
          <w:shd w:val="clear" w:fill="FFFFFF"/>
        </w:rPr>
        <w:t>六、其他需要报告的事项</w:t>
      </w:r>
    </w:p>
    <w:p w14:paraId="7D4FDA2B">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kinsoku/>
        <w:wordWrap/>
        <w:overflowPunct/>
        <w:topLinePunct w:val="0"/>
        <w:autoSpaceDE/>
        <w:autoSpaceDN/>
        <w:bidi w:val="0"/>
        <w:adjustRightInd/>
        <w:snapToGrid/>
        <w:spacing w:before="0" w:beforeAutospacing="0" w:after="0" w:afterAutospacing="0" w:line="560" w:lineRule="exact"/>
        <w:ind w:right="0" w:firstLine="600" w:firstLineChars="200"/>
        <w:jc w:val="both"/>
        <w:textAlignment w:val="auto"/>
        <w:rPr>
          <w:rFonts w:hint="default" w:ascii="仿宋_GB2312" w:hAnsi="仿宋_GB2312" w:eastAsia="仿宋_GB2312" w:cs="仿宋_GB2312"/>
          <w:kern w:val="2"/>
          <w:sz w:val="30"/>
          <w:szCs w:val="30"/>
          <w:lang w:val="en-US" w:eastAsia="zh-CN" w:bidi="ar-SA"/>
        </w:rPr>
      </w:pPr>
      <w:r>
        <w:rPr>
          <w:rFonts w:hint="eastAsia" w:ascii="仿宋_GB2312" w:hAnsi="仿宋_GB2312" w:eastAsia="仿宋_GB2312" w:cs="仿宋_GB2312"/>
          <w:kern w:val="2"/>
          <w:sz w:val="30"/>
          <w:szCs w:val="30"/>
          <w:lang w:val="en-US" w:eastAsia="zh-CN" w:bidi="ar-SA"/>
        </w:rPr>
        <w:t>2024年，宁北街道办事处没有收取信息处理费，无其他需要报告事项。</w:t>
      </w:r>
    </w:p>
    <w:sectPr>
      <w:footerReference r:id="rId3" w:type="default"/>
      <w:pgSz w:w="11906" w:h="16838"/>
      <w:pgMar w:top="1440" w:right="1417" w:bottom="1440" w:left="1417" w:header="851" w:footer="992" w:gutter="0"/>
      <w:pgBorders>
        <w:top w:val="none" w:sz="0" w:space="0"/>
        <w:left w:val="none" w:sz="0" w:space="0"/>
        <w:bottom w:val="none" w:sz="0" w:space="0"/>
        <w:right w:val="none" w:sz="0" w:space="0"/>
      </w:pgBorders>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2ABD574">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FF7E1A7">
                          <w:pPr>
                            <w:pStyle w:val="4"/>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1FF7E1A7">
                    <w:pPr>
                      <w:pStyle w:val="4"/>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1</w:t>
                    </w:r>
                    <w:r>
                      <w:rPr>
                        <w:rFonts w:hint="eastAsia" w:ascii="宋体" w:hAnsi="宋体" w:eastAsia="宋体" w:cs="宋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5F20ADF"/>
    <w:rsid w:val="003A4F4C"/>
    <w:rsid w:val="01EE2963"/>
    <w:rsid w:val="03385677"/>
    <w:rsid w:val="039F62FF"/>
    <w:rsid w:val="03ED6B64"/>
    <w:rsid w:val="04155920"/>
    <w:rsid w:val="04C20650"/>
    <w:rsid w:val="053523CE"/>
    <w:rsid w:val="05F21B33"/>
    <w:rsid w:val="0A4A1C71"/>
    <w:rsid w:val="0AB2486D"/>
    <w:rsid w:val="0BF71B44"/>
    <w:rsid w:val="0C181D40"/>
    <w:rsid w:val="0E2D0652"/>
    <w:rsid w:val="0E637A8B"/>
    <w:rsid w:val="0EE4CF75"/>
    <w:rsid w:val="0EFB1BB6"/>
    <w:rsid w:val="10F84259"/>
    <w:rsid w:val="11B63004"/>
    <w:rsid w:val="11EF53B8"/>
    <w:rsid w:val="126122B6"/>
    <w:rsid w:val="134E4685"/>
    <w:rsid w:val="13C72E82"/>
    <w:rsid w:val="14A5034E"/>
    <w:rsid w:val="163E5156"/>
    <w:rsid w:val="16904B51"/>
    <w:rsid w:val="17DF393F"/>
    <w:rsid w:val="18736D2E"/>
    <w:rsid w:val="190A4CA3"/>
    <w:rsid w:val="19FD1C20"/>
    <w:rsid w:val="1A253293"/>
    <w:rsid w:val="1A3F504D"/>
    <w:rsid w:val="1B724FAE"/>
    <w:rsid w:val="1BC22770"/>
    <w:rsid w:val="1D4C05FD"/>
    <w:rsid w:val="1F2107B9"/>
    <w:rsid w:val="1F43738D"/>
    <w:rsid w:val="20F4571D"/>
    <w:rsid w:val="21B55BF5"/>
    <w:rsid w:val="228429B1"/>
    <w:rsid w:val="293C1210"/>
    <w:rsid w:val="2BE83F94"/>
    <w:rsid w:val="2C121C1F"/>
    <w:rsid w:val="2D193DB0"/>
    <w:rsid w:val="2FFFC086"/>
    <w:rsid w:val="30F73365"/>
    <w:rsid w:val="339A4F92"/>
    <w:rsid w:val="34AE6A84"/>
    <w:rsid w:val="34F5526B"/>
    <w:rsid w:val="355A65AD"/>
    <w:rsid w:val="35B32623"/>
    <w:rsid w:val="36177665"/>
    <w:rsid w:val="38DC705E"/>
    <w:rsid w:val="39FFECAD"/>
    <w:rsid w:val="3A8A671A"/>
    <w:rsid w:val="3AEE7D0E"/>
    <w:rsid w:val="3B887181"/>
    <w:rsid w:val="3B8E3F9E"/>
    <w:rsid w:val="3BD10EEF"/>
    <w:rsid w:val="3C945361"/>
    <w:rsid w:val="3C9E4AB0"/>
    <w:rsid w:val="3D1E392B"/>
    <w:rsid w:val="3E5B6B14"/>
    <w:rsid w:val="3EEC2DB5"/>
    <w:rsid w:val="3FFB32A0"/>
    <w:rsid w:val="41225590"/>
    <w:rsid w:val="419F3CB9"/>
    <w:rsid w:val="43210EE4"/>
    <w:rsid w:val="456E3920"/>
    <w:rsid w:val="460573F1"/>
    <w:rsid w:val="48376AB4"/>
    <w:rsid w:val="499B5CD3"/>
    <w:rsid w:val="4B9A55FB"/>
    <w:rsid w:val="4C176A3C"/>
    <w:rsid w:val="4CCB138D"/>
    <w:rsid w:val="4E645C2C"/>
    <w:rsid w:val="4E79234E"/>
    <w:rsid w:val="4E846964"/>
    <w:rsid w:val="500915ED"/>
    <w:rsid w:val="506738CD"/>
    <w:rsid w:val="54DB45C6"/>
    <w:rsid w:val="552670D7"/>
    <w:rsid w:val="5541060F"/>
    <w:rsid w:val="55F20ADF"/>
    <w:rsid w:val="56135E0B"/>
    <w:rsid w:val="57187469"/>
    <w:rsid w:val="583DCF6E"/>
    <w:rsid w:val="58406219"/>
    <w:rsid w:val="5B5309E2"/>
    <w:rsid w:val="5D12082E"/>
    <w:rsid w:val="5E210406"/>
    <w:rsid w:val="5FFBCB89"/>
    <w:rsid w:val="60334D7D"/>
    <w:rsid w:val="61385890"/>
    <w:rsid w:val="6809233A"/>
    <w:rsid w:val="68E258A1"/>
    <w:rsid w:val="6A464387"/>
    <w:rsid w:val="6A5D2C79"/>
    <w:rsid w:val="6AA8778B"/>
    <w:rsid w:val="6B3E4AD4"/>
    <w:rsid w:val="6B831C55"/>
    <w:rsid w:val="6C1F3C39"/>
    <w:rsid w:val="6D4F460F"/>
    <w:rsid w:val="6E910B04"/>
    <w:rsid w:val="6EEA78EF"/>
    <w:rsid w:val="6F3FFC01"/>
    <w:rsid w:val="6FBD6C1A"/>
    <w:rsid w:val="7268244B"/>
    <w:rsid w:val="73FA401A"/>
    <w:rsid w:val="74FC0CE6"/>
    <w:rsid w:val="76AA163F"/>
    <w:rsid w:val="77CF5DCF"/>
    <w:rsid w:val="794F54AD"/>
    <w:rsid w:val="79A25F27"/>
    <w:rsid w:val="7A7C4D5F"/>
    <w:rsid w:val="7B197050"/>
    <w:rsid w:val="7BFB135F"/>
    <w:rsid w:val="7D797216"/>
    <w:rsid w:val="7E0A7F58"/>
    <w:rsid w:val="7E370FE0"/>
    <w:rsid w:val="7E7FAAF4"/>
    <w:rsid w:val="7EAF669B"/>
    <w:rsid w:val="7EF44525"/>
    <w:rsid w:val="7EFFFB67"/>
    <w:rsid w:val="7F74B143"/>
    <w:rsid w:val="7FBB5439"/>
    <w:rsid w:val="7FDF96E9"/>
    <w:rsid w:val="7FFF77B8"/>
    <w:rsid w:val="7FFFA40D"/>
    <w:rsid w:val="96EC6A75"/>
    <w:rsid w:val="9CFED2FB"/>
    <w:rsid w:val="ADDDB0E6"/>
    <w:rsid w:val="AEF30FF7"/>
    <w:rsid w:val="B6E6EE17"/>
    <w:rsid w:val="BC775B49"/>
    <w:rsid w:val="BDF3E766"/>
    <w:rsid w:val="CDDE56CF"/>
    <w:rsid w:val="D7F7147E"/>
    <w:rsid w:val="DBCE1005"/>
    <w:rsid w:val="E1FBB71F"/>
    <w:rsid w:val="E7DF90F6"/>
    <w:rsid w:val="ED5B0F79"/>
    <w:rsid w:val="EDF729EA"/>
    <w:rsid w:val="EF3DD2F7"/>
    <w:rsid w:val="EFBE7B09"/>
    <w:rsid w:val="EFFDD3DF"/>
    <w:rsid w:val="EFFFBE34"/>
    <w:rsid w:val="F0B3E119"/>
    <w:rsid w:val="F25D16D7"/>
    <w:rsid w:val="F73289B1"/>
    <w:rsid w:val="F777CC21"/>
    <w:rsid w:val="F7E52306"/>
    <w:rsid w:val="FAFCCFD6"/>
    <w:rsid w:val="FDBFC26A"/>
    <w:rsid w:val="FEFDD61A"/>
    <w:rsid w:val="FF3FC127"/>
    <w:rsid w:val="FFB53C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kern w:val="44"/>
      <w:sz w:val="48"/>
      <w:szCs w:val="48"/>
      <w:lang w:val="en-US" w:eastAsia="zh-CN" w:bidi="ar"/>
    </w:rPr>
  </w:style>
  <w:style w:type="character" w:default="1" w:styleId="9">
    <w:name w:val="Default Paragraph Font"/>
    <w:semiHidden/>
    <w:qFormat/>
    <w:uiPriority w:val="0"/>
  </w:style>
  <w:style w:type="table" w:default="1" w:styleId="8">
    <w:name w:val="Normal Table"/>
    <w:semiHidden/>
    <w:qFormat/>
    <w:uiPriority w:val="0"/>
    <w:tblPr>
      <w:tblCellMar>
        <w:top w:w="0" w:type="dxa"/>
        <w:left w:w="108" w:type="dxa"/>
        <w:bottom w:w="0" w:type="dxa"/>
        <w:right w:w="108" w:type="dxa"/>
      </w:tblCellMar>
    </w:tblPr>
  </w:style>
  <w:style w:type="paragraph" w:styleId="3">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4">
    <w:name w:val="footer"/>
    <w:basedOn w:val="1"/>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paragraph" w:styleId="7">
    <w:name w:val="Body Text First Indent 2"/>
    <w:basedOn w:val="3"/>
    <w:unhideWhenUsed/>
    <w:qFormat/>
    <w:uiPriority w:val="99"/>
    <w:pPr>
      <w:ind w:firstLine="420"/>
    </w:pPr>
  </w:style>
  <w:style w:type="character" w:styleId="10">
    <w:name w:val="Strong"/>
    <w:basedOn w:val="9"/>
    <w:qFormat/>
    <w:uiPriority w:val="0"/>
    <w:rPr>
      <w:b/>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1081</Words>
  <Characters>1140</Characters>
  <Lines>0</Lines>
  <Paragraphs>0</Paragraphs>
  <TotalTime>20</TotalTime>
  <ScaleCrop>false</ScaleCrop>
  <LinksUpToDate>false</LinksUpToDate>
  <CharactersWithSpaces>1140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2022-01-21T05:54:00Z</dcterms:created>
  <dc:creator>宁北街道</dc:creator>
  <cp:lastModifiedBy>杨旭松</cp:lastModifiedBy>
  <cp:lastPrinted>2025-01-15T02:02:00Z</cp:lastPrinted>
  <dcterms:modified xsi:type="dcterms:W3CDTF">2025-01-15T07:18:58Z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296809B49C1E4146AABCF467D8E47733_13</vt:lpwstr>
  </property>
  <property fmtid="{D5CDD505-2E9C-101B-9397-08002B2CF9AE}" pid="4" name="KSOTemplateDocerSaveRecord">
    <vt:lpwstr>eyJoZGlkIjoiYzZhZTUyMTVmYThmODRjN2ZlNjFjYzg4MTA2MzAxOGIiLCJ1c2VySWQiOiIyODI4MjY0MzYifQ==</vt:lpwstr>
  </property>
</Properties>
</file>