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47EC6D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cs="宋体"/>
          <w:b/>
          <w:i w:val="0"/>
          <w:caps w:val="0"/>
          <w:smallCaps w:val="0"/>
          <w:color w:val="333333"/>
          <w:spacing w:val="0"/>
          <w:sz w:val="36"/>
          <w:szCs w:val="36"/>
          <w:shd w:val="clear" w:color="auto" w:fill="FFFFFF"/>
          <w:lang w:eastAsia="zh-CN"/>
        </w:rPr>
      </w:pPr>
      <w:r>
        <w:rPr>
          <w:rFonts w:hint="eastAsia" w:ascii="宋体" w:hAnsi="宋体" w:cs="宋体"/>
          <w:b/>
          <w:i w:val="0"/>
          <w:caps w:val="0"/>
          <w:small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宁晋县宁西筹备办事处</w:t>
      </w:r>
    </w:p>
    <w:p w14:paraId="26058308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cs="宋体"/>
          <w:b/>
          <w:i w:val="0"/>
          <w:caps w:val="0"/>
          <w:small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2024年</w:t>
      </w:r>
      <w:r>
        <w:rPr>
          <w:rFonts w:hint="eastAsia" w:ascii="宋体" w:hAnsi="宋体" w:eastAsia="宋体" w:cs="宋体"/>
          <w:b/>
          <w:i w:val="0"/>
          <w:caps w:val="0"/>
          <w:smallCaps w:val="0"/>
          <w:color w:val="333333"/>
          <w:spacing w:val="0"/>
          <w:sz w:val="36"/>
          <w:szCs w:val="36"/>
          <w:shd w:val="clear" w:color="auto" w:fill="FFFFFF"/>
        </w:rPr>
        <w:t>政府信息公开工作年度报告</w:t>
      </w:r>
    </w:p>
    <w:p w14:paraId="10CBA237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p w14:paraId="46634F15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p w14:paraId="0C72B255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一、总体情况</w:t>
      </w:r>
    </w:p>
    <w:p w14:paraId="4E2743EE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  <w:t>根据《中华人民共和国政府信息公开条例》《河北省实施〈中华人民共和国政府信息公开条例〉办法》等规定，现公布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lang w:eastAsia="zh-CN"/>
        </w:rPr>
        <w:t>宁西筹备办事处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  <w:t>2024年政府信息公开工作年度报告。本报告内容涵盖</w:t>
      </w:r>
      <w:bookmarkStart w:id="0" w:name="_GoBack"/>
      <w:bookmarkEnd w:id="0"/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lang w:eastAsia="zh-CN"/>
        </w:rPr>
        <w:t>宁西筹备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  <w:t>办事处2024年1月1日至12月31日期间的政府信息公开工作情况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lang w:eastAsia="zh-CN"/>
        </w:rPr>
        <w:t>。</w:t>
      </w:r>
    </w:p>
    <w:p w14:paraId="3346036A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  <w:t>（一）主动公开政府信息的情况</w:t>
      </w:r>
    </w:p>
    <w:p w14:paraId="4D1B3074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  <w:t>202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lang w:val="en-US" w:eastAsia="zh-CN"/>
        </w:rPr>
        <w:t>4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  <w:t>年</w:t>
      </w:r>
      <w:r>
        <w:rPr>
          <w:rFonts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  <w:t>宁西筹备办事处共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  <w:t>主动公开政府信息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lang w:val="en-US" w:eastAsia="zh-CN"/>
        </w:rPr>
        <w:t>28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  <w:t>条，含工作动态等信息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lang w:val="en-US" w:eastAsia="zh-CN"/>
        </w:rPr>
        <w:t>27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  <w:t>条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lang w:eastAsia="zh-CN"/>
        </w:rPr>
        <w:t>（分别在人民日报客户端、河北广播电视台、邢台文明网、邢台新闻联播、冀云宁晋头条、文明宁晋、宁晋发布、宁晋组工公众号等多家媒体进行刊播报道）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  <w:t>，政府信息公开年度报告1条。</w:t>
      </w:r>
    </w:p>
    <w:p w14:paraId="024921F3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  <w:t>（二）依申请公开政府信息办理情况</w:t>
      </w:r>
    </w:p>
    <w:p w14:paraId="39FE0116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  <w:t>为方便群众获取信息，我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lang w:eastAsia="zh-CN"/>
        </w:rPr>
        <w:t>办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  <w:t>按照信息公开工作要求，依据公众申请公开政府有关工作信息。2024年，我办没有收到政府信息依申请公开事项，没有办理依申请公开答复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lang w:eastAsia="zh-CN"/>
        </w:rPr>
        <w:t>。</w:t>
      </w:r>
    </w:p>
    <w:p w14:paraId="0267B1D5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  <w:t>（三）政府信息管理情况</w:t>
      </w:r>
    </w:p>
    <w:p w14:paraId="28DBBFA7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  <w:t>一是妥善处理公开信息，合理界定信息公开与否的范围，做到积极稳妥</w:t>
      </w:r>
      <w:r>
        <w:rPr>
          <w:rFonts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  <w:t>、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  <w:t>注重时效。二是在推行政府信息公开工作过程中，进一步明确了政务信息公开的范围、内容、方式，做到职责明确、措施到位。</w:t>
      </w:r>
    </w:p>
    <w:p w14:paraId="1D1A42E8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  <w:t>（四）政府信息公开平台建设情况</w:t>
      </w:r>
    </w:p>
    <w:p w14:paraId="270DB570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  <w:t>一是拓展信息公开载体。首先狠抓信息公开工作，落实专人及时更新公开信息。二是扩大公开范围。包括社区近期工作思路、落实惠民政策的最新动态等工作。</w:t>
      </w:r>
    </w:p>
    <w:p w14:paraId="15B6A7A6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  <w:t>（五）政府信息公开监督保障情况</w:t>
      </w:r>
    </w:p>
    <w:p w14:paraId="673DBC13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lang w:eastAsia="zh-CN"/>
        </w:rPr>
        <w:t>我办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  <w:t>将政府信息公开工作纳入常态化监管，强化责任意识，加强工作任务落实的检查督促，第一时间完善信息内容和堵塞漏洞。主动公开政务公开咨询方式以及信访投诉渠道，鼓励社会公众积极参与政务公开情况的监督，对反馈的问题第一时间整改到位。</w:t>
      </w:r>
    </w:p>
    <w:p w14:paraId="4CB9791B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二、主动公开政府信息情况</w:t>
      </w:r>
    </w:p>
    <w:p w14:paraId="328FD27A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tblStyle w:val="6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31CE33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70C510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第二十条第（一）项</w:t>
            </w:r>
          </w:p>
        </w:tc>
      </w:tr>
      <w:tr w14:paraId="1262CD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EB10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9F57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CEA9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AA58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数</w:t>
            </w:r>
          </w:p>
        </w:tc>
      </w:tr>
      <w:tr w14:paraId="30F019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469D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8478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8F8A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8A7B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 w14:paraId="2C1FE6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03B3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D990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9701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7878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 w14:paraId="521252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50F695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第二十条第（五）项</w:t>
            </w:r>
          </w:p>
        </w:tc>
      </w:tr>
      <w:tr w14:paraId="54EA3A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B4CD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76F5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 w14:paraId="72D19C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4632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5CA7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 w14:paraId="2D4216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20419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第二十条第（六）项</w:t>
            </w:r>
          </w:p>
        </w:tc>
      </w:tr>
      <w:tr w14:paraId="70899E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0B63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4714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 w14:paraId="652B8D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141B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04FC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441C30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13CE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07D1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7D7802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84C78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第二十条第（八）项</w:t>
            </w:r>
          </w:p>
        </w:tc>
      </w:tr>
      <w:tr w14:paraId="6694C6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B5F9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81F6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本年收费金额（单位：万元）</w:t>
            </w:r>
          </w:p>
        </w:tc>
      </w:tr>
      <w:tr w14:paraId="5818E1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0683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F7C03F">
            <w:pPr>
              <w:jc w:val="center"/>
              <w:rPr>
                <w:rFonts w:hint="eastAsia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02A2C325">
      <w:pPr>
        <w:keepNext w:val="0"/>
        <w:keepLines w:val="0"/>
        <w:widowControl/>
        <w:suppressLineNumbers w:val="0"/>
        <w:jc w:val="left"/>
      </w:pPr>
    </w:p>
    <w:p w14:paraId="41EBB1AD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三、收到和处理政府信息公开申请情况</w:t>
      </w:r>
    </w:p>
    <w:p w14:paraId="68A7C028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64163C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53EA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3A37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申请人情况</w:t>
            </w:r>
          </w:p>
        </w:tc>
      </w:tr>
      <w:tr w14:paraId="4F0014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47CB72"/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AB5A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BB69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0525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 w14:paraId="7F6149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AA2523"/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054955"/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3DE4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商业</w:t>
            </w:r>
          </w:p>
          <w:p w14:paraId="2B3C88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AD1C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科研</w:t>
            </w:r>
          </w:p>
          <w:p w14:paraId="4E27B9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91F4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0B07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D097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5BEF03"/>
        </w:tc>
      </w:tr>
      <w:tr w14:paraId="2A6440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D805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C528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DEE6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ECEA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ascii="Calibri" w:hAnsi="Calibri" w:eastAsia="宋体" w:cs="Arial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429C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6BDA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CCD4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D04CC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226295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64CD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91A8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AF22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BFAA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ascii="Calibri" w:hAnsi="Calibri" w:eastAsia="宋体" w:cs="Arial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590C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A959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5B77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5E896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3BF382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F1FB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A3FB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CA30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F281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ascii="Calibri" w:hAnsi="Calibri" w:eastAsia="宋体" w:cs="Arial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699F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5082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0F52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D399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0ECD1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40F68E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AA9D63"/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A99F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8F2E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28EE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ascii="Calibri" w:hAnsi="Calibri" w:eastAsia="宋体" w:cs="Arial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9EFD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DFCB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5002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B5F5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7E86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55C1F7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736C7F"/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8EAF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8F73B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30BF0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ascii="Calibri" w:hAnsi="Calibri" w:eastAsia="宋体" w:cs="Arial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DB2BA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BF6CA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5A249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09A59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33EA8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DC49C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2CB3AC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2917DF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7D98F0"/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47A52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57562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ascii="Calibri" w:hAnsi="Calibri" w:eastAsia="宋体" w:cs="Arial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2EF54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3CA2E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3E19F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25991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CCDFA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1150B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4C68C2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635363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D16769"/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CB9A1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5A3E9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ascii="Calibri" w:hAnsi="Calibri" w:eastAsia="宋体" w:cs="Arial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A01B5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0696B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9EDB6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44A23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1C4B1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F547E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0E53EA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42A213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8901D8"/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ECA20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6BF6B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ascii="Calibri" w:hAnsi="Calibri" w:eastAsia="宋体" w:cs="Arial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DB50F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1C2A3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20E97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53410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3E491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E3D45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41DDDE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1456B4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B8020C"/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D6CBA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7FEB1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ascii="Calibri" w:hAnsi="Calibri" w:eastAsia="宋体" w:cs="Arial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81333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FD918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FD240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337A4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80C26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1D2CE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45E049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2271CB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5B562D"/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E6A18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F19C3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ascii="Calibri" w:hAnsi="Calibri" w:eastAsia="宋体" w:cs="Arial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4DB5C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1F7B4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6FB92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1668C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9E8F3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131C5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799898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76E224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573E14"/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D5AD4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16297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ascii="Calibri" w:hAnsi="Calibri" w:eastAsia="宋体" w:cs="Arial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7F434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FD987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8A5BC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450BB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C72AF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9B73C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74FBFE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26F3F7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E1BA25"/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B173C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9CA90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ascii="Calibri" w:hAnsi="Calibri" w:eastAsia="宋体" w:cs="Arial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D2F6E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F9097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0D48E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9BD9E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2324D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8C32A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1264E6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F84454"/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6E79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FEDF1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47910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ascii="Calibri" w:hAnsi="Calibri" w:eastAsia="宋体" w:cs="Arial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896E2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7B2EB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191E1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D7F17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36B80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3F7DD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2BF312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AA8A1F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30820D"/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B43BA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6714F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ascii="Calibri" w:hAnsi="Calibri" w:eastAsia="宋体" w:cs="Arial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06E24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468D9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13C6C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AA0C2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14FC3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E0253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720615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E43FE4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BEC172"/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91760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055EC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ascii="Calibri" w:hAnsi="Calibri" w:eastAsia="宋体" w:cs="Arial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0A456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6664F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F9308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DAE75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D4249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91347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474808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58CBD7"/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86A2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AEA13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6C062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ascii="Calibri" w:hAnsi="Calibri" w:eastAsia="宋体" w:cs="Arial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AF1C9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5B028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37E25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6939B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D07A4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1430A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2DECDF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8283E9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9A236A"/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3F40A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1FAF4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ascii="Calibri" w:hAnsi="Calibri" w:eastAsia="宋体" w:cs="Arial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39AC8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06552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CCF51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82A35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8E88A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9F118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208F9E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7F0267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3BEF94"/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619BA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010AD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ascii="Calibri" w:hAnsi="Calibri" w:eastAsia="宋体" w:cs="Arial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18BFB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8F9CE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3F2A7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3CE86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7CB39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213B9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0BC298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2BC215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88315B"/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FC513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9E09C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ascii="Calibri" w:hAnsi="Calibri" w:eastAsia="宋体" w:cs="Arial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88BEF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D2786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A4E54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0E5BD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72721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6115F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22B2C4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B93D3B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F30D14"/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EF14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17B9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ascii="Calibri" w:hAnsi="Calibri" w:eastAsia="宋体" w:cs="Arial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EDB7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AD95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E39F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4969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9C20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04F6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645F93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B7C6C6"/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74AD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332E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4D61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ascii="Calibri" w:hAnsi="Calibri" w:eastAsia="宋体" w:cs="Arial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BEE7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6C79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A4AB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6CB1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1267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B6C8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57D4A7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C0E1E0"/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B35BD5"/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BFB0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6D34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ascii="Calibri" w:hAnsi="Calibri" w:eastAsia="宋体" w:cs="Arial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1904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9112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5179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BFFE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9902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4F77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37198F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214C44"/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0850AE"/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133D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DF6A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ascii="Calibri" w:hAnsi="Calibri" w:eastAsia="宋体" w:cs="Arial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448D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33ED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97CF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E719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23C3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DA9CF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6E365B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9D326E"/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57F1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4724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F0D0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ascii="Calibri" w:hAnsi="Calibri" w:eastAsia="宋体" w:cs="Arial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C205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8C8C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C592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856E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A8A82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5AB10F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397B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1953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D13C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5E22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ascii="Calibri" w:hAnsi="Calibri" w:eastAsia="宋体" w:cs="Arial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C55E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A6DD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70CD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CE48B72">
            <w:pPr>
              <w:jc w:val="center"/>
              <w:rPr>
                <w:rFonts w:hint="eastAsia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6A739C72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p w14:paraId="6945BB8A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四、政府信息公开行政复议、行政诉讼情况</w:t>
      </w:r>
    </w:p>
    <w:p w14:paraId="02CCF923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622B9B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CA37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FF75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行政诉讼</w:t>
            </w:r>
          </w:p>
        </w:tc>
      </w:tr>
      <w:tr w14:paraId="113668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89D1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34B8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228C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7C57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9CC4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FCE9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4F15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复议后起诉</w:t>
            </w:r>
          </w:p>
        </w:tc>
      </w:tr>
      <w:tr w14:paraId="527036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E4D9E5"/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26A6D3"/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0F0D99"/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BD5930"/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D1075E"/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70A9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3C14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E1D0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6D9B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6D37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5D97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79B8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86A1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4DB0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E704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 w14:paraId="431498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4A92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A1E2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543B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76A4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20DA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D2B1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5B82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8B1F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A4FA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AA9C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5334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9BC5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120D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5869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0796DF">
            <w:pPr>
              <w:jc w:val="center"/>
              <w:rPr>
                <w:rFonts w:hint="eastAsia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174968AE">
      <w:pPr>
        <w:keepNext w:val="0"/>
        <w:keepLines w:val="0"/>
        <w:widowControl/>
        <w:suppressLineNumbers w:val="0"/>
        <w:jc w:val="left"/>
      </w:pPr>
    </w:p>
    <w:p w14:paraId="2DE16BB4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五、存在的主要问题及改进情况</w:t>
      </w:r>
    </w:p>
    <w:p w14:paraId="418DE462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存在信息公开内容深度不足、新媒体平台互动性有待加强等问题。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下一步，我办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将深化信息解读，丰富公开形式，加强与公众互动交流，提升公开水平。</w:t>
      </w:r>
    </w:p>
    <w:p w14:paraId="425EB302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六、其他需要报告的事项</w:t>
      </w:r>
    </w:p>
    <w:p w14:paraId="04919460">
      <w:pPr>
        <w:ind w:firstLine="480" w:firstLineChars="200"/>
      </w:pP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2024年，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宁西筹备办事处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没有收取信息处理费，无其他需要报告事项。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useFELayout/>
    <w:doNotUseIndentAsNumberingTabStop/>
    <w:compatSetting w:name="compatibilityMode" w:uri="http://schemas.microsoft.com/office/word" w:val="14"/>
  </w:compat>
  <w:docVars>
    <w:docVar w:name="commondata" w:val="eyJoZGlkIjoiOTQyODQ4M2E5MTJjMmI5MWNmMzZkOTBjNmY4NWJjMzMifQ=="/>
  </w:docVars>
  <w:rsids>
    <w:rsidRoot w:val="00000000"/>
    <w:rsid w:val="03290FAC"/>
    <w:rsid w:val="2B285689"/>
    <w:rsid w:val="2BB476D9"/>
    <w:rsid w:val="39613061"/>
    <w:rsid w:val="43357472"/>
    <w:rsid w:val="455952EF"/>
    <w:rsid w:val="5BDB5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8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9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0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character" w:customStyle="1" w:styleId="8">
    <w:name w:val="heading 1 Char"/>
    <w:basedOn w:val="7"/>
    <w:link w:val="2"/>
    <w:qFormat/>
    <w:uiPriority w:val="0"/>
    <w:rPr>
      <w:rFonts w:ascii="Calibri" w:hAnsi="Calibri" w:eastAsia="宋体" w:cs="Arial"/>
      <w:b/>
      <w:bCs/>
      <w:kern w:val="44"/>
      <w:sz w:val="44"/>
      <w:szCs w:val="44"/>
      <w:lang w:val="en-US" w:eastAsia="zh-CN" w:bidi="ar-SA"/>
    </w:rPr>
  </w:style>
  <w:style w:type="character" w:customStyle="1" w:styleId="9">
    <w:name w:val="heading 2 Char"/>
    <w:basedOn w:val="7"/>
    <w:link w:val="3"/>
    <w:qFormat/>
    <w:uiPriority w:val="0"/>
    <w:rPr>
      <w:rFonts w:ascii="Times New Roman" w:hAnsi="Calibri" w:eastAsia="黑体" w:cs="Arial"/>
      <w:b/>
      <w:bCs/>
      <w:kern w:val="2"/>
      <w:sz w:val="32"/>
      <w:szCs w:val="32"/>
      <w:lang w:val="en-US" w:eastAsia="zh-CN" w:bidi="ar-SA"/>
    </w:rPr>
  </w:style>
  <w:style w:type="character" w:customStyle="1" w:styleId="10">
    <w:name w:val="heading 3 Char"/>
    <w:basedOn w:val="7"/>
    <w:link w:val="4"/>
    <w:qFormat/>
    <w:uiPriority w:val="0"/>
    <w:rPr>
      <w:rFonts w:ascii="Calibri" w:hAnsi="Calibri" w:eastAsia="宋体" w:cs="Arial"/>
      <w:b/>
      <w:bCs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ap="flat" cmpd="sng">
          <a:solidFill>
            <a:schemeClr val="phClr"/>
          </a:solidFill>
          <a:prstDash val="solid"/>
          <a:miter/>
        </a:ln>
        <a:ln w="12700" cap="flat" cmpd="sng">
          <a:solidFill>
            <a:schemeClr val="phClr"/>
          </a:solidFill>
          <a:prstDash val="solid"/>
          <a:miter/>
        </a:ln>
        <a:ln w="19050" cap="flat" cmpd="sng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3</Pages>
  <Words>1456</Words>
  <Characters>1494</Characters>
  <Lines>0</Lines>
  <Paragraphs>32</Paragraphs>
  <TotalTime>32</TotalTime>
  <ScaleCrop>false</ScaleCrop>
  <LinksUpToDate>false</LinksUpToDate>
  <CharactersWithSpaces>1494</CharactersWithSpaces>
  <Application>WPS Office_12.1.0.19302_F1E327BC-269C-435d-A152-05C5408002CA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小样</cp:lastModifiedBy>
  <dcterms:modified xsi:type="dcterms:W3CDTF">2025-01-15T02:17:35Z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1157CE926B71424ABCEDD46E97C11597</vt:lpwstr>
  </property>
  <property fmtid="{D5CDD505-2E9C-101B-9397-08002B2CF9AE}" pid="4" name="KSOTemplateDocerSaveRecord">
    <vt:lpwstr>eyJoZGlkIjoiMTVhOTcyZjE3YzQ2Y2FiMDgyNTkxZmRjNWFhNmNhNWUiLCJ1c2VySWQiOiIzMTg5NzE0NzIifQ==</vt:lpwstr>
  </property>
</Properties>
</file>