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pStyle w:val="18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adjustRightInd/>
        <w:snapToGrid/>
        <w:spacing w:before="0" w:beforeAutospacing="0" w:after="0" w:afterAutospacing="0" w:line="580" w:lineRule="exact"/>
        <w:ind w:left="0" w:firstLine="0"/>
        <w:jc w:val="center"/>
        <w:rPr>
          <w:rStyle w:val="17"/>
          <w:rFonts w:ascii="宋体" w:eastAsia="宋体" w:cs="宋体" w:hAnsi="宋体" w:hint="eastAsia"/>
          <w:b/>
          <w:bCs w:val="0"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Style w:val="17"/>
          <w:rFonts w:ascii="宋体" w:eastAsia="宋体" w:cs="宋体" w:hAnsi="宋体" w:hint="eastAsia"/>
          <w:b/>
          <w:bCs w:val="0"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宁晋县民政局</w:t>
      </w:r>
    </w:p>
    <w:p>
      <w:pPr>
        <w:pStyle w:val="18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adjustRightInd/>
        <w:snapToGrid/>
        <w:spacing w:before="0" w:beforeAutospacing="0" w:after="0" w:afterAutospacing="0" w:line="580" w:lineRule="exact"/>
        <w:ind w:left="0" w:firstLine="0"/>
        <w:jc w:val="center"/>
        <w:rPr>
          <w:rStyle w:val="17"/>
          <w:rFonts w:ascii="宋体" w:eastAsia="宋体" w:cs="宋体" w:hAnsi="宋体" w:hint="eastAsia"/>
          <w:b/>
          <w:bCs w:val="0"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</w:rPr>
      </w:pPr>
      <w:r>
        <w:rPr>
          <w:rStyle w:val="17"/>
          <w:rFonts w:ascii="宋体" w:eastAsia="宋体" w:cs="宋体" w:hAnsi="宋体" w:hint="eastAsia"/>
          <w:b/>
          <w:bCs w:val="0"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</w:rPr>
        <w:t>20</w:t>
      </w:r>
      <w:r>
        <w:rPr>
          <w:rStyle w:val="17"/>
          <w:rFonts w:ascii="宋体" w:cs="宋体" w:hAnsi="宋体" w:hint="eastAsia"/>
          <w:b/>
          <w:bCs w:val="0"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</w:t>
      </w:r>
      <w:r>
        <w:rPr>
          <w:rStyle w:val="17"/>
          <w:rFonts w:ascii="宋体" w:cs="宋体" w:hAnsi="宋体"/>
          <w:b/>
          <w:bCs w:val="0"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4</w:t>
      </w:r>
      <w:r>
        <w:rPr>
          <w:rStyle w:val="17"/>
          <w:rFonts w:ascii="宋体" w:eastAsia="宋体" w:cs="宋体" w:hAnsi="宋体" w:hint="eastAsia"/>
          <w:b/>
          <w:bCs w:val="0"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</w:rPr>
        <w:t>年政府信息公开工作年度报告</w:t>
      </w:r>
    </w:p>
    <w:p>
      <w:pPr>
        <w:pStyle w:val="18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adjustRightInd/>
        <w:snapToGrid/>
        <w:spacing w:before="0" w:beforeAutospacing="0" w:after="0" w:afterAutospacing="0" w:line="580" w:lineRule="exact"/>
        <w:ind w:left="0"/>
        <w:rPr>
          <w:rStyle w:val="17"/>
          <w:rFonts w:ascii="宋体" w:eastAsia="宋体" w:cs="宋体" w:hAnsi="宋体"/>
          <w:b/>
          <w:bCs w:val="0"/>
          <w:i w:val="0"/>
          <w:caps w:val="0"/>
          <w:smallCaps w:val="0"/>
          <w:color w:val="333333"/>
          <w:sz w:val="44"/>
          <w:szCs w:val="44"/>
          <w:shd w:val="clear" w:color="auto" w:fill="FFFFFF"/>
        </w:rPr>
      </w:pPr>
    </w:p>
    <w:p>
      <w:pPr>
        <w:pStyle w:val="18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adjustRightInd/>
        <w:snapToGrid/>
        <w:spacing w:before="0" w:beforeAutospacing="0" w:after="0" w:afterAutospacing="0" w:line="580" w:lineRule="exact"/>
        <w:ind w:left="0" w:firstLineChars="200" w:firstLine="640"/>
        <w:rPr>
          <w:rFonts w:ascii="仿宋" w:eastAsia="仿宋" w:cs="仿宋" w:hAnsi="仿宋" w:hint="eastAsia"/>
          <w:color w:val="000000"/>
          <w:sz w:val="32"/>
          <w:szCs w:val="32"/>
          <w:lang w:val="en-US" w:eastAsia="zh-CN"/>
        </w:rPr>
      </w:pPr>
      <w:r>
        <w:rPr>
          <w:rFonts w:ascii="仿宋" w:eastAsia="仿宋" w:cs="仿宋" w:hAnsi="仿宋"/>
          <w:color w:val="000000"/>
          <w:kern w:val="0"/>
          <w:sz w:val="32"/>
          <w:szCs w:val="32"/>
          <w:lang w:val="en-US" w:eastAsia="zh-CN"/>
        </w:rPr>
        <w:t>本年度报告依据《中华人民共和国政府信息公开条例》、《中华人民共和国政府信息公开工作年度报告格式》和省、市、县政务公开工作要求编制而成。全文包括总体情况、主动公开政府信息情况、收到和处理政府信息公开申请情况、政府信息公开行政复议和行政诉讼情况、存在的主要问题及改进情况、其他需要报告的事项等内容。</w:t>
      </w:r>
      <w:r>
        <w:rPr>
          <w:rFonts w:ascii="仿宋" w:eastAsia="仿宋" w:cs="仿宋" w:hAnsi="仿宋" w:hint="eastAsia"/>
          <w:color w:val="000000"/>
          <w:kern w:val="0"/>
          <w:sz w:val="32"/>
          <w:szCs w:val="32"/>
          <w:lang w:val="en-US" w:eastAsia="zh-CN"/>
        </w:rPr>
        <w:t>本报告所列数据统计期限自202</w:t>
      </w:r>
      <w:r>
        <w:rPr>
          <w:rFonts w:ascii="仿宋" w:eastAsia="仿宋" w:cs="仿宋" w:hAnsi="仿宋"/>
          <w:color w:val="000000"/>
          <w:kern w:val="0"/>
          <w:sz w:val="32"/>
          <w:szCs w:val="32"/>
          <w:lang w:val="en-US" w:eastAsia="zh-CN"/>
        </w:rPr>
        <w:t>4</w:t>
      </w:r>
      <w:r>
        <w:rPr>
          <w:rFonts w:ascii="仿宋" w:eastAsia="仿宋" w:cs="仿宋" w:hAnsi="仿宋" w:hint="eastAsia"/>
          <w:color w:val="000000"/>
          <w:kern w:val="0"/>
          <w:sz w:val="32"/>
          <w:szCs w:val="32"/>
          <w:lang w:val="en-US" w:eastAsia="zh-CN"/>
        </w:rPr>
        <w:t>年1月1日起至202</w:t>
      </w:r>
      <w:r>
        <w:rPr>
          <w:rFonts w:ascii="仿宋" w:eastAsia="仿宋" w:cs="仿宋" w:hAnsi="仿宋"/>
          <w:color w:val="000000"/>
          <w:kern w:val="0"/>
          <w:sz w:val="32"/>
          <w:szCs w:val="32"/>
          <w:lang w:val="en-US" w:eastAsia="zh-CN"/>
        </w:rPr>
        <w:t>4</w:t>
      </w:r>
      <w:r>
        <w:rPr>
          <w:rFonts w:ascii="仿宋" w:eastAsia="仿宋" w:cs="仿宋" w:hAnsi="仿宋" w:hint="eastAsia"/>
          <w:color w:val="000000"/>
          <w:kern w:val="0"/>
          <w:sz w:val="32"/>
          <w:szCs w:val="32"/>
          <w:lang w:val="en-US" w:eastAsia="zh-CN"/>
        </w:rPr>
        <w:t>年12月31日止，报告电子版可在宁晋县</w:t>
      </w:r>
      <w:r>
        <w:rPr>
          <w:rFonts w:ascii="仿宋" w:eastAsia="仿宋" w:cs="仿宋" w:hAnsi="仿宋"/>
          <w:color w:val="000000"/>
          <w:kern w:val="0"/>
          <w:sz w:val="32"/>
          <w:szCs w:val="32"/>
          <w:lang w:val="en-US" w:eastAsia="zh-CN"/>
        </w:rPr>
        <w:t>人民</w:t>
      </w:r>
      <w:r>
        <w:rPr>
          <w:rFonts w:ascii="仿宋" w:eastAsia="仿宋" w:cs="仿宋" w:hAnsi="仿宋" w:hint="eastAsia"/>
          <w:color w:val="000000"/>
          <w:kern w:val="0"/>
          <w:sz w:val="32"/>
          <w:szCs w:val="32"/>
          <w:lang w:val="en-US" w:eastAsia="zh-CN"/>
        </w:rPr>
        <w:t>政府网站下载。如对本报告有任何疑问，可到宁晋县民政局（联系地址：宁晋县宁高路12号，邮编：055550，电话：5804476）查询。</w:t>
      </w:r>
    </w:p>
    <w:p>
      <w:pPr>
        <w:pStyle w:val="18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adjustRightInd/>
        <w:snapToGrid/>
        <w:spacing w:before="0" w:beforeAutospacing="0" w:after="0" w:afterAutospacing="0" w:line="580" w:lineRule="exact"/>
        <w:ind w:left="0" w:firstLineChars="200" w:firstLine="640"/>
        <w:rPr>
          <w:rFonts w:ascii="黑体" w:eastAsia="黑体" w:cs="黑体" w:hAnsi="黑体" w:hint="eastAsia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ascii="黑体" w:eastAsia="黑体" w:cs="黑体" w:hAnsi="黑体" w:hint="eastAsia"/>
          <w:b w:val="0"/>
          <w:bCs w:val="0"/>
          <w:color w:val="000000"/>
          <w:sz w:val="32"/>
          <w:szCs w:val="32"/>
          <w:lang w:val="en-US" w:eastAsia="zh-CN"/>
        </w:rPr>
        <w:t>一、总体情况</w:t>
      </w:r>
    </w:p>
    <w:p>
      <w:pPr>
        <w:pStyle w:val="18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adjustRightInd/>
        <w:snapToGrid/>
        <w:spacing w:before="0" w:beforeAutospacing="0" w:after="0" w:afterAutospacing="0" w:line="580" w:lineRule="exact"/>
        <w:ind w:firstLineChars="200" w:firstLine="640"/>
        <w:rPr>
          <w:rFonts w:ascii="仿宋" w:eastAsia="仿宋" w:cs="仿宋" w:hAnsi="仿宋" w:hint="eastAsia"/>
          <w:color w:val="000000"/>
          <w:sz w:val="32"/>
          <w:szCs w:val="32"/>
          <w:lang w:val="en-US" w:eastAsia="zh-CN"/>
        </w:rPr>
      </w:pPr>
      <w:r>
        <w:rPr>
          <w:rFonts w:ascii="仿宋" w:eastAsia="仿宋" w:cs="仿宋" w:hAnsi="仿宋" w:hint="eastAsia"/>
          <w:color w:val="000000"/>
          <w:sz w:val="32"/>
          <w:szCs w:val="32"/>
        </w:rPr>
        <w:t>2024年，我局政府信息公开工作主要内容：信息公开围绕县委、县政府决策部署，重点公开涉及群众切身利益的事项，及时公示、公开各类城乡低保、特困人员救助供养、资金信息等动态情况，随时公布动态信息，认真答复群众咨询，为政府信息公开工作奠定了扎实的基础。</w:t>
      </w:r>
    </w:p>
    <w:p>
      <w:pPr>
        <w:pStyle w:val="18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adjustRightInd/>
        <w:snapToGrid/>
        <w:spacing w:before="0" w:beforeAutospacing="0" w:after="0" w:afterAutospacing="0" w:line="580" w:lineRule="exact"/>
        <w:ind w:left="0" w:firstLineChars="200" w:firstLine="640"/>
        <w:rPr>
          <w:rFonts w:ascii="仿宋" w:eastAsia="仿宋" w:cs="仿宋" w:hAnsi="仿宋" w:hint="eastAsia"/>
          <w:b w:val="0"/>
          <w:i w:val="0"/>
          <w:caps w:val="0"/>
          <w:smallCaps w:val="0"/>
          <w:color w:val="auto"/>
          <w:spacing w:val="0"/>
          <w:kern w:val="2"/>
          <w:sz w:val="32"/>
          <w:szCs w:val="32"/>
          <w:lang w:val="en-US" w:eastAsia="zh-CN" w:bidi="ar-SA"/>
        </w:rPr>
      </w:pPr>
      <w:r>
        <w:rPr>
          <w:rFonts w:ascii="楷体" w:eastAsia="楷体" w:cs="楷体" w:hAnsi="楷体" w:hint="eastAsia"/>
          <w:color w:val="000000"/>
          <w:sz w:val="32"/>
          <w:szCs w:val="32"/>
          <w:lang w:val="en-US" w:eastAsia="zh-CN"/>
        </w:rPr>
        <w:t>主动公开信息情况。</w:t>
      </w:r>
      <w:r>
        <w:rPr>
          <w:rFonts w:ascii="仿宋" w:eastAsia="仿宋" w:cs="仿宋" w:hAnsi="仿宋" w:hint="eastAsia"/>
          <w:color w:val="000000"/>
          <w:sz w:val="32"/>
          <w:szCs w:val="32"/>
          <w:lang w:val="en-US" w:eastAsia="zh-CN"/>
        </w:rPr>
        <w:t>202</w:t>
      </w:r>
      <w:r>
        <w:rPr>
          <w:rFonts w:ascii="仿宋" w:eastAsia="仿宋" w:cs="仿宋" w:hAnsi="仿宋"/>
          <w:color w:val="000000"/>
          <w:sz w:val="32"/>
          <w:szCs w:val="32"/>
          <w:lang w:val="en-US" w:eastAsia="zh-CN"/>
        </w:rPr>
        <w:t>4</w:t>
      </w:r>
      <w:r>
        <w:rPr>
          <w:rFonts w:ascii="仿宋" w:eastAsia="仿宋" w:cs="仿宋" w:hAnsi="仿宋" w:hint="eastAsia"/>
          <w:color w:val="000000"/>
          <w:sz w:val="32"/>
          <w:szCs w:val="32"/>
          <w:lang w:val="en-US" w:eastAsia="zh-CN"/>
        </w:rPr>
        <w:t>年我局主动公开政府信息共</w:t>
      </w:r>
      <w:r>
        <w:rPr>
          <w:rFonts w:ascii="仿宋" w:eastAsia="仿宋" w:cs="仿宋" w:hAnsi="仿宋"/>
          <w:color w:val="000000"/>
          <w:sz w:val="32"/>
          <w:szCs w:val="32"/>
          <w:lang w:val="en-US" w:eastAsia="zh-CN"/>
        </w:rPr>
        <w:t>88</w:t>
      </w:r>
      <w:r>
        <w:rPr>
          <w:rFonts w:ascii="仿宋" w:eastAsia="仿宋" w:cs="仿宋" w:hAnsi="仿宋" w:hint="eastAsia"/>
          <w:color w:val="000000"/>
          <w:sz w:val="32"/>
          <w:szCs w:val="32"/>
          <w:lang w:val="en-US" w:eastAsia="zh-CN"/>
        </w:rPr>
        <w:t>条，历年累计</w:t>
      </w:r>
      <w:r>
        <w:rPr>
          <w:rFonts w:ascii="仿宋" w:eastAsia="仿宋" w:cs="仿宋" w:hAnsi="仿宋"/>
          <w:color w:val="000000"/>
          <w:sz w:val="32"/>
          <w:szCs w:val="32"/>
          <w:lang w:val="en-US" w:eastAsia="zh-CN"/>
        </w:rPr>
        <w:t>348</w:t>
      </w:r>
      <w:r>
        <w:rPr>
          <w:rFonts w:ascii="仿宋" w:eastAsia="仿宋" w:cs="仿宋" w:hAnsi="仿宋" w:hint="eastAsia"/>
          <w:color w:val="000000"/>
          <w:sz w:val="32"/>
          <w:szCs w:val="32"/>
          <w:lang w:val="en-US" w:eastAsia="zh-CN"/>
        </w:rPr>
        <w:t>条。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公开的主要类别为惠民惠农财政补贴信息、资金信息、部门动态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、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年度报告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、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机构职能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、政策解读、</w:t>
      </w:r>
      <w:r>
        <w:rPr>
          <w:rFonts w:ascii="仿宋" w:eastAsia="仿宋" w:cs="仿宋" w:hAnsi="仿宋" w:hint="eastAsia"/>
          <w:b w:val="0"/>
          <w:i w:val="0"/>
          <w:caps w:val="0"/>
          <w:smallCaps w:val="0"/>
          <w:spacing w:val="0"/>
          <w:sz w:val="32"/>
          <w:szCs w:val="32"/>
          <w:lang w:val="en-US" w:eastAsia="zh-CN"/>
        </w:rPr>
        <w:t>行政执法</w:t>
      </w:r>
      <w:r>
        <w:rPr>
          <w:rFonts w:ascii="仿宋" w:eastAsia="仿宋" w:cs="仿宋" w:hAnsi="仿宋"/>
          <w:b w:val="0"/>
          <w:i w:val="0"/>
          <w:caps w:val="0"/>
          <w:smallCaps w:val="0"/>
          <w:spacing w:val="0"/>
          <w:sz w:val="32"/>
          <w:szCs w:val="32"/>
          <w:lang w:val="en-US" w:eastAsia="zh-CN"/>
        </w:rPr>
        <w:t>、人大代表建议、政协提案办理情况等各类政府信息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。</w:t>
      </w:r>
    </w:p>
    <w:p>
      <w:pPr>
        <w:pStyle w:val="18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adjustRightInd/>
        <w:snapToGrid/>
        <w:spacing w:before="0" w:beforeAutospacing="0" w:after="0" w:afterAutospacing="0" w:line="580" w:lineRule="exact"/>
        <w:ind w:left="0" w:firstLineChars="200" w:firstLine="640"/>
        <w:rPr>
          <w:rFonts w:ascii="仿宋" w:eastAsia="仿宋" w:cs="仿宋" w:hAnsi="仿宋" w:hint="eastAsia"/>
          <w:b w:val="0"/>
          <w:i w:val="0"/>
          <w:caps w:val="0"/>
          <w:smallCaps w:val="0"/>
          <w:color w:val="auto"/>
          <w:spacing w:val="0"/>
          <w:kern w:val="2"/>
          <w:sz w:val="32"/>
          <w:szCs w:val="32"/>
          <w:lang w:val="en-US" w:eastAsia="zh-CN" w:bidi="ar-SA"/>
        </w:rPr>
      </w:pPr>
      <w:r>
        <w:rPr>
          <w:rFonts w:ascii="楷体" w:eastAsia="楷体" w:cs="楷体" w:hAnsi="楷体" w:hint="eastAsia"/>
          <w:color w:val="000000"/>
          <w:sz w:val="32"/>
          <w:szCs w:val="32"/>
          <w:lang w:val="en-US" w:eastAsia="zh-CN"/>
        </w:rPr>
        <w:t>（二）依申请公开情况。</w:t>
      </w:r>
      <w:r>
        <w:rPr>
          <w:rFonts w:ascii="仿宋" w:eastAsia="仿宋" w:cs="仿宋" w:hAnsi="仿宋" w:hint="eastAsia"/>
          <w:b w:val="0"/>
          <w:i w:val="0"/>
          <w:caps w:val="0"/>
          <w:smallCaps w:val="0"/>
          <w:color w:val="auto"/>
          <w:spacing w:val="0"/>
          <w:kern w:val="2"/>
          <w:sz w:val="32"/>
          <w:szCs w:val="32"/>
          <w:lang w:val="en-US" w:eastAsia="zh-CN" w:bidi="ar-SA"/>
        </w:rPr>
        <w:t>202</w:t>
      </w:r>
      <w:r>
        <w:rPr>
          <w:rFonts w:ascii="仿宋" w:eastAsia="仿宋" w:cs="仿宋" w:hAnsi="仿宋"/>
          <w:b w:val="0"/>
          <w:i w:val="0"/>
          <w:caps w:val="0"/>
          <w:smallCaps w:val="0"/>
          <w:color w:val="auto"/>
          <w:spacing w:val="0"/>
          <w:kern w:val="2"/>
          <w:sz w:val="32"/>
          <w:szCs w:val="32"/>
          <w:lang w:val="en-US" w:eastAsia="zh-CN" w:bidi="ar-SA"/>
        </w:rPr>
        <w:t>4</w:t>
      </w:r>
      <w:r>
        <w:rPr>
          <w:rFonts w:ascii="仿宋" w:eastAsia="仿宋" w:cs="仿宋" w:hAnsi="仿宋" w:hint="eastAsia"/>
          <w:b w:val="0"/>
          <w:i w:val="0"/>
          <w:caps w:val="0"/>
          <w:smallCaps w:val="0"/>
          <w:color w:val="auto"/>
          <w:spacing w:val="0"/>
          <w:kern w:val="2"/>
          <w:sz w:val="32"/>
          <w:szCs w:val="32"/>
          <w:lang w:val="en-US" w:eastAsia="zh-CN" w:bidi="ar-SA"/>
        </w:rPr>
        <w:t>年，我局没有收到政府信息依申请公开事项，没有办理依申请公开答复。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adjustRightInd/>
        <w:snapToGrid/>
        <w:spacing w:line="580" w:lineRule="exact"/>
        <w:ind w:firstLineChars="200" w:firstLine="640"/>
        <w:rPr>
          <w:rFonts w:ascii="仿宋" w:eastAsia="仿宋" w:cs="仿宋" w:hAnsi="仿宋" w:hint="eastAsia"/>
          <w:b w:val="0"/>
          <w:i w:val="0"/>
          <w:caps w:val="0"/>
          <w:smallCaps w:val="0"/>
          <w:color w:val="auto"/>
          <w:spacing w:val="0"/>
          <w:kern w:val="2"/>
          <w:sz w:val="32"/>
          <w:szCs w:val="32"/>
          <w:lang w:val="en-US" w:eastAsia="zh-CN" w:bidi="ar-SA"/>
        </w:rPr>
      </w:pPr>
      <w:r>
        <w:rPr>
          <w:rFonts w:ascii="楷体" w:eastAsia="楷体" w:cs="楷体" w:hAnsi="楷体" w:hint="eastAsia"/>
          <w:color w:val="000000"/>
          <w:sz w:val="32"/>
          <w:szCs w:val="32"/>
          <w:lang w:val="en-US" w:eastAsia="zh-CN"/>
        </w:rPr>
        <w:t>（三）政府信息管理。</w:t>
      </w:r>
      <w:r>
        <w:rPr>
          <w:rFonts w:ascii="仿宋" w:eastAsia="仿宋" w:cs="仿宋" w:hAnsi="仿宋" w:hint="eastAsia"/>
          <w:sz w:val="32"/>
          <w:szCs w:val="32"/>
        </w:rPr>
        <w:t>为</w:t>
      </w:r>
      <w:r>
        <w:rPr>
          <w:rFonts w:ascii="仿宋" w:eastAsia="仿宋" w:cs="仿宋" w:hAnsi="仿宋" w:hint="eastAsia"/>
          <w:sz w:val="32"/>
          <w:szCs w:val="32"/>
          <w:lang w:val="en-US" w:eastAsia="zh-CN" w:bidi="ar-SA"/>
        </w:rPr>
        <w:t>切实做好政务公开各项工作，</w:t>
      </w:r>
      <w:r>
        <w:rPr>
          <w:rFonts w:ascii="仿宋" w:eastAsia="仿宋" w:cs="仿宋" w:hAnsi="仿宋"/>
          <w:sz w:val="32"/>
          <w:szCs w:val="32"/>
          <w:lang w:val="en-US" w:eastAsia="zh-CN" w:bidi="ar-SA"/>
        </w:rPr>
        <w:t>我局</w:t>
      </w:r>
      <w:bookmarkStart w:id="0" w:name="_GoBack"/>
      <w:bookmarkEnd w:id="0"/>
      <w:r>
        <w:rPr>
          <w:rFonts w:ascii="仿宋" w:eastAsia="仿宋" w:cs="仿宋" w:hAnsi="仿宋" w:hint="eastAsia"/>
          <w:sz w:val="32"/>
          <w:szCs w:val="32"/>
          <w:lang w:val="en-US" w:eastAsia="zh-CN" w:bidi="ar-SA"/>
        </w:rPr>
        <w:t>设办公室为主管股室，指定专人负责，协调、监督全局信息公开工作，积极与各股室联系沟通，坚持把群众最关心、最需要了解的事项公开作为政务公开的重点并及时公开</w:t>
      </w:r>
      <w:r>
        <w:rPr>
          <w:rFonts w:ascii="仿宋" w:eastAsia="仿宋" w:cs="仿宋" w:hAnsi="仿宋"/>
          <w:b w:val="0"/>
          <w:bCs w:val="0"/>
          <w:kern w:val="0"/>
          <w:sz w:val="32"/>
          <w:szCs w:val="32"/>
          <w:lang w:val="en-US" w:eastAsia="zh-CN" w:bidi="ar-SA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adjustRightInd/>
        <w:snapToGrid/>
        <w:spacing w:line="58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楷体" w:eastAsia="楷体" w:cs="楷体" w:hAnsi="楷体" w:hint="eastAsia"/>
          <w:color w:val="000000"/>
          <w:sz w:val="32"/>
          <w:szCs w:val="32"/>
        </w:rPr>
        <w:t>（四）政府信息</w:t>
      </w:r>
      <w:r>
        <w:rPr>
          <w:rFonts w:ascii="楷体" w:eastAsia="楷体" w:cs="楷体" w:hAnsi="楷体"/>
          <w:color w:val="000000"/>
          <w:sz w:val="32"/>
          <w:szCs w:val="32"/>
        </w:rPr>
        <w:t>公开</w:t>
      </w:r>
      <w:r>
        <w:rPr>
          <w:rFonts w:ascii="楷体" w:eastAsia="楷体" w:cs="楷体" w:hAnsi="楷体" w:hint="eastAsia"/>
          <w:color w:val="000000"/>
          <w:sz w:val="32"/>
          <w:szCs w:val="32"/>
        </w:rPr>
        <w:t>平台建设。</w:t>
      </w:r>
      <w:r>
        <w:rPr>
          <w:rFonts w:ascii="仿宋" w:eastAsia="仿宋" w:cs="仿宋" w:hAnsi="仿宋" w:hint="eastAsia"/>
          <w:sz w:val="32"/>
          <w:szCs w:val="32"/>
        </w:rPr>
        <w:t>每月按要求</w:t>
      </w:r>
      <w:r>
        <w:rPr>
          <w:rFonts w:ascii="仿宋" w:eastAsia="仿宋" w:cs="仿宋" w:hAnsi="仿宋"/>
          <w:sz w:val="32"/>
          <w:szCs w:val="32"/>
        </w:rPr>
        <w:t>在宁晋县人民政府网站</w:t>
      </w:r>
      <w:r>
        <w:rPr>
          <w:rFonts w:ascii="仿宋" w:eastAsia="仿宋" w:cs="仿宋" w:hAnsi="仿宋" w:hint="eastAsia"/>
          <w:sz w:val="32"/>
          <w:szCs w:val="32"/>
        </w:rPr>
        <w:t>发布政务公开信息，同时借助电视台、报纸等媒体，及时公开发布重要政务信息，全面反映我局工作动态，为社会各界及时了解民政工作畅通信息渠道。</w:t>
      </w:r>
    </w:p>
    <w:p>
      <w:pPr>
        <w:pStyle w:val="16"/>
        <w:keepNext w:val="0"/>
        <w:keepLines w:val="0"/>
        <w:pageBreakBefore w:val="0"/>
        <w:kinsoku/>
        <w:wordWrap/>
        <w:overflowPunct/>
        <w:topLinePunct w:val="0"/>
        <w:autoSpaceDE/>
        <w:autoSpaceDN/>
        <w:adjustRightInd/>
        <w:snapToGrid/>
        <w:spacing w:line="580" w:lineRule="exact"/>
        <w:ind w:left="0" w:firstLineChars="200" w:firstLine="640"/>
        <w:rPr>
          <w:rFonts w:ascii="楷体" w:eastAsia="楷体" w:cs="楷体" w:hAnsi="楷体" w:hint="eastAsia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ascii="楷体" w:eastAsia="楷体" w:cs="楷体" w:hAnsi="楷体" w:hint="eastAsia"/>
          <w:color w:val="000000"/>
          <w:kern w:val="2"/>
          <w:sz w:val="32"/>
          <w:szCs w:val="32"/>
          <w:lang w:val="en-US" w:eastAsia="zh-CN" w:bidi="ar-SA"/>
        </w:rPr>
        <w:t>（五）政府信息监管保障。</w:t>
      </w:r>
      <w:r>
        <w:rPr>
          <w:rFonts w:ascii="仿宋" w:eastAsia="仿宋" w:cs="仿宋" w:hAnsi="仿宋" w:hint="eastAsia"/>
          <w:sz w:val="32"/>
          <w:szCs w:val="32"/>
        </w:rPr>
        <w:t>建立审</w:t>
      </w:r>
      <w:r>
        <w:rPr>
          <w:rFonts w:ascii="仿宋" w:eastAsia="仿宋" w:cs="仿宋" w:hAnsi="仿宋"/>
          <w:sz w:val="32"/>
          <w:szCs w:val="32"/>
        </w:rPr>
        <w:t>核</w:t>
      </w:r>
      <w:r>
        <w:rPr>
          <w:rFonts w:ascii="仿宋" w:eastAsia="仿宋" w:cs="仿宋" w:hAnsi="仿宋" w:hint="eastAsia"/>
          <w:sz w:val="32"/>
          <w:szCs w:val="32"/>
        </w:rPr>
        <w:t>机制</w:t>
      </w:r>
      <w:r>
        <w:rPr>
          <w:rFonts w:ascii="仿宋" w:eastAsia="仿宋" w:cs="仿宋" w:hAnsi="仿宋"/>
          <w:sz w:val="32"/>
          <w:szCs w:val="32"/>
        </w:rPr>
        <w:t>，</w:t>
      </w:r>
      <w:r>
        <w:rPr>
          <w:rFonts w:ascii="仿宋" w:eastAsia="仿宋" w:cs="仿宋" w:hAnsi="仿宋" w:hint="eastAsia"/>
          <w:b w:val="0"/>
          <w:i w:val="0"/>
          <w:caps w:val="0"/>
          <w:smallCaps w:val="0"/>
          <w:color w:val="auto"/>
          <w:spacing w:val="0"/>
          <w:kern w:val="2"/>
          <w:sz w:val="32"/>
          <w:szCs w:val="32"/>
          <w:lang w:val="en-US" w:eastAsia="zh-CN" w:bidi="ar-SA"/>
        </w:rPr>
        <w:t>我局在政府网站发布的信息，由信息员报股室负责人，再上报主管副职及主要负责人，落实层级审核机制，确保发布的信息内容合法合规。</w:t>
      </w:r>
    </w:p>
    <w:p>
      <w:pPr>
        <w:pStyle w:val="18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adjustRightInd/>
        <w:snapToGrid/>
        <w:spacing w:before="0" w:beforeAutospacing="0" w:after="0" w:afterAutospacing="0" w:line="580" w:lineRule="exact"/>
        <w:ind w:left="0" w:firstLineChars="200" w:firstLine="640"/>
        <w:rPr>
          <w:rFonts w:ascii="黑体" w:eastAsia="黑体" w:cs="黑体" w:hAnsi="黑体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ascii="黑体" w:eastAsia="黑体" w:cs="黑体" w:hAnsi="黑体" w:hint="eastAsia"/>
          <w:b w:val="0"/>
          <w:bCs w:val="0"/>
          <w:color w:val="000000"/>
          <w:sz w:val="32"/>
          <w:szCs w:val="32"/>
          <w:lang w:val="en-US" w:eastAsia="zh-CN"/>
        </w:rPr>
        <w:t>二、主动公开政府信息情况</w:t>
      </w:r>
    </w:p>
    <w:p>
      <w:pPr>
        <w:pStyle w:val="18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firstLine="420"/>
        <w:jc w:val="both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tbl>
      <w:tblPr>
        <w:jc w:val="center"/>
        <w:tblW w:w="97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shd w:val="clear" w:color="auto" w:fill="auto"/>
        <w:tblCellMar>
          <w:top w:w="0" w:type="dxa"/>
          <w:left w:w="0" w:type="dxa"/>
          <w:bottom w:w="0" w:type="dxa"/>
          <w:right w:w="0" w:type="dxa"/>
        </w:tblCellMar>
        <w:tblLook w:val="0600" w:firstRow="0" w:lastRow="0" w:firstColumn="0" w:lastColumn="0" w:noHBand="1" w:noVBand="1"/>
      </w:tblPr>
      <w:tblGrid>
        <w:gridCol w:w="2435"/>
        <w:gridCol w:w="2435"/>
        <w:gridCol w:w="2435"/>
        <w:gridCol w:w="2435"/>
      </w:tblGrid>
      <w:tr>
        <w:trPr>
          <w:trHeight w:val="340"/>
        </w:trPr>
        <w:tc>
          <w:tcPr>
            <w:tcW w:w="974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第二十条第（一）项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本年</w:t>
            </w: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制发件数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本年废止件数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现行有效件</w:t>
            </w: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数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 　</w:t>
            </w:r>
            <w:r>
              <w:rPr>
                <w:rFonts w:ascii="宋体" w:eastAsia="宋体" w:cs="宋体" w:hAnsi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1"/>
                <w:szCs w:val="21"/>
                <w:lang w:val="en-US" w:eastAsia="zh-CN"/>
              </w:rPr>
              <w:t> 0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 　</w:t>
            </w:r>
            <w:r>
              <w:rPr>
                <w:rFonts w:ascii="宋体" w:eastAsia="宋体" w:cs="宋体" w:hAnsi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1"/>
                <w:szCs w:val="21"/>
                <w:lang w:val="en-US" w:eastAsia="zh-CN"/>
              </w:rPr>
              <w:t>0 </w:t>
            </w:r>
          </w:p>
        </w:tc>
      </w:tr>
      <w:tr>
        <w:trPr>
          <w:trHeight w:val="340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第二十条第（五）项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本年处理决定数量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1"/>
                <w:szCs w:val="21"/>
                <w:lang w:val="en-US" w:eastAsia="zh-CN"/>
              </w:rPr>
              <w:t> 0</w:t>
            </w:r>
          </w:p>
        </w:tc>
      </w:tr>
      <w:tr>
        <w:trPr>
          <w:trHeight w:val="340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第二十条第（六）项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本年处理决定数量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/>
                <w:color w:val="000000"/>
                <w:kern w:val="0"/>
                <w:sz w:val="20"/>
                <w:szCs w:val="20"/>
                <w:lang w:val="en-US" w:eastAsia="zh-CN"/>
              </w:rPr>
              <w:t>2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rPr>
          <w:trHeight w:val="340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第二十条第（八）项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本年收费金额（单位：万元）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ascii="宋体" w:hint="eastAsia"/>
                <w:sz w:val="24"/>
                <w:szCs w:val="24"/>
              </w:rPr>
            </w:pPr>
            <w:r>
              <w:rPr>
                <w:rFonts w:ascii="宋体" w:cs="宋体" w:hAnsi="宋体"/>
                <w:color w:val="000000"/>
                <w:kern w:val="0"/>
                <w:sz w:val="20"/>
                <w:szCs w:val="20"/>
              </w:rPr>
              <w:t>2.0722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18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firstLine="420"/>
        <w:jc w:val="both"/>
        <w:rPr>
          <w:rFonts w:ascii="黑体" w:eastAsia="黑体" w:cs="黑体" w:hAnsi="黑体" w:hint="eastAsia"/>
          <w:color w:val="000000"/>
          <w:sz w:val="32"/>
          <w:szCs w:val="32"/>
        </w:rPr>
      </w:pPr>
      <w:r>
        <w:rPr>
          <w:rFonts w:ascii="黑体" w:eastAsia="黑体" w:cs="黑体" w:hAnsi="黑体" w:hint="eastAsia"/>
          <w:color w:val="000000"/>
          <w:sz w:val="32"/>
          <w:szCs w:val="32"/>
        </w:rPr>
        <w:t>三、收到和处理政府信息公开申请情况</w:t>
      </w:r>
    </w:p>
    <w:p>
      <w:pPr>
        <w:pStyle w:val="18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firstLine="420"/>
        <w:jc w:val="both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tbl>
      <w:tblPr>
        <w:jc w:val="center"/>
        <w:tblW w:w="968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outset" w:sz="6" w:space="0" w:color="auto"/>
          <w:insideV w:val="outset" w:sz="6" w:space="0" w:color="auto"/>
        </w:tblBorders>
        <w:shd w:val="clear" w:color="auto" w:fill="auto"/>
        <w:tblCellMar>
          <w:top w:w="0" w:type="dxa"/>
          <w:left w:w="0" w:type="dxa"/>
          <w:bottom w:w="0" w:type="dxa"/>
          <w:right w:w="0" w:type="dxa"/>
        </w:tblCellMar>
        <w:tblLook w:val="0600" w:firstRow="0" w:lastRow="0" w:firstColumn="0" w:lastColumn="0" w:noHBand="1" w:noVBand="1"/>
      </w:tblPr>
      <w:tblGrid>
        <w:gridCol w:w="754"/>
        <w:gridCol w:w="921"/>
        <w:gridCol w:w="3272"/>
        <w:gridCol w:w="686"/>
        <w:gridCol w:w="686"/>
        <w:gridCol w:w="686"/>
        <w:gridCol w:w="686"/>
        <w:gridCol w:w="686"/>
        <w:gridCol w:w="686"/>
        <w:gridCol w:w="624"/>
      </w:tblGrid>
      <w:tr>
        <w:tc>
          <w:tcPr>
            <w:tcW w:w="4947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（本列数据的勾稽关系为：第一项加第二项之和，等于第三项加第四项之和）</w:t>
            </w:r>
          </w:p>
        </w:tc>
        <w:tc>
          <w:tcPr>
            <w:tcW w:w="4739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申请人情况</w:t>
            </w:r>
          </w:p>
        </w:tc>
      </w:tr>
      <w:tr>
        <w:tc>
          <w:tcPr>
            <w:tcW w:w="5150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86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自然人</w:t>
            </w:r>
          </w:p>
        </w:tc>
        <w:tc>
          <w:tcPr>
            <w:tcW w:w="3429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法人或其他组织</w:t>
            </w:r>
          </w:p>
        </w:tc>
        <w:tc>
          <w:tcPr>
            <w:tcW w:w="624" w:type="dxa"/>
            <w:vMerge w:val="restart"/>
            <w:tcBorders>
              <w:top w:val="single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</w:tr>
      <w:tr>
        <w:tc>
          <w:tcPr>
            <w:tcW w:w="5150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71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企业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机构</w:t>
            </w:r>
          </w:p>
        </w:tc>
        <w:tc>
          <w:tcPr>
            <w:tcW w:w="6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社会公益组织</w:t>
            </w:r>
          </w:p>
        </w:tc>
        <w:tc>
          <w:tcPr>
            <w:tcW w:w="6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法律服务机构</w:t>
            </w:r>
          </w:p>
        </w:tc>
        <w:tc>
          <w:tcPr>
            <w:tcW w:w="6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其他</w:t>
            </w:r>
          </w:p>
        </w:tc>
        <w:tc>
          <w:tcPr>
            <w:tcW w:w="714" w:type="dxa"/>
            <w:vMerge/>
            <w:tcBorders>
              <w:top w:val="single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</w:tr>
      <w:tr>
        <w:tc>
          <w:tcPr>
            <w:tcW w:w="4947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一、本年新收政府信息公开申请数量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4947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二、上年结转政府信息公开申请数量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54" w:type="dxa"/>
            <w:vMerge w:val="restart"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三、本年度办理结果</w:t>
            </w:r>
          </w:p>
        </w:tc>
        <w:tc>
          <w:tcPr>
            <w:tcW w:w="419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（一）予以公开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419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（二）部分公开</w:t>
            </w: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（区分处理的，只计这一情形，不计其他情形）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rFonts w:cs="Calibri"/>
                <w:kern w:val="0"/>
                <w:sz w:val="20"/>
                <w:szCs w:val="20"/>
              </w:rPr>
            </w:pPr>
            <w:r>
              <w:rPr>
                <w:rFonts w:cs="Calibri"/>
                <w:kern w:val="0"/>
                <w:sz w:val="20"/>
                <w:szCs w:val="20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21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（三）不予公开</w:t>
            </w:r>
          </w:p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1.属于国家秘密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2.其他法律行政法规禁止公开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3.危及“三安全一稳定”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4.保护第三方合法权益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5.属于三类内部事务信息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6.属于四类过程性信息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7.属于行政执法案卷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8.属于行政查询事项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21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（四）无法提供</w:t>
            </w:r>
          </w:p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1.本机关不掌握相关政府信息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2.没有现成信息需要另行制作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3.补正后申请内容仍不明确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21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（五）不予处理</w:t>
            </w:r>
          </w:p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1.信访举报投诉类申请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2.重复申请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3.要求提供公开出版物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4.无正当理由大量反复申请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rPr>
          <w:trHeight w:val="779"/>
        </w:trP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272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5.要求行政机关确认或重新出具已获取信息</w:t>
            </w:r>
          </w:p>
        </w:tc>
        <w:tc>
          <w:tcPr>
            <w:tcW w:w="686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24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21" w:type="dxa"/>
            <w:vMerge w:val="restart"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（六）其他处理</w:t>
            </w:r>
          </w:p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1.申请人无正当理由逾期不补正、行政机关不再处理其政府信息公开申请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2.申请人逾期未按收费通知要求缴纳费用、行政机关不再处理其政府信息公开申请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  <w:rPr>
                <w:szCs w:val="20"/>
              </w:rPr>
            </w:pPr>
            <w:r>
              <w:rPr>
                <w:rFonts w:cs="Calibri"/>
                <w:kern w:val="0"/>
                <w:sz w:val="20"/>
                <w:szCs w:val="20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3.其他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419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（七）总计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4947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四、结转下年度继续办理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ind w:firstLineChars="100" w:firstLine="240"/>
              <w:rPr>
                <w:rFonts w:ascii="宋体" w:hint="eastAsia"/>
                <w:sz w:val="24"/>
                <w:szCs w:val="24"/>
              </w:rPr>
            </w:pPr>
            <w:r>
              <w:rPr>
                <w:rFonts w:ascii="宋体"/>
                <w:sz w:val="24"/>
                <w:szCs w:val="24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firstLine="0"/>
        <w:jc w:val="center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p>
      <w:pPr>
        <w:pStyle w:val="18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firstLine="420"/>
        <w:jc w:val="both"/>
        <w:rPr>
          <w:rFonts w:ascii="黑体" w:eastAsia="黑体" w:cs="黑体" w:hAnsi="黑体" w:hint="eastAsia"/>
          <w:color w:val="000000"/>
          <w:sz w:val="32"/>
          <w:szCs w:val="32"/>
        </w:rPr>
      </w:pPr>
      <w:r>
        <w:rPr>
          <w:rFonts w:ascii="黑体" w:eastAsia="黑体" w:cs="黑体" w:hAnsi="黑体" w:hint="eastAsia"/>
          <w:bCs/>
          <w:color w:val="000000"/>
          <w:sz w:val="32"/>
          <w:szCs w:val="32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firstLine="0"/>
        <w:jc w:val="center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tbl>
      <w:tblPr>
        <w:jc w:val="center"/>
        <w:tblW w:w="97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outset" w:sz="6" w:space="0" w:color="auto"/>
          <w:insideV w:val="outset" w:sz="6" w:space="0" w:color="auto"/>
        </w:tblBorders>
        <w:shd w:val="clear" w:color="auto" w:fill="auto"/>
        <w:tblCellMar>
          <w:top w:w="0" w:type="dxa"/>
          <w:left w:w="0" w:type="dxa"/>
          <w:bottom w:w="0" w:type="dxa"/>
          <w:right w:w="0" w:type="dxa"/>
        </w:tblCellMar>
        <w:tblLook w:val="0600" w:firstRow="0" w:lastRow="0" w:firstColumn="0" w:lastColumn="0" w:noHBand="1" w:noVBand="1"/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0"/>
        <w:gridCol w:w="650"/>
        <w:gridCol w:w="650"/>
        <w:gridCol w:w="650"/>
        <w:gridCol w:w="650"/>
      </w:tblGrid>
      <w:tr>
        <w:tc>
          <w:tcPr>
            <w:tcW w:w="321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行政诉讼</w:t>
            </w:r>
          </w:p>
        </w:tc>
      </w:tr>
      <w:tr>
        <w:tc>
          <w:tcPr>
            <w:tcW w:w="642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  <w:br/>
              <w:t>纠正</w:t>
            </w:r>
          </w:p>
        </w:tc>
        <w:tc>
          <w:tcPr>
            <w:tcW w:w="64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其他</w:t>
              <w:br/>
              <w:t>结果</w:t>
            </w:r>
          </w:p>
        </w:tc>
        <w:tc>
          <w:tcPr>
            <w:tcW w:w="64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尚未</w:t>
              <w:br/>
              <w:t>审结</w:t>
            </w:r>
          </w:p>
        </w:tc>
        <w:tc>
          <w:tcPr>
            <w:tcW w:w="64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复议后起诉</w:t>
            </w:r>
          </w:p>
        </w:tc>
      </w:tr>
      <w:tr>
        <w:tc>
          <w:tcPr>
            <w:tcW w:w="64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4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4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4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4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  <w:br/>
              <w:t>维持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  <w:br/>
              <w:t>纠正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其他</w:t>
              <w:br/>
              <w:t>结果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尚未</w:t>
              <w:br/>
              <w:t>审结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  <w:br/>
              <w:t>维持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  <w:br/>
              <w:t>纠正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其他</w:t>
              <w:br/>
              <w:t>结果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尚未</w:t>
              <w:br/>
              <w:t>审结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</w:tr>
      <w:tr>
        <w:trPr>
          <w:trHeight w:val="672"/>
        </w:trPr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ind w:firstLineChars="100" w:firstLine="240"/>
              <w:jc w:val="center"/>
              <w:rPr>
                <w:rFonts w:ascii="宋体" w:hint="eastAsia"/>
                <w:sz w:val="24"/>
                <w:szCs w:val="24"/>
              </w:rPr>
            </w:pPr>
            <w:r>
              <w:rPr>
                <w:rFonts w:ascii="宋体"/>
                <w:sz w:val="24"/>
                <w:szCs w:val="24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18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firstLine="420"/>
        <w:jc w:val="both"/>
        <w:rPr>
          <w:rFonts w:ascii="黑体" w:eastAsia="黑体" w:cs="黑体" w:hAnsi="黑体" w:hint="eastAsia"/>
          <w:bCs/>
          <w:color w:val="000000"/>
          <w:sz w:val="32"/>
          <w:szCs w:val="32"/>
        </w:rPr>
      </w:pPr>
      <w:r>
        <w:rPr>
          <w:rFonts w:ascii="黑体" w:eastAsia="黑体" w:cs="黑体" w:hAnsi="黑体" w:hint="eastAsia"/>
          <w:bCs/>
          <w:color w:val="000000"/>
          <w:sz w:val="32"/>
          <w:szCs w:val="32"/>
        </w:rPr>
        <w:t>五、存在的主要问题及改进情况</w:t>
      </w:r>
    </w:p>
    <w:p>
      <w:pPr>
        <w:pStyle w:val="18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adjustRightInd/>
        <w:snapToGrid/>
        <w:spacing w:before="0" w:beforeAutospacing="0" w:after="0" w:afterAutospacing="0" w:line="580" w:lineRule="exact"/>
        <w:ind w:left="0" w:firstLineChars="200" w:firstLine="640"/>
        <w:rPr>
          <w:rFonts w:ascii="仿宋" w:eastAsia="仿宋" w:cs="仿宋" w:hAnsi="仿宋" w:hint="eastAsia"/>
          <w:color w:val="000000"/>
          <w:kern w:val="0"/>
          <w:sz w:val="32"/>
          <w:szCs w:val="32"/>
          <w:lang w:val="en-US" w:eastAsia="zh-CN"/>
        </w:rPr>
      </w:pPr>
      <w:r>
        <w:rPr>
          <w:rFonts w:ascii="仿宋" w:eastAsia="仿宋" w:cs="仿宋" w:hAnsi="仿宋" w:hint="eastAsia"/>
          <w:color w:val="000000"/>
          <w:kern w:val="0"/>
          <w:sz w:val="32"/>
          <w:szCs w:val="32"/>
          <w:lang w:val="en-US" w:eastAsia="zh-CN"/>
        </w:rPr>
        <w:t>我局政府信息公开工作主要存在两个方面的问题，一是</w:t>
      </w:r>
      <w:r>
        <w:rPr>
          <w:rFonts w:ascii="仿宋" w:eastAsia="仿宋" w:cs="仿宋" w:hAnsi="仿宋" w:hint="eastAsia"/>
          <w:b w:val="0"/>
          <w:bCs w:val="0"/>
          <w:kern w:val="2"/>
          <w:sz w:val="32"/>
          <w:szCs w:val="32"/>
          <w:lang w:val="en-US" w:eastAsia="zh-CN" w:bidi="ar-SA"/>
        </w:rPr>
        <w:t>认识还不够到位，</w:t>
      </w:r>
      <w:r>
        <w:rPr>
          <w:rFonts w:ascii="仿宋" w:eastAsia="仿宋" w:cs="仿宋" w:hAnsi="仿宋"/>
          <w:b w:val="0"/>
          <w:bCs w:val="0"/>
          <w:kern w:val="2"/>
          <w:sz w:val="32"/>
          <w:szCs w:val="32"/>
          <w:lang w:val="en-US" w:eastAsia="zh-CN" w:bidi="ar-SA"/>
        </w:rPr>
        <w:t>在</w:t>
      </w:r>
      <w:r>
        <w:rPr>
          <w:rFonts w:ascii="仿宋" w:eastAsia="仿宋" w:cs="仿宋" w:hAnsi="仿宋" w:hint="eastAsia"/>
          <w:b w:val="0"/>
          <w:bCs w:val="0"/>
          <w:kern w:val="2"/>
          <w:sz w:val="32"/>
          <w:szCs w:val="32"/>
          <w:lang w:val="en-US" w:eastAsia="zh-CN" w:bidi="ar-SA"/>
        </w:rPr>
        <w:t>政务公开工作上不够主动</w:t>
      </w:r>
      <w:r>
        <w:rPr>
          <w:rFonts w:ascii="仿宋" w:eastAsia="仿宋" w:cs="仿宋" w:hAnsi="仿宋" w:hint="eastAsia"/>
          <w:color w:val="000000"/>
          <w:kern w:val="0"/>
          <w:sz w:val="32"/>
          <w:szCs w:val="32"/>
          <w:lang w:val="en-US" w:eastAsia="zh-CN"/>
        </w:rPr>
        <w:t>；二是</w:t>
      </w:r>
      <w:r>
        <w:rPr>
          <w:rFonts w:ascii="仿宋" w:eastAsia="仿宋" w:cs="仿宋" w:hAnsi="仿宋"/>
          <w:color w:val="000000"/>
          <w:kern w:val="0"/>
          <w:sz w:val="32"/>
          <w:szCs w:val="32"/>
          <w:lang w:val="en-US" w:eastAsia="zh-CN"/>
        </w:rPr>
        <w:t>政务公开队伍建设有待强化</w:t>
      </w:r>
      <w:r>
        <w:rPr>
          <w:rFonts w:ascii="仿宋" w:eastAsia="仿宋" w:cs="仿宋" w:hAnsi="仿宋" w:hint="eastAsia"/>
          <w:color w:val="000000"/>
          <w:kern w:val="0"/>
          <w:sz w:val="32"/>
          <w:szCs w:val="32"/>
          <w:lang w:val="en-US" w:eastAsia="zh-CN"/>
        </w:rPr>
        <w:t>等现象。</w:t>
      </w:r>
    </w:p>
    <w:p>
      <w:pPr>
        <w:pStyle w:val="16"/>
        <w:ind w:left="0" w:firstLineChars="200" w:firstLine="640"/>
        <w:rPr>
          <w:rFonts w:ascii="黑体" w:eastAsia="黑体" w:cs="黑体" w:hAnsi="黑体"/>
          <w:bCs/>
          <w:color w:val="000000"/>
          <w:sz w:val="32"/>
          <w:szCs w:val="32"/>
        </w:rPr>
      </w:pPr>
      <w:r>
        <w:rPr>
          <w:rFonts w:ascii="仿宋" w:eastAsia="仿宋" w:cs="仿宋" w:hAnsi="仿宋" w:hint="eastAsia"/>
          <w:color w:val="000000"/>
          <w:kern w:val="0"/>
          <w:sz w:val="32"/>
          <w:szCs w:val="32"/>
          <w:lang w:val="en-US" w:eastAsia="zh-CN"/>
        </w:rPr>
        <w:t>改进措施：一是</w:t>
      </w:r>
      <w:r>
        <w:rPr>
          <w:rFonts w:ascii="仿宋" w:eastAsia="仿宋" w:cs="仿宋" w:hAnsi="仿宋" w:hint="eastAsia"/>
          <w:b w:val="0"/>
          <w:bCs w:val="0"/>
          <w:kern w:val="2"/>
          <w:sz w:val="32"/>
          <w:szCs w:val="32"/>
          <w:lang w:val="en-US" w:eastAsia="zh-CN" w:bidi="ar-SA"/>
        </w:rPr>
        <w:t>进一步提高认识，切实加强</w:t>
      </w:r>
      <w:r>
        <w:rPr>
          <w:rFonts w:ascii="仿宋" w:eastAsia="仿宋" w:cs="仿宋" w:hAnsi="仿宋"/>
          <w:b w:val="0"/>
          <w:bCs w:val="0"/>
          <w:kern w:val="2"/>
          <w:sz w:val="32"/>
          <w:szCs w:val="32"/>
          <w:lang w:val="en-US" w:eastAsia="zh-CN" w:bidi="ar-SA"/>
        </w:rPr>
        <w:t>《中华人民共和国政府信息公开条例》</w:t>
      </w:r>
      <w:r>
        <w:rPr>
          <w:rFonts w:ascii="仿宋" w:eastAsia="仿宋" w:cs="仿宋" w:hAnsi="仿宋" w:hint="eastAsia"/>
          <w:b w:val="0"/>
          <w:bCs w:val="0"/>
          <w:kern w:val="2"/>
          <w:sz w:val="32"/>
          <w:szCs w:val="32"/>
          <w:lang w:val="en-US" w:eastAsia="zh-CN" w:bidi="ar-SA"/>
        </w:rPr>
        <w:t>的学习宣传力度，持续将政务公开作为面向群众的重要工作，认真抓好抓落实，不断增强做好政务公开工作的责任感和使命感</w:t>
      </w:r>
      <w:r>
        <w:rPr>
          <w:rFonts w:ascii="仿宋" w:eastAsia="仿宋" w:cs="仿宋" w:hAnsi="仿宋" w:hint="eastAsia"/>
          <w:color w:val="000000"/>
          <w:kern w:val="0"/>
          <w:sz w:val="32"/>
          <w:szCs w:val="32"/>
          <w:lang w:val="en-US" w:eastAsia="zh-CN"/>
        </w:rPr>
        <w:t>。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二是加强政务信息公开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队伍建设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，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定期组织开展业务培训和交流活动，</w:t>
      </w:r>
      <w:r>
        <w:rPr>
          <w:rFonts w:ascii="仿宋" w:eastAsia="仿宋" w:cs="仿宋" w:hAnsi="仿宋"/>
          <w:b w:val="0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</w:rPr>
        <w:t>提升工作人员业务水平</w:t>
      </w:r>
      <w:r>
        <w:rPr>
          <w:rFonts w:ascii="仿宋" w:eastAsia="仿宋" w:cs="仿宋" w:hAnsi="仿宋" w:hint="eastAsia"/>
          <w:b w:val="0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eastAsia="zh-CN"/>
        </w:rPr>
        <w:t>。</w:t>
      </w:r>
    </w:p>
    <w:p>
      <w:pPr>
        <w:pStyle w:val="16"/>
        <w:ind w:left="0" w:firstLineChars="200" w:firstLine="640"/>
        <w:rPr>
          <w:rFonts w:ascii="黑体" w:eastAsia="黑体" w:cs="黑体" w:hAnsi="黑体"/>
          <w:bCs/>
          <w:color w:val="000000"/>
          <w:sz w:val="32"/>
          <w:szCs w:val="32"/>
        </w:rPr>
      </w:pPr>
      <w:r>
        <w:rPr>
          <w:rFonts w:ascii="黑体" w:eastAsia="黑体" w:cs="黑体" w:hAnsi="黑体" w:hint="eastAsia"/>
          <w:bCs/>
          <w:color w:val="000000"/>
          <w:sz w:val="32"/>
          <w:szCs w:val="32"/>
        </w:rPr>
        <w:t>六、其他需要报告的事项</w:t>
      </w:r>
    </w:p>
    <w:p>
      <w:pPr>
        <w:pStyle w:val="16"/>
        <w:ind w:left="0" w:firstLineChars="200" w:firstLine="640"/>
        <w:rPr>
          <w:rFonts w:eastAsia="仿宋" w:hint="eastAsia"/>
        </w:rPr>
      </w:pPr>
      <w:r>
        <w:rPr>
          <w:rFonts w:ascii="仿宋" w:eastAsia="仿宋" w:cs="仿宋" w:hAnsi="仿宋" w:hint="eastAsia"/>
          <w:color w:val="000000"/>
          <w:kern w:val="0"/>
          <w:sz w:val="32"/>
          <w:szCs w:val="32"/>
          <w:lang w:val="en-US" w:eastAsia="zh-CN"/>
        </w:rPr>
        <w:t>202</w:t>
      </w:r>
      <w:r>
        <w:rPr>
          <w:rFonts w:ascii="仿宋" w:eastAsia="仿宋" w:cs="仿宋" w:hAnsi="仿宋"/>
          <w:color w:val="000000"/>
          <w:kern w:val="0"/>
          <w:sz w:val="32"/>
          <w:szCs w:val="32"/>
          <w:lang w:val="en-US" w:eastAsia="zh-CN"/>
        </w:rPr>
        <w:t>4</w:t>
      </w:r>
      <w:r>
        <w:rPr>
          <w:rFonts w:ascii="仿宋" w:eastAsia="仿宋" w:cs="仿宋" w:hAnsi="仿宋" w:hint="eastAsia"/>
          <w:color w:val="000000"/>
          <w:kern w:val="0"/>
          <w:sz w:val="32"/>
          <w:szCs w:val="32"/>
          <w:lang w:val="en-US" w:eastAsia="zh-CN"/>
        </w:rPr>
        <w:t>年，宁晋县民政局没有收取信息处理费</w:t>
      </w:r>
      <w:r>
        <w:rPr>
          <w:rFonts w:ascii="仿宋" w:eastAsia="仿宋" w:cs="仿宋" w:hAnsi="仿宋"/>
          <w:color w:val="000000"/>
          <w:kern w:val="0"/>
          <w:sz w:val="32"/>
          <w:szCs w:val="32"/>
          <w:lang w:val="en-US" w:eastAsia="zh-CN"/>
        </w:rPr>
        <w:t>,</w:t>
      </w:r>
      <w:r>
        <w:rPr>
          <w:rFonts w:ascii="仿宋" w:eastAsia="仿宋" w:cs="仿宋" w:hAnsi="仿宋" w:hint="eastAsia"/>
          <w:color w:val="000000"/>
          <w:kern w:val="0"/>
          <w:sz w:val="32"/>
          <w:szCs w:val="32"/>
          <w:lang w:val="en-US" w:eastAsia="zh-CN"/>
        </w:rPr>
        <w:t>无其他需要报告事项。</w:t>
      </w:r>
    </w:p>
    <w:p>
      <w:pPr>
        <w:pStyle w:val="18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adjustRightInd/>
        <w:snapToGrid/>
        <w:spacing w:before="0" w:beforeAutospacing="0" w:after="0" w:afterAutospacing="0" w:line="580" w:lineRule="exact"/>
        <w:ind w:left="0" w:firstLineChars="200" w:firstLine="480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p/>
    <w:sectPr>
      <w:pgSz w:w="11906" w:h="16838"/>
      <w:pgMar w:top="1440" w:right="1800" w:bottom="1440" w:left="1800" w:header="851" w:footer="992" w:gutter="0"/>
      <w:cols w:num="1" w:space="425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00000A87" w:usb1="00000000" w:usb2="00000000" w:usb3="00000000" w:csb0="400001BF" w:csb1="DFF7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mc="http://schemas.openxmlformats.org/markup-compatibility/2006" xmlns:w14="http://schemas.microsoft.com/office/word/2010/wordml">
  <w:abstractNum w:abstractNumId="0">
    <w:nsid w:val="EBEFAE8C"/>
    <w:multiLevelType w:val="singleLevel"/>
    <w:tmpl w:val="EBEFAE8C"/>
    <w:lvl w:ilvl="0">
      <w:start w:val="1"/>
      <w:numFmt w:val="chineseCounting"/>
      <w:lvlRestart w:val="0"/>
      <w:suff w:val="nothing"/>
      <w:lvlText w:val="（%1）"/>
      <w:lvlJc w:val="left"/>
      <w:pPr/>
      <w:rPr>
        <w:rFonts w:hint="eastAsia"/>
      </w:rPr>
    </w:lvl>
  </w:abstractNum>
  <w:num w:numId="1">
    <w:abstractNumId w:val="0"/>
  </w:num>
</w:numbering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20"/>
  <w:displayBackgroundShape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noPunctuationKerning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ulTrailSpace/>
    <w:doNotExpandShiftReturn/>
    <w:adjustLineHeightInTable/>
    <w:compatSetting w:name="compatibilityMode" w:uri="http://schemas.microsoft.com/office/word" w:val="15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next w:val="16"/>
    <w:pPr>
      <w:widowControl w:val="0"/>
      <w:jc w:val="both"/>
    </w:pPr>
    <w:rPr>
      <w:rFonts w:ascii="Calibri" w:eastAsia="宋体" w:cs="Times New Roman" w:hAnsi="Calibri"/>
      <w:kern w:val="2"/>
      <w:sz w:val="21"/>
      <w:szCs w:val="24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Calibri" w:eastAsia="宋体" w:cs="Times New Roman" w:hAnsi="Calibri"/>
      <w:b/>
      <w:bCs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Times New Roman" w:eastAsia="黑体" w:cs="Times New Roman" w:hAnsi="Times New Roman"/>
      <w:b/>
      <w:bCs/>
      <w:kern w:val="2"/>
      <w:sz w:val="32"/>
      <w:szCs w:val="32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Calibri" w:eastAsia="宋体" w:cs="Times New Roman" w:hAnsi="Calibri"/>
      <w:b/>
      <w:bCs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qFormat/>
  </w:style>
  <w:style w:type="paragraph" w:styleId="15">
    <w:name w:val="Body Text Indent"/>
    <w:qFormat/>
    <w:basedOn w:val="0"/>
    <w:pPr>
      <w:spacing w:after="120"/>
      <w:ind w:left="420"/>
    </w:pPr>
  </w:style>
  <w:style w:type="paragraph" w:styleId="16">
    <w:name w:val="Body Text First Indent 2"/>
    <w:qFormat/>
    <w:basedOn w:val="15"/>
    <w:pPr>
      <w:ind w:firstLineChars="200" w:firstLine="200"/>
    </w:pPr>
  </w:style>
  <w:style w:type="character" w:styleId="17">
    <w:name w:val="Strong"/>
    <w:qFormat/>
    <w:basedOn w:val="10"/>
    <w:rPr>
      <w:b/>
    </w:rPr>
  </w:style>
  <w:style w:type="paragraph" w:styleId="18">
    <w:name w:val="Normal (Web)"/>
    <w:qFormat/>
    <w:basedOn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/>
    </w:rPr>
  </w:style>
</w:styles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Relationship Id="rId2" Target="styles.xml" Type="http://schemas.openxmlformats.org/officeDocument/2006/relationships/styles"/><Relationship Id="rId3" Target="numbering.xml" Type="http://schemas.openxmlformats.org/officeDocument/2006/relationships/numbering"/><Relationship Id="rId4" Target="fontTable.xml" Type="http://schemas.openxmlformats.org/officeDocument/2006/relationships/fontTable"/><Relationship Id="rId5" Target="../customXml/item1.xml" Type="http://schemas.openxmlformats.org/officeDocument/2006/relationships/customXml"/><Relationship Id="rId6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mpd="sng" cap="flat">
          <a:solidFill>
            <a:schemeClr val="phClr"/>
          </a:solidFill>
          <a:prstDash val="solid"/>
          <a:miter/>
        </a:ln>
        <a:ln w="12700" cmpd="sng" cap="flat">
          <a:solidFill>
            <a:schemeClr val="phClr"/>
          </a:solidFill>
          <a:prstDash val="solid"/>
          <a:miter/>
        </a:ln>
        <a:ln w="19050" cmpd="sng" cap="flat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algn="ctr" rotWithShape="0" blurRad="57150" dist="19050" dir="540000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customData xmlns="http://www.yozosoft.com.cn/officeDocument/2016/customData">
  <customProps>
    <docPr revisions="3 0 5 0 0 0 1 0 0 0 3678 0 1 1 1 1"/>
    <sectPr/>
  </customProps>
</customData>
</file>

<file path=customXml/itemProps1.xml><?xml version="1.0" encoding="utf-8"?>
<ds:datastoreItem xmlns:ds="http://schemas.openxmlformats.org/officeDocument/2006/customXml" ds:itemID="{F30FD182-3000-4522-AA10-701A0D619533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412</TotalTime>
  <Application>Yozo_Office9.0.5727.102ZH.HE32</Application>
  <Pages>5</Pages>
  <Words>0</Words>
  <Characters>1929</Characters>
  <Lines>0</Lines>
  <Paragraphs>30</Paragraphs>
  <CharactersWithSpaces>2573</CharactersWithSpaces>
  <Company>Yozosoft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2021-05-08T07:28:00Z</dcterms:created>
  <dc:creator>User274</dc:creator>
  <cp:lastModifiedBy>Administrator</cp:lastModifiedBy>
  <dcterms:modified xsi:type="dcterms:W3CDTF">2025-01-15T06:42:56Z</dcterms:modified>
  <cp:revision>73</cp:revision>
</cp:coreProperties>
</file>